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B532B2" w14:textId="53FCD6C4" w:rsidR="00102CE5" w:rsidRDefault="003B7E96" w:rsidP="008C6699">
      <w:pPr>
        <w:jc w:val="right"/>
      </w:pPr>
      <w:r>
        <w:rPr>
          <w:noProof/>
          <w:lang w:eastAsia="en-AU"/>
        </w:rPr>
        <w:drawing>
          <wp:anchor distT="0" distB="0" distL="114300" distR="114300" simplePos="0" relativeHeight="251658240" behindDoc="0" locked="0" layoutInCell="1" allowOverlap="1" wp14:anchorId="2259F15D" wp14:editId="11A8DC02">
            <wp:simplePos x="0" y="0"/>
            <wp:positionH relativeFrom="column">
              <wp:posOffset>-326572</wp:posOffset>
            </wp:positionH>
            <wp:positionV relativeFrom="paragraph">
              <wp:posOffset>-451757</wp:posOffset>
            </wp:positionV>
            <wp:extent cx="2868174" cy="518161"/>
            <wp:effectExtent l="0" t="0" r="8890" b="0"/>
            <wp:wrapNone/>
            <wp:docPr id="1718787022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18787022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8174" cy="51816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E66B8AC" w14:textId="77777777" w:rsidR="00A81E97" w:rsidRPr="00A81E97" w:rsidRDefault="00762A97" w:rsidP="002632D0">
      <w:pPr>
        <w:pStyle w:val="Heading1"/>
      </w:pPr>
      <w:r>
        <w:t>Court Child Experts FAQs</w:t>
      </w:r>
    </w:p>
    <w:p w14:paraId="35C76871" w14:textId="77777777" w:rsidR="00A81E97" w:rsidRPr="00A81E97" w:rsidRDefault="00511229" w:rsidP="002632D0">
      <w:pPr>
        <w:pStyle w:val="Heading2"/>
      </w:pPr>
      <w:r>
        <w:t>What</w:t>
      </w:r>
      <w:r w:rsidR="00A81E97" w:rsidRPr="00A81E97">
        <w:t xml:space="preserve"> are Court Child Experts?</w:t>
      </w:r>
    </w:p>
    <w:p w14:paraId="3DFE753E" w14:textId="77777777" w:rsidR="00DC5DEB" w:rsidRDefault="00A81E97" w:rsidP="00102CE5">
      <w:r>
        <w:t xml:space="preserve">Court Child Experts are qualified </w:t>
      </w:r>
      <w:r w:rsidR="00762A97">
        <w:t>psychologists or social workers who have specialist knowledge in child and family issues after separation and divorce</w:t>
      </w:r>
      <w:r>
        <w:t xml:space="preserve">. </w:t>
      </w:r>
    </w:p>
    <w:p w14:paraId="65E49C38" w14:textId="77777777" w:rsidR="00DC5DEB" w:rsidRDefault="00DC5DEB" w:rsidP="00102CE5">
      <w:r>
        <w:t>Court Child Experts are employees of the Court and work in an area of the Court called the Court Children’s Service.</w:t>
      </w:r>
    </w:p>
    <w:p w14:paraId="0E4A023D" w14:textId="77777777" w:rsidR="00DC5DEB" w:rsidRPr="00C77FC2" w:rsidRDefault="0042184A" w:rsidP="00102CE5">
      <w:pPr>
        <w:rPr>
          <w:spacing w:val="-4"/>
        </w:rPr>
      </w:pPr>
      <w:r w:rsidRPr="00C77FC2">
        <w:rPr>
          <w:spacing w:val="-4"/>
        </w:rPr>
        <w:t>Court Child Experts hold a statutory</w:t>
      </w:r>
      <w:r w:rsidR="00DC5DEB" w:rsidRPr="00C77FC2">
        <w:rPr>
          <w:spacing w:val="-4"/>
        </w:rPr>
        <w:t xml:space="preserve"> appointment as a </w:t>
      </w:r>
      <w:r w:rsidR="00DC5DEB" w:rsidRPr="00D22901">
        <w:rPr>
          <w:spacing w:val="-4"/>
        </w:rPr>
        <w:t>family consultant</w:t>
      </w:r>
      <w:r w:rsidR="00DC5DEB" w:rsidRPr="00C77FC2">
        <w:rPr>
          <w:spacing w:val="-4"/>
        </w:rPr>
        <w:t xml:space="preserve"> and an authorisation as a family counsellor.</w:t>
      </w:r>
      <w:r w:rsidR="00102CE5" w:rsidRPr="00C77FC2">
        <w:rPr>
          <w:spacing w:val="-4"/>
        </w:rPr>
        <w:t xml:space="preserve"> </w:t>
      </w:r>
      <w:r w:rsidR="00511229" w:rsidRPr="00C77FC2">
        <w:rPr>
          <w:spacing w:val="-4"/>
        </w:rPr>
        <w:t>These appointments and authorisations are issued by the Court’s Chief Executive Officer.</w:t>
      </w:r>
    </w:p>
    <w:p w14:paraId="4844953B" w14:textId="77777777" w:rsidR="00DC5DEB" w:rsidRDefault="00DC5DEB" w:rsidP="00102CE5">
      <w:r>
        <w:t xml:space="preserve">Under their </w:t>
      </w:r>
      <w:r w:rsidRPr="00D22901">
        <w:t>family consultant</w:t>
      </w:r>
      <w:r>
        <w:t xml:space="preserve"> appointment, Court Child Experts conduct assessments and prepare reports that have been ordered by </w:t>
      </w:r>
      <w:r w:rsidRPr="00102CE5">
        <w:t>the Court (see</w:t>
      </w:r>
      <w:r w:rsidR="00102CE5" w:rsidRPr="00102CE5">
        <w:t xml:space="preserve"> the</w:t>
      </w:r>
      <w:r w:rsidRPr="00102CE5">
        <w:t xml:space="preserve"> </w:t>
      </w:r>
      <w:r w:rsidR="00102CE5">
        <w:t xml:space="preserve">fact sheet </w:t>
      </w:r>
      <w:hyperlink r:id="rId11" w:history="1">
        <w:r w:rsidRPr="00102CE5">
          <w:rPr>
            <w:rStyle w:val="Hyperlink"/>
            <w:i/>
          </w:rPr>
          <w:t xml:space="preserve">Family </w:t>
        </w:r>
        <w:r w:rsidR="00102CE5" w:rsidRPr="00102CE5">
          <w:rPr>
            <w:rStyle w:val="Hyperlink"/>
            <w:i/>
          </w:rPr>
          <w:t>C</w:t>
        </w:r>
        <w:r w:rsidR="00341304" w:rsidRPr="00102CE5">
          <w:rPr>
            <w:rStyle w:val="Hyperlink"/>
            <w:i/>
          </w:rPr>
          <w:t>onsultant FAQs</w:t>
        </w:r>
      </w:hyperlink>
      <w:r w:rsidRPr="00102CE5">
        <w:t>).</w:t>
      </w:r>
    </w:p>
    <w:p w14:paraId="0A1DE5AF" w14:textId="77777777" w:rsidR="00511229" w:rsidRDefault="00DC5DEB" w:rsidP="00833639">
      <w:pPr>
        <w:spacing w:after="120"/>
      </w:pPr>
      <w:r>
        <w:t>Under their family counsellor aut</w:t>
      </w:r>
      <w:r w:rsidR="00511229">
        <w:t>horisation</w:t>
      </w:r>
      <w:r>
        <w:t xml:space="preserve">, Court Child Experts </w:t>
      </w:r>
      <w:r w:rsidR="00511229">
        <w:t>undertake</w:t>
      </w:r>
      <w:r>
        <w:t xml:space="preserve"> other duties including</w:t>
      </w:r>
      <w:r w:rsidR="00511229">
        <w:t>:</w:t>
      </w:r>
    </w:p>
    <w:p w14:paraId="3801179B" w14:textId="77777777" w:rsidR="00DC5DEB" w:rsidRDefault="00DC5DEB" w:rsidP="00102CE5">
      <w:pPr>
        <w:pStyle w:val="ListParagraph"/>
        <w:numPr>
          <w:ilvl w:val="0"/>
          <w:numId w:val="3"/>
        </w:numPr>
      </w:pPr>
      <w:r>
        <w:t>providing advice about children in</w:t>
      </w:r>
      <w:r w:rsidR="00304E80">
        <w:t xml:space="preserve"> court ordered dispute resolution c</w:t>
      </w:r>
      <w:r>
        <w:t>onferences condu</w:t>
      </w:r>
      <w:r w:rsidR="00511229">
        <w:t>cted by registrars of the Court</w:t>
      </w:r>
      <w:r w:rsidR="00432772">
        <w:t>, and</w:t>
      </w:r>
    </w:p>
    <w:p w14:paraId="1CF37585" w14:textId="0CF632BA" w:rsidR="00304E80" w:rsidRPr="00102CE5" w:rsidRDefault="00511229" w:rsidP="00102CE5">
      <w:pPr>
        <w:pStyle w:val="ListParagraph"/>
        <w:numPr>
          <w:ilvl w:val="0"/>
          <w:numId w:val="3"/>
        </w:numPr>
      </w:pPr>
      <w:r>
        <w:t xml:space="preserve">conducting triage interviews as part of </w:t>
      </w:r>
      <w:hyperlink r:id="rId12" w:history="1">
        <w:r w:rsidRPr="0030175B">
          <w:rPr>
            <w:rStyle w:val="Hyperlink"/>
          </w:rPr>
          <w:t>Lighthouse</w:t>
        </w:r>
      </w:hyperlink>
      <w:r w:rsidR="00432772">
        <w:t>.</w:t>
      </w:r>
    </w:p>
    <w:p w14:paraId="42F02B7C" w14:textId="77777777" w:rsidR="00304E80" w:rsidRPr="00C77FC2" w:rsidRDefault="00304E80" w:rsidP="00C77FC2">
      <w:pPr>
        <w:pStyle w:val="Heading2"/>
      </w:pPr>
      <w:r w:rsidRPr="00C77FC2">
        <w:t>Do I only have one Court Child Expert allocated to my case?</w:t>
      </w:r>
    </w:p>
    <w:p w14:paraId="12C1086B" w14:textId="11F709B6" w:rsidR="00341304" w:rsidRPr="00102CE5" w:rsidRDefault="00304E80" w:rsidP="00102CE5">
      <w:r>
        <w:t xml:space="preserve">A Court Child Expert cannot undertake the role of a </w:t>
      </w:r>
      <w:r w:rsidRPr="00D22901">
        <w:t>family consultant</w:t>
      </w:r>
      <w:r>
        <w:t xml:space="preserve"> and a family counsellor in the same case. If the Court orders that you attend for a report and a dispute resolution conference</w:t>
      </w:r>
      <w:r w:rsidR="0042184A">
        <w:t>,</w:t>
      </w:r>
      <w:r>
        <w:t xml:space="preserve"> then these will be undertaken by two different Court Child Experts. This is important because anything said to Court Child Expert undertaking the role of a </w:t>
      </w:r>
      <w:r w:rsidRPr="00D22901">
        <w:t>family consultant</w:t>
      </w:r>
      <w:r>
        <w:t xml:space="preserve"> is not confidential and is admissible as evidence, while anything said to a Court Child Expert undertaking the role of a family counsellor is confidential.</w:t>
      </w:r>
    </w:p>
    <w:p w14:paraId="126CB895" w14:textId="5CD772E1" w:rsidR="00511229" w:rsidRPr="00511229" w:rsidRDefault="00511229" w:rsidP="001367D0">
      <w:pPr>
        <w:pStyle w:val="Heading2"/>
      </w:pPr>
      <w:r w:rsidRPr="00511229">
        <w:t xml:space="preserve">What is the difference between a Court Child Expert and a </w:t>
      </w:r>
      <w:r w:rsidRPr="00D22901">
        <w:t xml:space="preserve">Regulation </w:t>
      </w:r>
      <w:r w:rsidR="00D22901">
        <w:t>40</w:t>
      </w:r>
      <w:r w:rsidR="00D22901" w:rsidRPr="00D22901">
        <w:t xml:space="preserve"> </w:t>
      </w:r>
      <w:r w:rsidRPr="00D22901">
        <w:t>Family Consultant</w:t>
      </w:r>
      <w:r w:rsidRPr="00511229">
        <w:t>?</w:t>
      </w:r>
    </w:p>
    <w:p w14:paraId="6FF1D915" w14:textId="505EFB21" w:rsidR="00511229" w:rsidRDefault="00511229" w:rsidP="00102CE5">
      <w:r>
        <w:t xml:space="preserve">A Court Child Expert is an employee of the Court while a </w:t>
      </w:r>
      <w:r w:rsidRPr="00D22901">
        <w:t xml:space="preserve">Regulation </w:t>
      </w:r>
      <w:r w:rsidR="00D22901">
        <w:t>40</w:t>
      </w:r>
      <w:r w:rsidR="00D22901" w:rsidRPr="00D22901">
        <w:t xml:space="preserve"> </w:t>
      </w:r>
      <w:r w:rsidRPr="00D22901">
        <w:t>Family Consultant</w:t>
      </w:r>
      <w:r>
        <w:t xml:space="preserve"> is a private practitioner who the Court pays on a fee for service basis to complete reports.</w:t>
      </w:r>
    </w:p>
    <w:p w14:paraId="2C21FA3C" w14:textId="66D4EF36" w:rsidR="00511229" w:rsidRDefault="00511229" w:rsidP="00102CE5">
      <w:r>
        <w:t xml:space="preserve">A Court Child Expert undertakes a broader range of duties than a </w:t>
      </w:r>
      <w:r w:rsidRPr="00D22901">
        <w:t xml:space="preserve">Regulation </w:t>
      </w:r>
      <w:r w:rsidR="00D22901">
        <w:t>40</w:t>
      </w:r>
      <w:r w:rsidR="00D22901" w:rsidRPr="00D22901">
        <w:t xml:space="preserve"> </w:t>
      </w:r>
      <w:r w:rsidRPr="00D22901">
        <w:t>Family Consultant</w:t>
      </w:r>
      <w:r>
        <w:t>.</w:t>
      </w:r>
    </w:p>
    <w:p w14:paraId="2E899029" w14:textId="11E9DCBC" w:rsidR="00304E80" w:rsidRDefault="00304E80" w:rsidP="00102CE5">
      <w:r>
        <w:t>The Court Children’s Service oversees the work of both</w:t>
      </w:r>
      <w:r w:rsidR="00511229">
        <w:t xml:space="preserve"> Court Child Experts and </w:t>
      </w:r>
      <w:r w:rsidR="00511229" w:rsidRPr="00D22901">
        <w:t xml:space="preserve">Regulation </w:t>
      </w:r>
      <w:r w:rsidR="00D22901">
        <w:t>40</w:t>
      </w:r>
      <w:r w:rsidR="00D22901" w:rsidRPr="00D22901">
        <w:t xml:space="preserve"> </w:t>
      </w:r>
      <w:r w:rsidR="00511229" w:rsidRPr="00D22901">
        <w:t>Family Consultants</w:t>
      </w:r>
      <w:r>
        <w:t>.</w:t>
      </w:r>
    </w:p>
    <w:p w14:paraId="6E6C4FDB" w14:textId="77777777" w:rsidR="00304E80" w:rsidRDefault="00304E80" w:rsidP="00102CE5">
      <w:r>
        <w:t xml:space="preserve">Both the Court Child Expert and </w:t>
      </w:r>
      <w:r w:rsidRPr="00D22901">
        <w:t>Regulation 7 Family Consultant</w:t>
      </w:r>
      <w:r>
        <w:t xml:space="preserve"> have been assessed by the Court as having the requisite qualifications and expertise to provide expert evidence in parenting matters before the Court.</w:t>
      </w:r>
    </w:p>
    <w:p w14:paraId="4C407207" w14:textId="69D3324F" w:rsidR="00A07129" w:rsidRPr="00C77FC2" w:rsidRDefault="00E9101C" w:rsidP="00C77FC2">
      <w:pPr>
        <w:spacing w:before="240" w:after="0"/>
        <w:jc w:val="right"/>
        <w:rPr>
          <w:sz w:val="16"/>
          <w:szCs w:val="16"/>
        </w:rPr>
      </w:pPr>
      <w:r w:rsidRPr="00C77FC2">
        <w:rPr>
          <w:sz w:val="16"/>
          <w:szCs w:val="16"/>
        </w:rPr>
        <w:t>0</w:t>
      </w:r>
      <w:r>
        <w:rPr>
          <w:sz w:val="16"/>
          <w:szCs w:val="16"/>
        </w:rPr>
        <w:t>4</w:t>
      </w:r>
      <w:r w:rsidRPr="00C77FC2">
        <w:rPr>
          <w:sz w:val="16"/>
          <w:szCs w:val="16"/>
        </w:rPr>
        <w:t>2</w:t>
      </w:r>
      <w:r>
        <w:rPr>
          <w:sz w:val="16"/>
          <w:szCs w:val="16"/>
        </w:rPr>
        <w:t>5</w:t>
      </w:r>
      <w:r w:rsidRPr="00C77FC2">
        <w:rPr>
          <w:sz w:val="16"/>
          <w:szCs w:val="16"/>
        </w:rPr>
        <w:t>V</w:t>
      </w:r>
      <w:r>
        <w:rPr>
          <w:sz w:val="16"/>
          <w:szCs w:val="16"/>
        </w:rPr>
        <w:t>1</w:t>
      </w:r>
    </w:p>
    <w:sectPr w:rsidR="00A07129" w:rsidRPr="00C77FC2" w:rsidSect="004F09A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440" w:right="1440" w:bottom="1134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87E873" w14:textId="77777777" w:rsidR="00276C55" w:rsidRDefault="00276C55" w:rsidP="002632D0">
      <w:pPr>
        <w:spacing w:after="0" w:line="240" w:lineRule="auto"/>
      </w:pPr>
      <w:r>
        <w:separator/>
      </w:r>
    </w:p>
  </w:endnote>
  <w:endnote w:type="continuationSeparator" w:id="0">
    <w:p w14:paraId="3E701323" w14:textId="77777777" w:rsidR="00276C55" w:rsidRDefault="00276C55" w:rsidP="002632D0">
      <w:pPr>
        <w:spacing w:after="0" w:line="240" w:lineRule="auto"/>
      </w:pPr>
      <w:r>
        <w:continuationSeparator/>
      </w:r>
    </w:p>
  </w:endnote>
  <w:endnote w:type="continuationNotice" w:id="1">
    <w:p w14:paraId="0FE92C2B" w14:textId="77777777" w:rsidR="00276C55" w:rsidRDefault="00276C5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89ACFB" w14:textId="77777777" w:rsidR="007355D8" w:rsidRDefault="007355D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A17F8F" w14:textId="77777777" w:rsidR="007355D8" w:rsidRDefault="007355D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1F413D" w14:textId="77777777" w:rsidR="007355D8" w:rsidRDefault="007355D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09BA1A" w14:textId="77777777" w:rsidR="00276C55" w:rsidRDefault="00276C55" w:rsidP="002632D0">
      <w:pPr>
        <w:spacing w:after="0" w:line="240" w:lineRule="auto"/>
      </w:pPr>
      <w:r>
        <w:separator/>
      </w:r>
    </w:p>
  </w:footnote>
  <w:footnote w:type="continuationSeparator" w:id="0">
    <w:p w14:paraId="178D1766" w14:textId="77777777" w:rsidR="00276C55" w:rsidRDefault="00276C55" w:rsidP="002632D0">
      <w:pPr>
        <w:spacing w:after="0" w:line="240" w:lineRule="auto"/>
      </w:pPr>
      <w:r>
        <w:continuationSeparator/>
      </w:r>
    </w:p>
  </w:footnote>
  <w:footnote w:type="continuationNotice" w:id="1">
    <w:p w14:paraId="6DBD7F55" w14:textId="77777777" w:rsidR="00276C55" w:rsidRDefault="00276C5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3931AA" w14:textId="77777777" w:rsidR="007355D8" w:rsidRDefault="007355D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62EE33" w14:textId="77777777" w:rsidR="002632D0" w:rsidRDefault="002632D0" w:rsidP="002632D0">
    <w:pPr>
      <w:pStyle w:val="Header"/>
      <w:jc w:val="right"/>
    </w:pPr>
    <w:r>
      <w:rPr>
        <w:b/>
      </w:rPr>
      <w:t>FACT SHEET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0997F6" w14:textId="77777777" w:rsidR="007355D8" w:rsidRDefault="007355D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12B7A7F"/>
    <w:multiLevelType w:val="hybridMultilevel"/>
    <w:tmpl w:val="6FE04B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DE3A83"/>
    <w:multiLevelType w:val="hybridMultilevel"/>
    <w:tmpl w:val="3AFC32B4"/>
    <w:lvl w:ilvl="0" w:tplc="4C86028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890C65"/>
    <w:multiLevelType w:val="hybridMultilevel"/>
    <w:tmpl w:val="80AE2A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15446148">
    <w:abstractNumId w:val="1"/>
  </w:num>
  <w:num w:numId="2" w16cid:durableId="1154758036">
    <w:abstractNumId w:val="2"/>
  </w:num>
  <w:num w:numId="3" w16cid:durableId="148907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proofState w:spelling="clean" w:grammar="clean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1E97"/>
    <w:rsid w:val="00065FBC"/>
    <w:rsid w:val="000B5FF0"/>
    <w:rsid w:val="00102CE5"/>
    <w:rsid w:val="001367D0"/>
    <w:rsid w:val="00190B53"/>
    <w:rsid w:val="00196A97"/>
    <w:rsid w:val="001E31A8"/>
    <w:rsid w:val="001F7D27"/>
    <w:rsid w:val="0022162C"/>
    <w:rsid w:val="00237445"/>
    <w:rsid w:val="002632D0"/>
    <w:rsid w:val="00264C10"/>
    <w:rsid w:val="00276C55"/>
    <w:rsid w:val="0030175B"/>
    <w:rsid w:val="00304E80"/>
    <w:rsid w:val="0033173B"/>
    <w:rsid w:val="00340154"/>
    <w:rsid w:val="00341304"/>
    <w:rsid w:val="00345D69"/>
    <w:rsid w:val="003B7E96"/>
    <w:rsid w:val="0042184A"/>
    <w:rsid w:val="00432772"/>
    <w:rsid w:val="00462CAD"/>
    <w:rsid w:val="004F09A0"/>
    <w:rsid w:val="00511229"/>
    <w:rsid w:val="005F4DF2"/>
    <w:rsid w:val="005F5B7C"/>
    <w:rsid w:val="00682647"/>
    <w:rsid w:val="00682CEF"/>
    <w:rsid w:val="0069597F"/>
    <w:rsid w:val="007355D8"/>
    <w:rsid w:val="0075296F"/>
    <w:rsid w:val="00762A97"/>
    <w:rsid w:val="007A6C22"/>
    <w:rsid w:val="007D6A4C"/>
    <w:rsid w:val="00833639"/>
    <w:rsid w:val="008C6699"/>
    <w:rsid w:val="00921977"/>
    <w:rsid w:val="009C2B64"/>
    <w:rsid w:val="00A07129"/>
    <w:rsid w:val="00A40D0A"/>
    <w:rsid w:val="00A766A5"/>
    <w:rsid w:val="00A81E97"/>
    <w:rsid w:val="00AF7C42"/>
    <w:rsid w:val="00C46147"/>
    <w:rsid w:val="00C66BBA"/>
    <w:rsid w:val="00C77FC2"/>
    <w:rsid w:val="00C94B25"/>
    <w:rsid w:val="00CB2590"/>
    <w:rsid w:val="00CF266A"/>
    <w:rsid w:val="00D22901"/>
    <w:rsid w:val="00D82E7B"/>
    <w:rsid w:val="00DB7FA1"/>
    <w:rsid w:val="00DC5DEB"/>
    <w:rsid w:val="00DC74F6"/>
    <w:rsid w:val="00E070E8"/>
    <w:rsid w:val="00E12C3D"/>
    <w:rsid w:val="00E13E2D"/>
    <w:rsid w:val="00E9101C"/>
    <w:rsid w:val="00F93200"/>
    <w:rsid w:val="00FD6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B1A07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3639"/>
    <w:pPr>
      <w:spacing w:after="240"/>
    </w:pPr>
  </w:style>
  <w:style w:type="paragraph" w:styleId="Heading1">
    <w:name w:val="heading 1"/>
    <w:basedOn w:val="Normal"/>
    <w:next w:val="Normal"/>
    <w:link w:val="Heading1Char"/>
    <w:uiPriority w:val="9"/>
    <w:qFormat/>
    <w:rsid w:val="00833639"/>
    <w:pPr>
      <w:keepNext/>
      <w:keepLines/>
      <w:outlineLvl w:val="0"/>
    </w:pPr>
    <w:rPr>
      <w:rFonts w:ascii="Arial" w:eastAsiaTheme="majorEastAsia" w:hAnsi="Arial" w:cstheme="majorBidi"/>
      <w:b/>
      <w:bCs/>
      <w:sz w:val="36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33639"/>
    <w:pPr>
      <w:keepNext/>
      <w:keepLines/>
      <w:spacing w:before="200" w:after="120"/>
      <w:outlineLvl w:val="1"/>
    </w:pPr>
    <w:rPr>
      <w:rFonts w:ascii="Arial" w:eastAsiaTheme="majorEastAsia" w:hAnsi="Arial" w:cstheme="majorBidi"/>
      <w:b/>
      <w:bCs/>
      <w:color w:val="000000" w:themeColor="text1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33639"/>
    <w:pPr>
      <w:keepNext/>
      <w:keepLines/>
      <w:spacing w:before="200" w:after="0"/>
      <w:outlineLvl w:val="2"/>
    </w:pPr>
    <w:rPr>
      <w:rFonts w:ascii="Arial" w:eastAsiaTheme="majorEastAsia" w:hAnsi="Arial" w:cstheme="majorBidi"/>
      <w:b/>
      <w:bCs/>
      <w:color w:val="000000" w:themeColor="tex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33639"/>
    <w:pPr>
      <w:keepNext/>
      <w:keepLines/>
      <w:spacing w:before="200" w:after="0"/>
      <w:outlineLvl w:val="3"/>
    </w:pPr>
    <w:rPr>
      <w:rFonts w:ascii="Arial" w:eastAsiaTheme="majorEastAsia" w:hAnsi="Arial" w:cstheme="majorBidi"/>
      <w:b/>
      <w:bCs/>
      <w:i/>
      <w:iCs/>
      <w:color w:val="000000" w:themeColor="text1"/>
      <w:sz w:val="2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3363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33639"/>
    <w:pPr>
      <w:ind w:left="720"/>
      <w:contextualSpacing/>
    </w:pPr>
  </w:style>
  <w:style w:type="paragraph" w:customStyle="1" w:styleId="ARbodytext">
    <w:name w:val="AR body text"/>
    <w:basedOn w:val="Normal"/>
    <w:qFormat/>
    <w:rsid w:val="00833639"/>
    <w:pPr>
      <w:spacing w:after="0"/>
    </w:pPr>
    <w:rPr>
      <w:rFonts w:ascii="Arial" w:hAnsi="Arial"/>
      <w:sz w:val="20"/>
    </w:rPr>
  </w:style>
  <w:style w:type="character" w:customStyle="1" w:styleId="Heading1Char">
    <w:name w:val="Heading 1 Char"/>
    <w:basedOn w:val="DefaultParagraphFont"/>
    <w:link w:val="Heading1"/>
    <w:uiPriority w:val="9"/>
    <w:rsid w:val="00833639"/>
    <w:rPr>
      <w:rFonts w:ascii="Arial" w:eastAsiaTheme="majorEastAsia" w:hAnsi="Arial" w:cstheme="majorBidi"/>
      <w:b/>
      <w:bCs/>
      <w:sz w:val="36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33639"/>
    <w:rPr>
      <w:rFonts w:ascii="Arial" w:eastAsiaTheme="majorEastAsia" w:hAnsi="Arial" w:cstheme="majorBidi"/>
      <w:b/>
      <w:bCs/>
      <w:color w:val="000000" w:themeColor="text1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33639"/>
    <w:rPr>
      <w:rFonts w:ascii="Arial" w:eastAsiaTheme="majorEastAsia" w:hAnsi="Arial" w:cstheme="majorBidi"/>
      <w:b/>
      <w:b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33639"/>
    <w:rPr>
      <w:rFonts w:ascii="Arial" w:eastAsiaTheme="majorEastAsia" w:hAnsi="Arial" w:cstheme="majorBidi"/>
      <w:b/>
      <w:bCs/>
      <w:i/>
      <w:iCs/>
      <w:color w:val="000000" w:themeColor="text1"/>
      <w:sz w:val="2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33639"/>
    <w:rPr>
      <w:rFonts w:asciiTheme="majorHAnsi" w:eastAsiaTheme="majorEastAsia" w:hAnsiTheme="majorHAnsi" w:cstheme="majorBidi"/>
      <w:color w:val="1F4D78" w:themeColor="accent1" w:themeShade="7F"/>
    </w:rPr>
  </w:style>
  <w:style w:type="paragraph" w:styleId="Subtitle">
    <w:name w:val="Subtitle"/>
    <w:basedOn w:val="Normal"/>
    <w:next w:val="Normal"/>
    <w:link w:val="SubtitleChar"/>
    <w:uiPriority w:val="11"/>
    <w:qFormat/>
    <w:rsid w:val="00833639"/>
    <w:pPr>
      <w:numPr>
        <w:ilvl w:val="1"/>
      </w:numPr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3363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Strong">
    <w:name w:val="Strong"/>
    <w:basedOn w:val="DefaultParagraphFont"/>
    <w:uiPriority w:val="22"/>
    <w:qFormat/>
    <w:rsid w:val="00833639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2632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632D0"/>
  </w:style>
  <w:style w:type="paragraph" w:styleId="Footer">
    <w:name w:val="footer"/>
    <w:basedOn w:val="Normal"/>
    <w:link w:val="FooterChar"/>
    <w:uiPriority w:val="99"/>
    <w:unhideWhenUsed/>
    <w:rsid w:val="002632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32D0"/>
  </w:style>
  <w:style w:type="paragraph" w:styleId="BalloonText">
    <w:name w:val="Balloon Text"/>
    <w:basedOn w:val="Normal"/>
    <w:link w:val="BalloonTextChar"/>
    <w:uiPriority w:val="99"/>
    <w:semiHidden/>
    <w:unhideWhenUsed/>
    <w:rsid w:val="007D6A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6A4C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102CE5"/>
    <w:rPr>
      <w:color w:val="0563C1" w:themeColor="hyperlink"/>
      <w:u w:val="single"/>
    </w:rPr>
  </w:style>
  <w:style w:type="paragraph" w:styleId="Revision">
    <w:name w:val="Revision"/>
    <w:hidden/>
    <w:uiPriority w:val="99"/>
    <w:semiHidden/>
    <w:rsid w:val="00C66BBA"/>
    <w:pPr>
      <w:spacing w:after="0"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3017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fcfcoa.gov.au/fl/fv/lighthouse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fcfcoa.gov.au/pubs/fl/family-consultants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image" Target="media/image1.png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640255006A3294C8B01C6DD43978993" ma:contentTypeVersion="7" ma:contentTypeDescription="Create a new document." ma:contentTypeScope="" ma:versionID="6cf9faef0f362c9b72fbe2404d965cd4">
  <xsd:schema xmlns:xsd="http://www.w3.org/2001/XMLSchema" xmlns:xs="http://www.w3.org/2001/XMLSchema" xmlns:p="http://schemas.microsoft.com/office/2006/metadata/properties" xmlns:ns2="74c4a858-1284-4935-93de-938f2dee072c" xmlns:ns3="078ec0e7-d7a2-4500-a0c4-2336558e14d0" targetNamespace="http://schemas.microsoft.com/office/2006/metadata/properties" ma:root="true" ma:fieldsID="70cd807509f33a8b987879c4ffbd83d1" ns2:_="" ns3:_="">
    <xsd:import namespace="74c4a858-1284-4935-93de-938f2dee072c"/>
    <xsd:import namespace="078ec0e7-d7a2-4500-a0c4-2336558e14d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c4a858-1284-4935-93de-938f2dee07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8ec0e7-d7a2-4500-a0c4-2336558e14d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12C4E90-DB5D-4A92-8624-B6CD04DBB3A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78DD1B5-B36E-466B-A252-712B0818DF6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39BBB99-C97E-4312-B1FF-164EECE871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4c4a858-1284-4935-93de-938f2dee072c"/>
    <ds:schemaRef ds:uri="078ec0e7-d7a2-4500-a0c4-2336558e14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381</Words>
  <Characters>2029</Characters>
  <Application>Microsoft Office Word</Application>
  <DocSecurity>0</DocSecurity>
  <Lines>44</Lines>
  <Paragraphs>17</Paragraphs>
  <ScaleCrop>false</ScaleCrop>
  <Company/>
  <LinksUpToDate>false</LinksUpToDate>
  <CharactersWithSpaces>2393</CharactersWithSpaces>
  <SharedDoc>false</SharedDoc>
  <HLinks>
    <vt:vector size="12" baseType="variant">
      <vt:variant>
        <vt:i4>2752617</vt:i4>
      </vt:variant>
      <vt:variant>
        <vt:i4>3</vt:i4>
      </vt:variant>
      <vt:variant>
        <vt:i4>0</vt:i4>
      </vt:variant>
      <vt:variant>
        <vt:i4>5</vt:i4>
      </vt:variant>
      <vt:variant>
        <vt:lpwstr>https://www.fcfcoa.gov.au/fl/fv/lighthouse</vt:lpwstr>
      </vt:variant>
      <vt:variant>
        <vt:lpwstr/>
      </vt:variant>
      <vt:variant>
        <vt:i4>5832779</vt:i4>
      </vt:variant>
      <vt:variant>
        <vt:i4>0</vt:i4>
      </vt:variant>
      <vt:variant>
        <vt:i4>0</vt:i4>
      </vt:variant>
      <vt:variant>
        <vt:i4>5</vt:i4>
      </vt:variant>
      <vt:variant>
        <vt:lpwstr>https://www.fcfcoa.gov.au/pubs/fl/family-consultants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2025-04-04T00:05:00Z</dcterms:created>
  <dcterms:modified xsi:type="dcterms:W3CDTF">2025-04-04T00:08:00Z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0x0101001640255006A3294C8B01C6DD43978993</vt:lpwstr>
  </property>
</Properties>
</file>