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F13185" w14:textId="07F71E46" w:rsidR="00716AB0" w:rsidRPr="00DB1B24" w:rsidRDefault="00BE2DCA" w:rsidP="00716AB0">
      <w:pPr>
        <w:pStyle w:val="Heading1"/>
        <w:jc w:val="right"/>
        <w:rPr>
          <w:rFonts w:cstheme="minorHAnsi"/>
          <w:sz w:val="24"/>
          <w:szCs w:val="24"/>
        </w:rPr>
      </w:pPr>
      <w:r w:rsidRPr="00DB1B24">
        <w:rPr>
          <w:rFonts w:cstheme="minorHAnsi"/>
          <w:sz w:val="24"/>
          <w:szCs w:val="24"/>
        </w:rPr>
        <w:t>10</w:t>
      </w:r>
      <w:r w:rsidR="00B325A9" w:rsidRPr="00DB1B24">
        <w:rPr>
          <w:rFonts w:cstheme="minorHAnsi"/>
          <w:sz w:val="24"/>
          <w:szCs w:val="24"/>
        </w:rPr>
        <w:t xml:space="preserve"> </w:t>
      </w:r>
      <w:r w:rsidRPr="00DB1B24">
        <w:rPr>
          <w:rFonts w:cstheme="minorHAnsi"/>
          <w:sz w:val="24"/>
          <w:szCs w:val="24"/>
        </w:rPr>
        <w:t>October</w:t>
      </w:r>
      <w:r w:rsidR="00B325A9" w:rsidRPr="00DB1B24">
        <w:rPr>
          <w:rFonts w:cstheme="minorHAnsi"/>
          <w:sz w:val="24"/>
          <w:szCs w:val="24"/>
        </w:rPr>
        <w:t xml:space="preserve"> 202</w:t>
      </w:r>
      <w:r w:rsidRPr="00DB1B24">
        <w:rPr>
          <w:rFonts w:cstheme="minorHAnsi"/>
          <w:sz w:val="24"/>
          <w:szCs w:val="24"/>
        </w:rPr>
        <w:t>4</w:t>
      </w:r>
    </w:p>
    <w:p w14:paraId="330581FA" w14:textId="0159C3B5" w:rsidR="00D54EE1" w:rsidRPr="00DB1B24" w:rsidRDefault="05019703" w:rsidP="00833151">
      <w:pPr>
        <w:pStyle w:val="Heading1"/>
        <w:spacing w:before="720"/>
        <w:rPr>
          <w:noProof/>
        </w:rPr>
      </w:pPr>
      <w:r w:rsidRPr="00DB1B24">
        <w:rPr>
          <w:noProof/>
        </w:rPr>
        <w:t xml:space="preserve">Court </w:t>
      </w:r>
      <w:r w:rsidR="004A7487" w:rsidRPr="00DB1B24">
        <w:rPr>
          <w:noProof/>
        </w:rPr>
        <w:t>launch</w:t>
      </w:r>
      <w:r w:rsidR="00D00396" w:rsidRPr="00DB1B24">
        <w:rPr>
          <w:noProof/>
        </w:rPr>
        <w:t>es</w:t>
      </w:r>
      <w:r w:rsidR="00DB4DBC" w:rsidRPr="00DB1B24">
        <w:rPr>
          <w:noProof/>
        </w:rPr>
        <w:t xml:space="preserve"> </w:t>
      </w:r>
      <w:r w:rsidR="7977B1C6" w:rsidRPr="00DB1B24">
        <w:rPr>
          <w:noProof/>
        </w:rPr>
        <w:t xml:space="preserve">new </w:t>
      </w:r>
      <w:r w:rsidR="00BE2DCA" w:rsidRPr="00DB1B24">
        <w:rPr>
          <w:noProof/>
        </w:rPr>
        <w:t>videos</w:t>
      </w:r>
      <w:r w:rsidR="28962374" w:rsidRPr="00DB1B24">
        <w:rPr>
          <w:noProof/>
        </w:rPr>
        <w:t xml:space="preserve"> in 12 </w:t>
      </w:r>
      <w:r w:rsidR="28962374" w:rsidRPr="00660C9E">
        <w:t>languages</w:t>
      </w:r>
      <w:r w:rsidR="28962374" w:rsidRPr="00DB1B24">
        <w:rPr>
          <w:noProof/>
        </w:rPr>
        <w:t xml:space="preserve"> to help</w:t>
      </w:r>
      <w:r w:rsidR="002869FD" w:rsidRPr="00DB1B24">
        <w:rPr>
          <w:noProof/>
        </w:rPr>
        <w:t xml:space="preserve"> </w:t>
      </w:r>
      <w:r w:rsidR="0089539F" w:rsidRPr="00DB1B24">
        <w:rPr>
          <w:noProof/>
        </w:rPr>
        <w:t xml:space="preserve">to </w:t>
      </w:r>
      <w:r w:rsidR="00BE2DCA" w:rsidRPr="00DB1B24">
        <w:rPr>
          <w:noProof/>
        </w:rPr>
        <w:t>people in migration cases</w:t>
      </w:r>
    </w:p>
    <w:p w14:paraId="7530F3DB" w14:textId="746D26BB" w:rsidR="00CA78B0" w:rsidRPr="00DB1B24" w:rsidRDefault="00133B32" w:rsidP="00833151">
      <w:pPr>
        <w:spacing w:before="240" w:line="279" w:lineRule="auto"/>
        <w:rPr>
          <w:rFonts w:cstheme="minorHAnsi"/>
          <w:sz w:val="24"/>
          <w:szCs w:val="24"/>
        </w:rPr>
      </w:pPr>
      <w:r w:rsidRPr="00DB1B24">
        <w:rPr>
          <w:rFonts w:cstheme="minorHAnsi"/>
          <w:sz w:val="24"/>
          <w:szCs w:val="24"/>
        </w:rPr>
        <w:t xml:space="preserve">Today, the </w:t>
      </w:r>
      <w:r w:rsidR="00CA78B0" w:rsidRPr="00DB1B24">
        <w:rPr>
          <w:rFonts w:cstheme="minorHAnsi"/>
          <w:sz w:val="24"/>
          <w:szCs w:val="24"/>
        </w:rPr>
        <w:t xml:space="preserve">Federal Circuit and Family Court of Australia (Division 2) (the </w:t>
      </w:r>
      <w:r w:rsidR="002A36E3" w:rsidRPr="00DB1B24">
        <w:rPr>
          <w:rFonts w:cstheme="minorHAnsi"/>
          <w:sz w:val="24"/>
          <w:szCs w:val="24"/>
        </w:rPr>
        <w:t>Court</w:t>
      </w:r>
      <w:r w:rsidR="00CA78B0" w:rsidRPr="00DB1B24">
        <w:rPr>
          <w:rFonts w:cstheme="minorHAnsi"/>
          <w:sz w:val="24"/>
          <w:szCs w:val="24"/>
        </w:rPr>
        <w:t>)</w:t>
      </w:r>
      <w:r w:rsidR="002A36E3" w:rsidRPr="00DB1B24">
        <w:rPr>
          <w:rFonts w:cstheme="minorHAnsi"/>
          <w:sz w:val="24"/>
          <w:szCs w:val="24"/>
        </w:rPr>
        <w:t xml:space="preserve"> </w:t>
      </w:r>
      <w:r w:rsidR="00A05D78" w:rsidRPr="00DB1B24">
        <w:rPr>
          <w:rFonts w:cstheme="minorHAnsi"/>
          <w:sz w:val="24"/>
          <w:szCs w:val="24"/>
        </w:rPr>
        <w:t xml:space="preserve">will </w:t>
      </w:r>
      <w:r w:rsidRPr="00DB1B24">
        <w:rPr>
          <w:rFonts w:cstheme="minorHAnsi"/>
          <w:sz w:val="24"/>
          <w:szCs w:val="24"/>
        </w:rPr>
        <w:t xml:space="preserve">officially </w:t>
      </w:r>
      <w:r w:rsidR="002A36E3" w:rsidRPr="00DB1B24">
        <w:rPr>
          <w:rFonts w:cstheme="minorHAnsi"/>
          <w:sz w:val="24"/>
          <w:szCs w:val="24"/>
        </w:rPr>
        <w:t>launch</w:t>
      </w:r>
      <w:r w:rsidRPr="00DB1B24">
        <w:rPr>
          <w:rFonts w:cstheme="minorHAnsi"/>
          <w:sz w:val="24"/>
          <w:szCs w:val="24"/>
        </w:rPr>
        <w:t xml:space="preserve"> </w:t>
      </w:r>
      <w:r w:rsidR="00CA78B0" w:rsidRPr="00DB1B24">
        <w:rPr>
          <w:rFonts w:cstheme="minorHAnsi"/>
          <w:sz w:val="24"/>
          <w:szCs w:val="24"/>
        </w:rPr>
        <w:t xml:space="preserve">three </w:t>
      </w:r>
      <w:r w:rsidR="00D633CE" w:rsidRPr="00DB1B24">
        <w:rPr>
          <w:rFonts w:cstheme="minorHAnsi"/>
          <w:sz w:val="24"/>
          <w:szCs w:val="24"/>
        </w:rPr>
        <w:t>v</w:t>
      </w:r>
      <w:r w:rsidR="00BE2DCA" w:rsidRPr="00DB1B24">
        <w:rPr>
          <w:rFonts w:cstheme="minorHAnsi"/>
          <w:sz w:val="24"/>
          <w:szCs w:val="24"/>
        </w:rPr>
        <w:t>ideos</w:t>
      </w:r>
      <w:r w:rsidR="006345A5" w:rsidRPr="00DB1B24">
        <w:rPr>
          <w:rFonts w:cstheme="minorHAnsi"/>
          <w:sz w:val="24"/>
          <w:szCs w:val="24"/>
        </w:rPr>
        <w:t xml:space="preserve">, each of which is available in </w:t>
      </w:r>
      <w:r w:rsidRPr="00DB1B24" w:rsidDel="00EF7779">
        <w:rPr>
          <w:rFonts w:cstheme="minorHAnsi"/>
          <w:sz w:val="24"/>
          <w:szCs w:val="24"/>
        </w:rPr>
        <w:t>1</w:t>
      </w:r>
      <w:r w:rsidR="2EB39C0E" w:rsidRPr="00DB1B24">
        <w:rPr>
          <w:rFonts w:cstheme="minorHAnsi"/>
          <w:sz w:val="24"/>
          <w:szCs w:val="24"/>
        </w:rPr>
        <w:t>2</w:t>
      </w:r>
      <w:r w:rsidR="00EF7779" w:rsidRPr="00DB1B24">
        <w:rPr>
          <w:rFonts w:cstheme="minorHAnsi"/>
          <w:sz w:val="24"/>
          <w:szCs w:val="24"/>
        </w:rPr>
        <w:t xml:space="preserve"> languages (i</w:t>
      </w:r>
      <w:r w:rsidR="3E2420AD" w:rsidRPr="00DB1B24">
        <w:rPr>
          <w:rFonts w:cstheme="minorHAnsi"/>
          <w:sz w:val="24"/>
          <w:szCs w:val="24"/>
        </w:rPr>
        <w:t>ncluding</w:t>
      </w:r>
      <w:r w:rsidR="00EF7779" w:rsidRPr="00DB1B24">
        <w:rPr>
          <w:rFonts w:cstheme="minorHAnsi"/>
          <w:sz w:val="24"/>
          <w:szCs w:val="24"/>
        </w:rPr>
        <w:t xml:space="preserve"> English).</w:t>
      </w:r>
      <w:r w:rsidR="00B93E15" w:rsidRPr="00DB1B24">
        <w:rPr>
          <w:rFonts w:cstheme="minorHAnsi"/>
          <w:sz w:val="24"/>
          <w:szCs w:val="24"/>
        </w:rPr>
        <w:t xml:space="preserve"> </w:t>
      </w:r>
      <w:r w:rsidR="00EF7779" w:rsidRPr="00DB1B24">
        <w:rPr>
          <w:rFonts w:cstheme="minorHAnsi"/>
          <w:sz w:val="24"/>
          <w:szCs w:val="24"/>
        </w:rPr>
        <w:t xml:space="preserve">The videos </w:t>
      </w:r>
      <w:r w:rsidR="00CA78B0" w:rsidRPr="00DB1B24">
        <w:rPr>
          <w:rFonts w:cstheme="minorHAnsi"/>
          <w:sz w:val="24"/>
          <w:szCs w:val="24"/>
        </w:rPr>
        <w:t xml:space="preserve">form part of the Court’s </w:t>
      </w:r>
      <w:r w:rsidR="00A3387F" w:rsidRPr="00DB1B24">
        <w:rPr>
          <w:rFonts w:cstheme="minorHAnsi"/>
          <w:sz w:val="24"/>
          <w:szCs w:val="24"/>
        </w:rPr>
        <w:t xml:space="preserve">overarching </w:t>
      </w:r>
      <w:r w:rsidR="00CA78B0" w:rsidRPr="00DB1B24">
        <w:rPr>
          <w:rFonts w:cstheme="minorHAnsi"/>
          <w:sz w:val="24"/>
          <w:szCs w:val="24"/>
        </w:rPr>
        <w:t>commitment to improving access to justice for culturally and linguistically diverse people from migrant and refugee backgrounds.</w:t>
      </w:r>
    </w:p>
    <w:p w14:paraId="0BFEB028" w14:textId="0BC9D60A" w:rsidR="00D633CE" w:rsidRPr="00DB1B24" w:rsidRDefault="00CA78B0" w:rsidP="00833151">
      <w:pPr>
        <w:spacing w:before="240" w:line="279" w:lineRule="auto"/>
        <w:rPr>
          <w:rFonts w:cstheme="minorHAnsi"/>
          <w:sz w:val="24"/>
          <w:szCs w:val="24"/>
        </w:rPr>
      </w:pPr>
      <w:r w:rsidRPr="00DB1B24">
        <w:rPr>
          <w:rFonts w:cstheme="minorHAnsi"/>
          <w:sz w:val="24"/>
          <w:szCs w:val="24"/>
        </w:rPr>
        <w:t>The videos aim to provide simplified information for people who are involved in migration</w:t>
      </w:r>
      <w:r w:rsidR="005E6342" w:rsidRPr="00DB1B24">
        <w:rPr>
          <w:rFonts w:cstheme="minorHAnsi"/>
          <w:sz w:val="24"/>
          <w:szCs w:val="24"/>
        </w:rPr>
        <w:t xml:space="preserve"> </w:t>
      </w:r>
      <w:r w:rsidRPr="00DB1B24">
        <w:rPr>
          <w:rFonts w:cstheme="minorHAnsi"/>
          <w:sz w:val="24"/>
          <w:szCs w:val="24"/>
        </w:rPr>
        <w:t>related cases</w:t>
      </w:r>
      <w:r w:rsidR="00F73F48" w:rsidRPr="00DB1B24">
        <w:rPr>
          <w:rFonts w:cstheme="minorHAnsi"/>
          <w:sz w:val="24"/>
          <w:szCs w:val="24"/>
        </w:rPr>
        <w:t xml:space="preserve">. </w:t>
      </w:r>
      <w:r w:rsidRPr="00DB1B24">
        <w:rPr>
          <w:rFonts w:cstheme="minorHAnsi"/>
          <w:sz w:val="24"/>
          <w:szCs w:val="24"/>
        </w:rPr>
        <w:t>The titles of the videos are</w:t>
      </w:r>
      <w:r w:rsidR="00D633CE" w:rsidRPr="00DB1B24">
        <w:rPr>
          <w:rFonts w:cstheme="minorHAnsi"/>
          <w:sz w:val="24"/>
          <w:szCs w:val="24"/>
        </w:rPr>
        <w:t xml:space="preserve"> </w:t>
      </w:r>
      <w:r w:rsidRPr="00DB1B24">
        <w:rPr>
          <w:rFonts w:cstheme="minorHAnsi"/>
          <w:sz w:val="24"/>
          <w:szCs w:val="24"/>
        </w:rPr>
        <w:t>as follows:</w:t>
      </w:r>
    </w:p>
    <w:p w14:paraId="6368E4ED" w14:textId="3FD1FECA" w:rsidR="00D633CE" w:rsidRPr="00DB1B24" w:rsidRDefault="00D633CE" w:rsidP="00833151">
      <w:pPr>
        <w:spacing w:before="240"/>
        <w:ind w:right="-22"/>
        <w:rPr>
          <w:rFonts w:cstheme="minorHAnsi"/>
          <w:sz w:val="24"/>
          <w:szCs w:val="24"/>
        </w:rPr>
      </w:pPr>
      <w:r w:rsidRPr="00DB1B24">
        <w:rPr>
          <w:rFonts w:cstheme="minorHAnsi"/>
          <w:sz w:val="24"/>
          <w:szCs w:val="24"/>
        </w:rPr>
        <w:t xml:space="preserve">Video 1: </w:t>
      </w:r>
      <w:hyperlink r:id="rId11">
        <w:r w:rsidR="00B66072">
          <w:rPr>
            <w:rStyle w:val="Hyperlink"/>
            <w:rFonts w:cstheme="minorHAnsi"/>
            <w:b/>
            <w:bCs/>
            <w:i/>
            <w:iCs/>
            <w:sz w:val="24"/>
            <w:szCs w:val="24"/>
          </w:rPr>
          <w:t>What can the Court do in migration cases?</w:t>
        </w:r>
      </w:hyperlink>
      <w:r w:rsidRPr="00DB1B24">
        <w:rPr>
          <w:rFonts w:cstheme="minorHAnsi"/>
          <w:sz w:val="24"/>
          <w:szCs w:val="24"/>
        </w:rPr>
        <w:t xml:space="preserve"> </w:t>
      </w:r>
    </w:p>
    <w:p w14:paraId="4A2338E8" w14:textId="04346D50" w:rsidR="00D633CE" w:rsidRPr="00DB1B24" w:rsidRDefault="00D633CE" w:rsidP="00833151">
      <w:pPr>
        <w:spacing w:before="240"/>
        <w:ind w:right="-22"/>
        <w:rPr>
          <w:rFonts w:cstheme="minorHAnsi"/>
          <w:sz w:val="24"/>
          <w:szCs w:val="24"/>
        </w:rPr>
      </w:pPr>
      <w:r w:rsidRPr="00DB1B24">
        <w:rPr>
          <w:rFonts w:cstheme="minorHAnsi"/>
          <w:sz w:val="24"/>
          <w:szCs w:val="24"/>
        </w:rPr>
        <w:t xml:space="preserve">Video 2: </w:t>
      </w:r>
      <w:hyperlink r:id="rId12">
        <w:r w:rsidRPr="00DB1B24">
          <w:rPr>
            <w:rStyle w:val="Hyperlink"/>
            <w:rFonts w:cstheme="minorHAnsi"/>
            <w:b/>
            <w:bCs/>
            <w:i/>
            <w:iCs/>
            <w:sz w:val="24"/>
            <w:szCs w:val="24"/>
          </w:rPr>
          <w:t>How will my migration case be managed through the Court?</w:t>
        </w:r>
      </w:hyperlink>
      <w:r w:rsidRPr="00DB1B24">
        <w:rPr>
          <w:rFonts w:cstheme="minorHAnsi"/>
          <w:sz w:val="24"/>
          <w:szCs w:val="24"/>
        </w:rPr>
        <w:t xml:space="preserve"> </w:t>
      </w:r>
    </w:p>
    <w:p w14:paraId="444AE9D5" w14:textId="324933CF" w:rsidR="00D633CE" w:rsidRPr="00DB1B24" w:rsidRDefault="00D633CE" w:rsidP="00833151">
      <w:pPr>
        <w:spacing w:before="240"/>
        <w:ind w:right="-22"/>
        <w:rPr>
          <w:rFonts w:cstheme="minorHAnsi"/>
          <w:sz w:val="24"/>
          <w:szCs w:val="24"/>
        </w:rPr>
      </w:pPr>
      <w:r w:rsidRPr="00DB1B24">
        <w:rPr>
          <w:rFonts w:cstheme="minorHAnsi"/>
          <w:sz w:val="24"/>
          <w:szCs w:val="24"/>
        </w:rPr>
        <w:t xml:space="preserve">Video 3: </w:t>
      </w:r>
      <w:hyperlink r:id="rId13" w:history="1">
        <w:r w:rsidRPr="007D6BC6">
          <w:rPr>
            <w:rStyle w:val="Hyperlink"/>
            <w:rFonts w:cstheme="minorHAnsi"/>
            <w:b/>
            <w:bCs/>
            <w:i/>
            <w:iCs/>
            <w:sz w:val="24"/>
            <w:szCs w:val="24"/>
          </w:rPr>
          <w:t>What do I need to know when I attend court for my migration case?</w:t>
        </w:r>
      </w:hyperlink>
    </w:p>
    <w:p w14:paraId="032C4E2A" w14:textId="51D45230" w:rsidR="00A3387F" w:rsidRPr="00DB1B24" w:rsidRDefault="00CB3F4F" w:rsidP="00833151">
      <w:pPr>
        <w:spacing w:before="240" w:line="276" w:lineRule="auto"/>
        <w:rPr>
          <w:rFonts w:cstheme="minorHAnsi"/>
          <w:sz w:val="24"/>
          <w:szCs w:val="24"/>
          <w:lang w:eastAsia="zh-CN"/>
        </w:rPr>
      </w:pPr>
      <w:r w:rsidRPr="00DB1B24">
        <w:rPr>
          <w:rFonts w:cstheme="minorHAnsi"/>
          <w:sz w:val="24"/>
          <w:szCs w:val="24"/>
          <w:lang w:eastAsia="zh-CN"/>
        </w:rPr>
        <w:t xml:space="preserve">Chief Justice the Hon Will Alstergren AO </w:t>
      </w:r>
      <w:r w:rsidR="0002372D" w:rsidRPr="00DB1B24">
        <w:rPr>
          <w:rFonts w:cstheme="minorHAnsi"/>
          <w:sz w:val="24"/>
          <w:szCs w:val="24"/>
          <w:lang w:eastAsia="zh-CN"/>
        </w:rPr>
        <w:t xml:space="preserve">said: </w:t>
      </w:r>
      <w:r w:rsidRPr="00DB1B24">
        <w:rPr>
          <w:rFonts w:cstheme="minorHAnsi"/>
          <w:i/>
          <w:iCs/>
          <w:sz w:val="24"/>
          <w:szCs w:val="24"/>
          <w:lang w:eastAsia="zh-CN"/>
        </w:rPr>
        <w:t xml:space="preserve">“High migration filings continue to have a substantial impact on the Court. </w:t>
      </w:r>
      <w:r w:rsidR="039E60E8" w:rsidRPr="00DB1B24">
        <w:rPr>
          <w:rFonts w:cstheme="minorHAnsi"/>
          <w:i/>
          <w:iCs/>
          <w:sz w:val="24"/>
          <w:szCs w:val="24"/>
          <w:lang w:eastAsia="zh-CN"/>
        </w:rPr>
        <w:t xml:space="preserve">The Court received over 12,500 migration filings in total over the last three financial years. </w:t>
      </w:r>
      <w:r w:rsidR="254C747F" w:rsidRPr="00DB1B24">
        <w:rPr>
          <w:rFonts w:cstheme="minorHAnsi"/>
          <w:i/>
          <w:iCs/>
          <w:sz w:val="24"/>
          <w:szCs w:val="24"/>
          <w:lang w:eastAsia="zh-CN"/>
        </w:rPr>
        <w:t>This has had a significant impact on t</w:t>
      </w:r>
      <w:r w:rsidRPr="00DB1B24">
        <w:rPr>
          <w:rFonts w:cstheme="minorHAnsi"/>
          <w:i/>
          <w:iCs/>
          <w:sz w:val="24"/>
          <w:szCs w:val="24"/>
          <w:lang w:eastAsia="zh-CN"/>
        </w:rPr>
        <w:t xml:space="preserve">he pending migration caseload </w:t>
      </w:r>
      <w:r w:rsidR="41A329BF" w:rsidRPr="00DB1B24">
        <w:rPr>
          <w:rFonts w:cstheme="minorHAnsi"/>
          <w:i/>
          <w:iCs/>
          <w:sz w:val="24"/>
          <w:szCs w:val="24"/>
          <w:lang w:eastAsia="zh-CN"/>
        </w:rPr>
        <w:t>which</w:t>
      </w:r>
      <w:r w:rsidRPr="00DB1B24">
        <w:rPr>
          <w:rFonts w:cstheme="minorHAnsi"/>
          <w:i/>
          <w:iCs/>
          <w:sz w:val="24"/>
          <w:szCs w:val="24"/>
          <w:lang w:eastAsia="zh-CN"/>
        </w:rPr>
        <w:t xml:space="preserve"> </w:t>
      </w:r>
      <w:r w:rsidR="7C732BEF" w:rsidRPr="00DB1B24">
        <w:rPr>
          <w:rFonts w:cstheme="minorHAnsi"/>
          <w:i/>
          <w:iCs/>
          <w:sz w:val="24"/>
          <w:szCs w:val="24"/>
          <w:lang w:eastAsia="zh-CN"/>
        </w:rPr>
        <w:t>is now</w:t>
      </w:r>
      <w:r w:rsidRPr="00DB1B24">
        <w:rPr>
          <w:rFonts w:cstheme="minorHAnsi"/>
          <w:i/>
          <w:iCs/>
          <w:sz w:val="24"/>
          <w:szCs w:val="24"/>
          <w:lang w:eastAsia="zh-CN"/>
        </w:rPr>
        <w:t xml:space="preserve"> over 1</w:t>
      </w:r>
      <w:r w:rsidR="08F12006" w:rsidRPr="00DB1B24">
        <w:rPr>
          <w:rFonts w:cstheme="minorHAnsi"/>
          <w:i/>
          <w:iCs/>
          <w:sz w:val="24"/>
          <w:szCs w:val="24"/>
          <w:lang w:eastAsia="zh-CN"/>
        </w:rPr>
        <w:t>8</w:t>
      </w:r>
      <w:r w:rsidRPr="00DB1B24">
        <w:rPr>
          <w:rFonts w:cstheme="minorHAnsi"/>
          <w:i/>
          <w:iCs/>
          <w:sz w:val="24"/>
          <w:szCs w:val="24"/>
          <w:lang w:eastAsia="zh-CN"/>
        </w:rPr>
        <w:t>,000</w:t>
      </w:r>
      <w:r w:rsidR="00D33DF4" w:rsidRPr="00DB1B24">
        <w:rPr>
          <w:rFonts w:cstheme="minorHAnsi"/>
          <w:i/>
          <w:iCs/>
          <w:sz w:val="24"/>
          <w:szCs w:val="24"/>
          <w:lang w:eastAsia="zh-CN"/>
        </w:rPr>
        <w:t>…. Noting that approximately 79% of applicants</w:t>
      </w:r>
      <w:r w:rsidRPr="00DB1B24" w:rsidDel="00D33DF4">
        <w:rPr>
          <w:rFonts w:cstheme="minorHAnsi"/>
          <w:i/>
          <w:iCs/>
          <w:sz w:val="24"/>
          <w:szCs w:val="24"/>
          <w:lang w:eastAsia="zh-CN"/>
        </w:rPr>
        <w:t xml:space="preserve"> </w:t>
      </w:r>
      <w:r w:rsidR="00D33DF4" w:rsidRPr="00DB1B24">
        <w:rPr>
          <w:rFonts w:cstheme="minorHAnsi"/>
          <w:i/>
          <w:iCs/>
          <w:sz w:val="24"/>
          <w:szCs w:val="24"/>
          <w:lang w:eastAsia="zh-CN"/>
        </w:rPr>
        <w:t xml:space="preserve">are unrepresented and 79% of unrepresented applicants require an interpreter, </w:t>
      </w:r>
      <w:proofErr w:type="gramStart"/>
      <w:r w:rsidR="00D33DF4" w:rsidRPr="00DB1B24">
        <w:rPr>
          <w:rFonts w:cstheme="minorHAnsi"/>
          <w:i/>
          <w:iCs/>
          <w:sz w:val="24"/>
          <w:szCs w:val="24"/>
          <w:lang w:eastAsia="zh-CN"/>
        </w:rPr>
        <w:t>it is clear that we</w:t>
      </w:r>
      <w:proofErr w:type="gramEnd"/>
      <w:r w:rsidR="00D33DF4" w:rsidRPr="00DB1B24">
        <w:rPr>
          <w:rFonts w:cstheme="minorHAnsi"/>
          <w:i/>
          <w:iCs/>
          <w:sz w:val="24"/>
          <w:szCs w:val="24"/>
          <w:lang w:eastAsia="zh-CN"/>
        </w:rPr>
        <w:t xml:space="preserve"> must do all we can to ensure that the Court is able to communicate </w:t>
      </w:r>
      <w:r w:rsidR="02C1CDA0" w:rsidRPr="00DB1B24">
        <w:rPr>
          <w:rFonts w:cstheme="minorHAnsi"/>
          <w:sz w:val="24"/>
          <w:szCs w:val="24"/>
          <w:lang w:eastAsia="zh-CN"/>
        </w:rPr>
        <w:t>effectively</w:t>
      </w:r>
      <w:r w:rsidR="00D33DF4" w:rsidRPr="00DB1B24">
        <w:rPr>
          <w:rFonts w:cstheme="minorHAnsi"/>
          <w:i/>
          <w:iCs/>
          <w:sz w:val="24"/>
          <w:szCs w:val="24"/>
          <w:lang w:eastAsia="zh-CN"/>
        </w:rPr>
        <w:t xml:space="preserve"> with Court users in this jurisdiction.</w:t>
      </w:r>
      <w:r w:rsidRPr="00DB1B24">
        <w:rPr>
          <w:rFonts w:cstheme="minorHAnsi"/>
          <w:i/>
          <w:iCs/>
          <w:sz w:val="24"/>
          <w:szCs w:val="24"/>
          <w:lang w:eastAsia="zh-CN"/>
        </w:rPr>
        <w:t>”</w:t>
      </w:r>
      <w:r w:rsidR="00A3387F" w:rsidRPr="00DB1B24">
        <w:rPr>
          <w:rFonts w:cstheme="minorHAnsi"/>
          <w:sz w:val="24"/>
          <w:szCs w:val="24"/>
          <w:lang w:eastAsia="zh-CN"/>
        </w:rPr>
        <w:t xml:space="preserve"> </w:t>
      </w:r>
    </w:p>
    <w:p w14:paraId="5D68E5AE" w14:textId="0DCFE6DE" w:rsidR="00E471BB" w:rsidRPr="00DB1B24" w:rsidRDefault="008E28E6" w:rsidP="00833151">
      <w:pPr>
        <w:spacing w:before="240" w:line="276" w:lineRule="auto"/>
        <w:rPr>
          <w:rFonts w:cstheme="minorHAnsi"/>
          <w:sz w:val="24"/>
          <w:szCs w:val="24"/>
        </w:rPr>
      </w:pPr>
      <w:r w:rsidRPr="00DB1B24">
        <w:rPr>
          <w:rFonts w:cstheme="minorHAnsi"/>
          <w:bCs/>
          <w:sz w:val="24"/>
          <w:szCs w:val="24"/>
          <w:lang w:eastAsia="zh-CN"/>
        </w:rPr>
        <w:t>The development of the videos was informed by r</w:t>
      </w:r>
      <w:r w:rsidRPr="00DB1B24">
        <w:rPr>
          <w:rFonts w:cstheme="minorHAnsi"/>
          <w:sz w:val="24"/>
          <w:szCs w:val="24"/>
        </w:rPr>
        <w:t xml:space="preserve">epresentatives from various legal and support services working with migrant and refugee communities </w:t>
      </w:r>
      <w:r w:rsidR="001E2B25" w:rsidRPr="00DB1B24">
        <w:rPr>
          <w:rFonts w:cstheme="minorHAnsi"/>
          <w:sz w:val="24"/>
          <w:szCs w:val="24"/>
        </w:rPr>
        <w:t xml:space="preserve">and we are grateful for their </w:t>
      </w:r>
      <w:r w:rsidRPr="00DB1B24">
        <w:rPr>
          <w:rFonts w:cstheme="minorHAnsi"/>
          <w:sz w:val="24"/>
          <w:szCs w:val="24"/>
        </w:rPr>
        <w:t xml:space="preserve">invaluable </w:t>
      </w:r>
      <w:r w:rsidR="001E2B25" w:rsidRPr="00DB1B24">
        <w:rPr>
          <w:rFonts w:cstheme="minorHAnsi"/>
          <w:sz w:val="24"/>
          <w:szCs w:val="24"/>
        </w:rPr>
        <w:t xml:space="preserve">knowledge, time and </w:t>
      </w:r>
      <w:r w:rsidRPr="00DB1B24">
        <w:rPr>
          <w:rFonts w:cstheme="minorHAnsi"/>
          <w:sz w:val="24"/>
          <w:szCs w:val="24"/>
        </w:rPr>
        <w:t xml:space="preserve">input. </w:t>
      </w:r>
      <w:r w:rsidR="00813032" w:rsidRPr="00DB1B24">
        <w:rPr>
          <w:rFonts w:cstheme="minorHAnsi"/>
          <w:sz w:val="24"/>
          <w:szCs w:val="24"/>
        </w:rPr>
        <w:t xml:space="preserve">Based on those development activities, the Court has </w:t>
      </w:r>
      <w:r w:rsidR="00902C19" w:rsidRPr="00DB1B24">
        <w:rPr>
          <w:rFonts w:cstheme="minorHAnsi"/>
          <w:sz w:val="24"/>
          <w:szCs w:val="24"/>
        </w:rPr>
        <w:t xml:space="preserve">welcomed significant government funding </w:t>
      </w:r>
      <w:r w:rsidR="00F15BC2" w:rsidRPr="00DB1B24">
        <w:rPr>
          <w:rFonts w:cstheme="minorHAnsi"/>
          <w:sz w:val="24"/>
          <w:szCs w:val="24"/>
        </w:rPr>
        <w:t>to assist with efficiently resolving migration cases</w:t>
      </w:r>
      <w:r w:rsidR="00E471BB" w:rsidRPr="00DB1B24">
        <w:rPr>
          <w:rFonts w:cstheme="minorHAnsi"/>
          <w:sz w:val="24"/>
          <w:szCs w:val="24"/>
        </w:rPr>
        <w:t xml:space="preserve"> and to provide </w:t>
      </w:r>
      <w:r w:rsidR="00F73F48" w:rsidRPr="00DB1B24">
        <w:rPr>
          <w:rFonts w:cstheme="minorHAnsi"/>
          <w:sz w:val="24"/>
          <w:szCs w:val="24"/>
        </w:rPr>
        <w:t xml:space="preserve">additional </w:t>
      </w:r>
      <w:r w:rsidR="00E471BB" w:rsidRPr="00DB1B24">
        <w:rPr>
          <w:rFonts w:cstheme="minorHAnsi"/>
          <w:sz w:val="24"/>
          <w:szCs w:val="24"/>
        </w:rPr>
        <w:t>support to parties.</w:t>
      </w:r>
    </w:p>
    <w:p w14:paraId="6EB175A2" w14:textId="74DAED56" w:rsidR="00902C19" w:rsidRPr="00DB1B24" w:rsidRDefault="00E471BB" w:rsidP="000058CB">
      <w:pPr>
        <w:spacing w:before="240" w:line="276" w:lineRule="auto"/>
        <w:rPr>
          <w:rFonts w:cstheme="minorHAnsi"/>
          <w:sz w:val="24"/>
          <w:szCs w:val="24"/>
        </w:rPr>
      </w:pPr>
      <w:r w:rsidRPr="00DB1B24">
        <w:rPr>
          <w:rFonts w:cstheme="minorHAnsi"/>
          <w:sz w:val="24"/>
          <w:szCs w:val="24"/>
        </w:rPr>
        <w:t>As part of the 2024-25 Federal Government Budget the Court was allocated $</w:t>
      </w:r>
      <w:r w:rsidR="00F15BC2" w:rsidRPr="00DB1B24">
        <w:rPr>
          <w:rFonts w:cstheme="minorHAnsi"/>
          <w:sz w:val="24"/>
          <w:szCs w:val="24"/>
        </w:rPr>
        <w:t>64.4 million over the next four years</w:t>
      </w:r>
      <w:r w:rsidRPr="00DB1B24">
        <w:rPr>
          <w:rFonts w:cstheme="minorHAnsi"/>
          <w:sz w:val="24"/>
          <w:szCs w:val="24"/>
        </w:rPr>
        <w:t xml:space="preserve"> which builds </w:t>
      </w:r>
      <w:r w:rsidR="00902C19" w:rsidRPr="00DB1B24">
        <w:rPr>
          <w:rFonts w:cstheme="minorHAnsi"/>
          <w:sz w:val="24"/>
          <w:szCs w:val="24"/>
        </w:rPr>
        <w:t xml:space="preserve">upon funding received in the 2023-24 MYEFO Budget to assist with the migration caseload. The total funding package includes funding for </w:t>
      </w:r>
      <w:r w:rsidR="18C4F514" w:rsidRPr="00DB1B24">
        <w:rPr>
          <w:rFonts w:cstheme="minorHAnsi"/>
          <w:sz w:val="24"/>
          <w:szCs w:val="24"/>
        </w:rPr>
        <w:t>fourteen</w:t>
      </w:r>
      <w:r w:rsidR="00902C19" w:rsidRPr="00DB1B24">
        <w:rPr>
          <w:rFonts w:cstheme="minorHAnsi"/>
          <w:sz w:val="24"/>
          <w:szCs w:val="24"/>
        </w:rPr>
        <w:t xml:space="preserve"> Judges</w:t>
      </w:r>
      <w:r w:rsidR="1BB4838D" w:rsidRPr="00DB1B24">
        <w:rPr>
          <w:rFonts w:cstheme="minorHAnsi"/>
          <w:sz w:val="24"/>
          <w:szCs w:val="24"/>
        </w:rPr>
        <w:t xml:space="preserve">, together with funding for Judicial Registrars, </w:t>
      </w:r>
      <w:r w:rsidR="00902C19" w:rsidRPr="00DB1B24">
        <w:rPr>
          <w:rFonts w:cstheme="minorHAnsi"/>
          <w:sz w:val="24"/>
          <w:szCs w:val="24"/>
        </w:rPr>
        <w:t>Cultural Liaison Officers</w:t>
      </w:r>
      <w:r w:rsidR="6A5427F4" w:rsidRPr="00DB1B24">
        <w:rPr>
          <w:rFonts w:cstheme="minorHAnsi"/>
          <w:sz w:val="24"/>
          <w:szCs w:val="24"/>
        </w:rPr>
        <w:t xml:space="preserve"> and </w:t>
      </w:r>
      <w:r w:rsidR="35EDEDC0" w:rsidRPr="00DB1B24">
        <w:rPr>
          <w:rFonts w:cstheme="minorHAnsi"/>
          <w:sz w:val="24"/>
          <w:szCs w:val="24"/>
        </w:rPr>
        <w:t xml:space="preserve">registry and </w:t>
      </w:r>
      <w:r w:rsidR="6A5427F4" w:rsidRPr="00DB1B24">
        <w:rPr>
          <w:rFonts w:cstheme="minorHAnsi"/>
          <w:sz w:val="24"/>
          <w:szCs w:val="24"/>
        </w:rPr>
        <w:t>support staff</w:t>
      </w:r>
      <w:r w:rsidR="00902C19" w:rsidRPr="00DB1B24">
        <w:rPr>
          <w:rFonts w:cstheme="minorHAnsi"/>
          <w:sz w:val="24"/>
          <w:szCs w:val="24"/>
        </w:rPr>
        <w:t>.</w:t>
      </w:r>
    </w:p>
    <w:p w14:paraId="35B8F54B" w14:textId="77777777" w:rsidR="009D3F14" w:rsidRDefault="009D3F14">
      <w:pPr>
        <w:spacing w:after="160" w:line="259" w:lineRule="auto"/>
        <w:rPr>
          <w:rFonts w:eastAsia="Aptos" w:cstheme="minorHAnsi"/>
          <w:i/>
          <w:iCs/>
          <w:color w:val="212121"/>
          <w:sz w:val="24"/>
          <w:szCs w:val="24"/>
        </w:rPr>
      </w:pPr>
      <w:r>
        <w:rPr>
          <w:rFonts w:eastAsia="Aptos" w:cstheme="minorHAnsi"/>
          <w:i/>
          <w:iCs/>
          <w:color w:val="212121"/>
          <w:sz w:val="24"/>
          <w:szCs w:val="24"/>
        </w:rPr>
        <w:br w:type="page"/>
      </w:r>
    </w:p>
    <w:p w14:paraId="3A8D7362" w14:textId="313768B7" w:rsidR="00BD053A" w:rsidRPr="00DB1B24" w:rsidRDefault="00BE366A" w:rsidP="00833151">
      <w:pPr>
        <w:spacing w:before="240" w:line="276" w:lineRule="auto"/>
        <w:jc w:val="both"/>
        <w:rPr>
          <w:rFonts w:cstheme="minorHAnsi"/>
          <w:sz w:val="24"/>
          <w:szCs w:val="24"/>
        </w:rPr>
      </w:pPr>
      <w:r w:rsidRPr="00DB1B24">
        <w:rPr>
          <w:rFonts w:eastAsia="Aptos" w:cstheme="minorHAnsi"/>
          <w:i/>
          <w:iCs/>
          <w:color w:val="212121"/>
          <w:sz w:val="24"/>
          <w:szCs w:val="24"/>
        </w:rPr>
        <w:t>“</w:t>
      </w:r>
      <w:r w:rsidR="2FF3CB44" w:rsidRPr="00DB1B24">
        <w:rPr>
          <w:rFonts w:eastAsia="Aptos" w:cstheme="minorHAnsi"/>
          <w:i/>
          <w:iCs/>
          <w:color w:val="212121"/>
          <w:sz w:val="24"/>
          <w:szCs w:val="24"/>
        </w:rPr>
        <w:t xml:space="preserve">Access to justice in migration cases is crucial because litigants often face significant barriers that hinder their ability to fully participate in legal processes. Initiatives such as these are essential in giving voice to litigants and are part of a concerted effort to address the barriers migrants face, reinforcing the principle of equality before the law, which is the cornerstone of our legal system. Without these supports, true access to justice </w:t>
      </w:r>
      <w:r w:rsidR="59071EAB" w:rsidRPr="00DB1B24">
        <w:rPr>
          <w:rFonts w:eastAsia="Aptos" w:cstheme="minorHAnsi"/>
          <w:i/>
          <w:iCs/>
          <w:color w:val="212121"/>
          <w:sz w:val="24"/>
          <w:szCs w:val="24"/>
        </w:rPr>
        <w:t>could be challenging to attain</w:t>
      </w:r>
      <w:r w:rsidR="2FF3CB44" w:rsidRPr="00DB1B24">
        <w:rPr>
          <w:rFonts w:eastAsia="Aptos" w:cstheme="minorHAnsi"/>
          <w:i/>
          <w:iCs/>
          <w:color w:val="212121"/>
          <w:sz w:val="24"/>
          <w:szCs w:val="24"/>
        </w:rPr>
        <w:t xml:space="preserve"> for many</w:t>
      </w:r>
      <w:r w:rsidRPr="00DB1B24">
        <w:rPr>
          <w:rFonts w:eastAsia="Aptos" w:cstheme="minorHAnsi"/>
          <w:i/>
          <w:iCs/>
          <w:color w:val="212121"/>
          <w:sz w:val="24"/>
          <w:szCs w:val="24"/>
        </w:rPr>
        <w:t xml:space="preserve">”, </w:t>
      </w:r>
      <w:r w:rsidRPr="00DB1B24">
        <w:rPr>
          <w:rFonts w:eastAsia="Aptos" w:cstheme="minorHAnsi"/>
          <w:color w:val="212121"/>
          <w:sz w:val="24"/>
          <w:szCs w:val="24"/>
        </w:rPr>
        <w:t>said</w:t>
      </w:r>
      <w:r w:rsidR="002F5FD5" w:rsidRPr="00DB1B24">
        <w:rPr>
          <w:rFonts w:eastAsia="Aptos" w:cstheme="minorHAnsi"/>
          <w:color w:val="212121"/>
          <w:sz w:val="24"/>
          <w:szCs w:val="24"/>
        </w:rPr>
        <w:t xml:space="preserve"> human rights advocate </w:t>
      </w:r>
      <w:r w:rsidRPr="00DB1B24">
        <w:rPr>
          <w:rFonts w:eastAsia="Aptos" w:cstheme="minorHAnsi"/>
          <w:color w:val="212121"/>
          <w:sz w:val="24"/>
          <w:szCs w:val="24"/>
        </w:rPr>
        <w:t>Maria Dimopoulos</w:t>
      </w:r>
      <w:r w:rsidR="00B47382" w:rsidRPr="00DB1B24">
        <w:rPr>
          <w:rFonts w:cstheme="minorHAnsi"/>
          <w:sz w:val="24"/>
          <w:szCs w:val="24"/>
        </w:rPr>
        <w:t xml:space="preserve">, who </w:t>
      </w:r>
      <w:r w:rsidR="00D626BE" w:rsidRPr="00DB1B24">
        <w:rPr>
          <w:rFonts w:cstheme="minorHAnsi"/>
          <w:sz w:val="24"/>
          <w:szCs w:val="24"/>
        </w:rPr>
        <w:t>spoke at the launch event</w:t>
      </w:r>
      <w:r w:rsidR="00D6091F" w:rsidRPr="00DB1B24">
        <w:rPr>
          <w:rFonts w:cstheme="minorHAnsi"/>
          <w:sz w:val="24"/>
          <w:szCs w:val="24"/>
        </w:rPr>
        <w:t>.</w:t>
      </w:r>
    </w:p>
    <w:p w14:paraId="68C05E43" w14:textId="77777777" w:rsidR="008E28E6" w:rsidRPr="002057E9" w:rsidRDefault="008E28E6" w:rsidP="002057E9">
      <w:pPr>
        <w:pStyle w:val="Heading2"/>
      </w:pPr>
      <w:r w:rsidRPr="002057E9">
        <w:t>Migration Videos</w:t>
      </w:r>
    </w:p>
    <w:p w14:paraId="36ED2BD3" w14:textId="02B807A3" w:rsidR="008E28E6" w:rsidRPr="00DB1B24" w:rsidRDefault="008E28E6" w:rsidP="008E28E6">
      <w:pPr>
        <w:pStyle w:val="ListParagraph"/>
        <w:numPr>
          <w:ilvl w:val="0"/>
          <w:numId w:val="20"/>
        </w:numPr>
        <w:spacing w:after="160" w:line="279" w:lineRule="auto"/>
        <w:rPr>
          <w:rFonts w:cstheme="minorHAnsi"/>
          <w:sz w:val="24"/>
          <w:szCs w:val="24"/>
        </w:rPr>
      </w:pPr>
      <w:r w:rsidRPr="00DB1B24">
        <w:rPr>
          <w:rFonts w:cstheme="minorHAnsi"/>
          <w:sz w:val="24"/>
          <w:szCs w:val="24"/>
        </w:rPr>
        <w:t xml:space="preserve">The </w:t>
      </w:r>
      <w:r w:rsidR="003E784A" w:rsidRPr="00DB1B24">
        <w:rPr>
          <w:rFonts w:cstheme="minorHAnsi"/>
          <w:sz w:val="24"/>
          <w:szCs w:val="24"/>
        </w:rPr>
        <w:t>Court</w:t>
      </w:r>
      <w:r w:rsidRPr="00DB1B24">
        <w:rPr>
          <w:rFonts w:cstheme="minorHAnsi"/>
          <w:sz w:val="24"/>
          <w:szCs w:val="24"/>
        </w:rPr>
        <w:t xml:space="preserve"> has launched a series of three animated videos, providing accessible information to a diverse range of the public who may be involved in, or are considering engaging in, migration-related cases in the Court.</w:t>
      </w:r>
    </w:p>
    <w:p w14:paraId="2DFC3D9A" w14:textId="41A85CDD" w:rsidR="00F73F48" w:rsidRPr="00DB1B24" w:rsidRDefault="00F73F48" w:rsidP="00F73F48">
      <w:pPr>
        <w:pStyle w:val="ListParagraph"/>
        <w:numPr>
          <w:ilvl w:val="0"/>
          <w:numId w:val="20"/>
        </w:numPr>
        <w:spacing w:after="160" w:line="279" w:lineRule="auto"/>
        <w:rPr>
          <w:rFonts w:cstheme="minorHAnsi"/>
          <w:sz w:val="24"/>
          <w:szCs w:val="24"/>
        </w:rPr>
      </w:pPr>
      <w:r w:rsidRPr="00DB1B24">
        <w:rPr>
          <w:rFonts w:cstheme="minorHAnsi"/>
          <w:sz w:val="24"/>
          <w:szCs w:val="24"/>
        </w:rPr>
        <w:t xml:space="preserve">They are available from the Court's </w:t>
      </w:r>
      <w:hyperlink r:id="rId14" w:history="1">
        <w:r w:rsidRPr="00DB1B24">
          <w:rPr>
            <w:rStyle w:val="Hyperlink"/>
            <w:rFonts w:cstheme="minorHAnsi"/>
            <w:sz w:val="24"/>
            <w:szCs w:val="24"/>
          </w:rPr>
          <w:t>website</w:t>
        </w:r>
      </w:hyperlink>
      <w:r w:rsidRPr="00DB1B24">
        <w:rPr>
          <w:rFonts w:cstheme="minorHAnsi"/>
          <w:sz w:val="24"/>
          <w:szCs w:val="24"/>
        </w:rPr>
        <w:t xml:space="preserve"> and on </w:t>
      </w:r>
      <w:hyperlink r:id="rId15" w:history="1">
        <w:r w:rsidRPr="00DB1B24">
          <w:rPr>
            <w:rStyle w:val="Hyperlink"/>
            <w:rFonts w:cstheme="minorHAnsi"/>
            <w:sz w:val="24"/>
            <w:szCs w:val="24"/>
          </w:rPr>
          <w:t>Youtube</w:t>
        </w:r>
      </w:hyperlink>
      <w:r w:rsidRPr="00DB1B24">
        <w:rPr>
          <w:rFonts w:cstheme="minorHAnsi"/>
          <w:sz w:val="24"/>
          <w:szCs w:val="24"/>
        </w:rPr>
        <w:t>.</w:t>
      </w:r>
    </w:p>
    <w:p w14:paraId="43B6FE51" w14:textId="77777777" w:rsidR="008E28E6" w:rsidRPr="00DB1B24" w:rsidRDefault="008E28E6" w:rsidP="008E28E6">
      <w:pPr>
        <w:pStyle w:val="ListParagraph"/>
        <w:numPr>
          <w:ilvl w:val="0"/>
          <w:numId w:val="20"/>
        </w:numPr>
        <w:spacing w:after="160" w:line="279" w:lineRule="auto"/>
        <w:rPr>
          <w:rFonts w:cstheme="minorHAnsi"/>
          <w:sz w:val="24"/>
          <w:szCs w:val="24"/>
        </w:rPr>
      </w:pPr>
      <w:r w:rsidRPr="00DB1B24">
        <w:rPr>
          <w:rFonts w:cstheme="minorHAnsi"/>
          <w:sz w:val="24"/>
          <w:szCs w:val="24"/>
        </w:rPr>
        <w:t>The videos add to the existing suite of digital educational films that have been developed by the Court in recent years to increase access to justice and community engagement.</w:t>
      </w:r>
    </w:p>
    <w:p w14:paraId="5E4739E6" w14:textId="1E1ABB37" w:rsidR="008E28E6" w:rsidRPr="00DB1B24" w:rsidRDefault="008E28E6" w:rsidP="008E28E6">
      <w:pPr>
        <w:pStyle w:val="ListParagraph"/>
        <w:numPr>
          <w:ilvl w:val="0"/>
          <w:numId w:val="20"/>
        </w:numPr>
        <w:spacing w:after="160" w:line="279" w:lineRule="auto"/>
        <w:rPr>
          <w:rFonts w:cstheme="minorHAnsi"/>
          <w:sz w:val="24"/>
          <w:szCs w:val="24"/>
        </w:rPr>
      </w:pPr>
      <w:r w:rsidRPr="00DB1B24">
        <w:rPr>
          <w:rFonts w:cstheme="minorHAnsi"/>
          <w:sz w:val="24"/>
          <w:szCs w:val="24"/>
        </w:rPr>
        <w:t>The videos cover topics including:</w:t>
      </w:r>
    </w:p>
    <w:p w14:paraId="6D85098A" w14:textId="27827E1F" w:rsidR="008E28E6" w:rsidRPr="00DB1B24" w:rsidRDefault="008E28E6" w:rsidP="008E28E6">
      <w:pPr>
        <w:pStyle w:val="ListParagraph"/>
        <w:numPr>
          <w:ilvl w:val="1"/>
          <w:numId w:val="20"/>
        </w:numPr>
        <w:spacing w:after="160" w:line="279" w:lineRule="auto"/>
        <w:rPr>
          <w:rFonts w:cstheme="minorHAnsi"/>
          <w:sz w:val="24"/>
          <w:szCs w:val="24"/>
        </w:rPr>
      </w:pPr>
      <w:r w:rsidRPr="00DB1B24">
        <w:rPr>
          <w:rFonts w:cstheme="minorHAnsi"/>
          <w:sz w:val="24"/>
          <w:szCs w:val="24"/>
        </w:rPr>
        <w:t>‘What can the Court do in migration cases?’</w:t>
      </w:r>
    </w:p>
    <w:p w14:paraId="23CBDCEF" w14:textId="542D31B2" w:rsidR="008E28E6" w:rsidRPr="00DB1B24" w:rsidRDefault="008E28E6" w:rsidP="008E28E6">
      <w:pPr>
        <w:pStyle w:val="ListParagraph"/>
        <w:numPr>
          <w:ilvl w:val="1"/>
          <w:numId w:val="20"/>
        </w:numPr>
        <w:spacing w:after="160" w:line="279" w:lineRule="auto"/>
        <w:rPr>
          <w:rFonts w:cstheme="minorHAnsi"/>
          <w:sz w:val="24"/>
          <w:szCs w:val="24"/>
        </w:rPr>
      </w:pPr>
      <w:r w:rsidRPr="00DB1B24">
        <w:rPr>
          <w:rFonts w:cstheme="minorHAnsi"/>
          <w:sz w:val="24"/>
          <w:szCs w:val="24"/>
        </w:rPr>
        <w:t>‘How will my migration case be managed through the Court?’ and</w:t>
      </w:r>
    </w:p>
    <w:p w14:paraId="5EE78295" w14:textId="64D8499C" w:rsidR="008E28E6" w:rsidRPr="00DB1B24" w:rsidRDefault="008E28E6" w:rsidP="008E28E6">
      <w:pPr>
        <w:pStyle w:val="ListParagraph"/>
        <w:numPr>
          <w:ilvl w:val="1"/>
          <w:numId w:val="20"/>
        </w:numPr>
        <w:spacing w:after="160" w:line="279" w:lineRule="auto"/>
        <w:rPr>
          <w:rFonts w:cstheme="minorHAnsi"/>
          <w:sz w:val="24"/>
          <w:szCs w:val="24"/>
        </w:rPr>
      </w:pPr>
      <w:r w:rsidRPr="00DB1B24">
        <w:rPr>
          <w:rFonts w:cstheme="minorHAnsi"/>
          <w:sz w:val="24"/>
          <w:szCs w:val="24"/>
        </w:rPr>
        <w:t>‘What do I need to know when I attend court for my migration case?’.</w:t>
      </w:r>
    </w:p>
    <w:p w14:paraId="72896C16" w14:textId="77777777" w:rsidR="008E28E6" w:rsidRPr="00DB1B24" w:rsidRDefault="008E28E6" w:rsidP="008E28E6">
      <w:pPr>
        <w:pStyle w:val="ListParagraph"/>
        <w:numPr>
          <w:ilvl w:val="0"/>
          <w:numId w:val="19"/>
        </w:numPr>
        <w:spacing w:after="160" w:line="279" w:lineRule="auto"/>
        <w:rPr>
          <w:rFonts w:cstheme="minorHAnsi"/>
          <w:sz w:val="24"/>
          <w:szCs w:val="24"/>
        </w:rPr>
      </w:pPr>
      <w:r w:rsidRPr="00DB1B24">
        <w:rPr>
          <w:rFonts w:cstheme="minorHAnsi"/>
          <w:sz w:val="24"/>
          <w:szCs w:val="24"/>
        </w:rPr>
        <w:t>The Court is proud to have had each video translated into 11 languages to ensure accessibility. The videos are available in Mandarin Chinese, Tamil, Farsi, Bahasa Melayu, Punjabi, Pashto, Arabic, Urdu, Vietnamese, Thai and Bengali.</w:t>
      </w:r>
    </w:p>
    <w:p w14:paraId="1D047FA8" w14:textId="77777777" w:rsidR="008E28E6" w:rsidRPr="00EF0BD6" w:rsidRDefault="008E28E6" w:rsidP="002057E9">
      <w:pPr>
        <w:pStyle w:val="Heading2"/>
      </w:pPr>
      <w:r w:rsidRPr="00EF0BD6">
        <w:t>Cultural Liaison Officers</w:t>
      </w:r>
    </w:p>
    <w:p w14:paraId="50A206A7" w14:textId="34EE0359" w:rsidR="008E28E6" w:rsidRPr="00DB1B24" w:rsidRDefault="001C7366" w:rsidP="008E28E6">
      <w:pPr>
        <w:pStyle w:val="ListParagraph"/>
        <w:numPr>
          <w:ilvl w:val="0"/>
          <w:numId w:val="17"/>
        </w:numPr>
        <w:spacing w:after="160" w:line="279" w:lineRule="auto"/>
        <w:rPr>
          <w:rFonts w:cstheme="minorHAnsi"/>
          <w:sz w:val="24"/>
          <w:szCs w:val="24"/>
        </w:rPr>
      </w:pPr>
      <w:r w:rsidRPr="00DB1B24">
        <w:rPr>
          <w:rFonts w:cstheme="minorHAnsi"/>
          <w:sz w:val="24"/>
          <w:szCs w:val="24"/>
        </w:rPr>
        <w:t>A</w:t>
      </w:r>
      <w:r w:rsidR="008E28E6" w:rsidRPr="00DB1B24">
        <w:rPr>
          <w:rFonts w:cstheme="minorHAnsi"/>
          <w:sz w:val="24"/>
          <w:szCs w:val="24"/>
        </w:rPr>
        <w:t xml:space="preserve">s part of the 2024-25 Federal Government </w:t>
      </w:r>
      <w:r w:rsidR="009858D7" w:rsidRPr="00DB1B24">
        <w:rPr>
          <w:rFonts w:cstheme="minorHAnsi"/>
          <w:sz w:val="24"/>
          <w:szCs w:val="24"/>
        </w:rPr>
        <w:t>b</w:t>
      </w:r>
      <w:r w:rsidR="008E28E6" w:rsidRPr="00DB1B24">
        <w:rPr>
          <w:rFonts w:cstheme="minorHAnsi"/>
          <w:sz w:val="24"/>
          <w:szCs w:val="24"/>
        </w:rPr>
        <w:t xml:space="preserve">udget </w:t>
      </w:r>
      <w:r w:rsidRPr="00DB1B24">
        <w:rPr>
          <w:rFonts w:cstheme="minorHAnsi"/>
          <w:sz w:val="24"/>
          <w:szCs w:val="24"/>
        </w:rPr>
        <w:t>the Court received funding to esta</w:t>
      </w:r>
      <w:r w:rsidR="008E28E6" w:rsidRPr="00DB1B24">
        <w:rPr>
          <w:rFonts w:cstheme="minorHAnsi"/>
          <w:sz w:val="24"/>
          <w:szCs w:val="24"/>
        </w:rPr>
        <w:t xml:space="preserve">blish </w:t>
      </w:r>
      <w:r w:rsidR="009858D7" w:rsidRPr="00DB1B24">
        <w:rPr>
          <w:rFonts w:cstheme="minorHAnsi"/>
          <w:sz w:val="24"/>
          <w:szCs w:val="24"/>
        </w:rPr>
        <w:t xml:space="preserve">the position of </w:t>
      </w:r>
      <w:r w:rsidR="008E28E6" w:rsidRPr="00DB1B24">
        <w:rPr>
          <w:rFonts w:cstheme="minorHAnsi"/>
          <w:sz w:val="24"/>
          <w:szCs w:val="24"/>
        </w:rPr>
        <w:t>Cultural Liaison Officer within the Court</w:t>
      </w:r>
      <w:r w:rsidR="00417564" w:rsidRPr="00DB1B24">
        <w:rPr>
          <w:rFonts w:cstheme="minorHAnsi"/>
          <w:sz w:val="24"/>
          <w:szCs w:val="24"/>
        </w:rPr>
        <w:t xml:space="preserve"> </w:t>
      </w:r>
      <w:r w:rsidR="008E28E6" w:rsidRPr="00DB1B24">
        <w:rPr>
          <w:rFonts w:cstheme="minorHAnsi"/>
          <w:sz w:val="24"/>
          <w:szCs w:val="24"/>
        </w:rPr>
        <w:t xml:space="preserve">to assist parties in migration matters </w:t>
      </w:r>
      <w:r w:rsidR="00417564" w:rsidRPr="00DB1B24">
        <w:rPr>
          <w:rFonts w:cstheme="minorHAnsi"/>
          <w:sz w:val="24"/>
          <w:szCs w:val="24"/>
        </w:rPr>
        <w:t xml:space="preserve">to </w:t>
      </w:r>
      <w:r w:rsidR="008E28E6" w:rsidRPr="00DB1B24">
        <w:rPr>
          <w:rFonts w:cstheme="minorHAnsi"/>
          <w:sz w:val="24"/>
          <w:szCs w:val="24"/>
        </w:rPr>
        <w:t>navigate the court process</w:t>
      </w:r>
      <w:r w:rsidR="009858D7" w:rsidRPr="00DB1B24">
        <w:rPr>
          <w:rFonts w:cstheme="minorHAnsi"/>
          <w:sz w:val="24"/>
          <w:szCs w:val="24"/>
        </w:rPr>
        <w:t xml:space="preserve">, </w:t>
      </w:r>
      <w:proofErr w:type="gramStart"/>
      <w:r w:rsidR="009858D7" w:rsidRPr="00DB1B24">
        <w:rPr>
          <w:rFonts w:cstheme="minorHAnsi"/>
          <w:sz w:val="24"/>
          <w:szCs w:val="24"/>
        </w:rPr>
        <w:t>a number of</w:t>
      </w:r>
      <w:proofErr w:type="gramEnd"/>
      <w:r w:rsidR="009858D7" w:rsidRPr="00DB1B24">
        <w:rPr>
          <w:rFonts w:cstheme="minorHAnsi"/>
          <w:sz w:val="24"/>
          <w:szCs w:val="24"/>
        </w:rPr>
        <w:t xml:space="preserve"> whom </w:t>
      </w:r>
      <w:r w:rsidR="52874E66" w:rsidRPr="00DB1B24">
        <w:rPr>
          <w:rFonts w:cstheme="minorHAnsi"/>
          <w:sz w:val="24"/>
          <w:szCs w:val="24"/>
        </w:rPr>
        <w:t>are expected to</w:t>
      </w:r>
      <w:r w:rsidR="009858D7" w:rsidRPr="00DB1B24">
        <w:rPr>
          <w:rFonts w:cstheme="minorHAnsi"/>
          <w:sz w:val="24"/>
          <w:szCs w:val="24"/>
        </w:rPr>
        <w:t xml:space="preserve"> be recruited </w:t>
      </w:r>
      <w:r w:rsidR="009A3CC6" w:rsidRPr="00DB1B24">
        <w:rPr>
          <w:rFonts w:cstheme="minorHAnsi"/>
          <w:sz w:val="24"/>
          <w:szCs w:val="24"/>
        </w:rPr>
        <w:t>before the end of 2024.</w:t>
      </w:r>
    </w:p>
    <w:p w14:paraId="6645B55C" w14:textId="3D190AF2" w:rsidR="000D08F0" w:rsidRPr="009D3F14" w:rsidRDefault="008E28E6" w:rsidP="009D3F14">
      <w:pPr>
        <w:pStyle w:val="ListParagraph"/>
        <w:numPr>
          <w:ilvl w:val="0"/>
          <w:numId w:val="17"/>
        </w:numPr>
        <w:spacing w:after="160" w:line="279" w:lineRule="auto"/>
        <w:rPr>
          <w:rFonts w:cstheme="minorHAnsi"/>
          <w:sz w:val="24"/>
          <w:szCs w:val="24"/>
        </w:rPr>
      </w:pPr>
      <w:r w:rsidRPr="00DB1B24">
        <w:rPr>
          <w:rFonts w:cstheme="minorHAnsi"/>
          <w:sz w:val="24"/>
          <w:szCs w:val="24"/>
        </w:rPr>
        <w:t>Noting the significant barriers faced by many culturally and linguistically diverse parties from migrant and refugee backgrounds</w:t>
      </w:r>
      <w:r w:rsidR="00417564" w:rsidRPr="00DB1B24">
        <w:rPr>
          <w:rFonts w:cstheme="minorHAnsi"/>
          <w:sz w:val="24"/>
          <w:szCs w:val="24"/>
        </w:rPr>
        <w:t xml:space="preserve"> in</w:t>
      </w:r>
      <w:r w:rsidRPr="00DB1B24">
        <w:rPr>
          <w:rFonts w:cstheme="minorHAnsi"/>
          <w:sz w:val="24"/>
          <w:szCs w:val="24"/>
        </w:rPr>
        <w:t xml:space="preserve"> </w:t>
      </w:r>
      <w:r w:rsidR="00417564" w:rsidRPr="00DB1B24">
        <w:rPr>
          <w:rFonts w:cstheme="minorHAnsi"/>
          <w:sz w:val="24"/>
          <w:szCs w:val="24"/>
        </w:rPr>
        <w:t>engaging with the justice system</w:t>
      </w:r>
      <w:r w:rsidRPr="00DB1B24">
        <w:rPr>
          <w:rFonts w:cstheme="minorHAnsi"/>
          <w:sz w:val="24"/>
          <w:szCs w:val="24"/>
        </w:rPr>
        <w:t xml:space="preserve">, the </w:t>
      </w:r>
      <w:r w:rsidR="001C7366" w:rsidRPr="00DB1B24">
        <w:rPr>
          <w:rFonts w:cstheme="minorHAnsi"/>
          <w:sz w:val="24"/>
          <w:szCs w:val="24"/>
        </w:rPr>
        <w:t xml:space="preserve">Court’s </w:t>
      </w:r>
      <w:r w:rsidRPr="00DB1B24">
        <w:rPr>
          <w:rFonts w:cstheme="minorHAnsi"/>
          <w:sz w:val="24"/>
          <w:szCs w:val="24"/>
        </w:rPr>
        <w:t>Cultural Liaison Officers (CLOs) will provide vital support to culturally and linguistically diverse litigants by explaining court processes, attending hearings, and assisting with document filing. They will connect litigants to appropriate legal and social services through referrals and coordination with agencies, ensure interpreters are available and prepared for court proceedings, and provide logistical support for videoconferencing, particularly for detained litigants. More broadly, the CLOs will engage with community organisations to build relationships, raise awareness of court services, and assist in the development of internal training on the needs of culturally diverse communities.</w:t>
      </w:r>
    </w:p>
    <w:sectPr w:rsidR="000D08F0" w:rsidRPr="009D3F14" w:rsidSect="00AF5976">
      <w:footerReference w:type="default" r:id="rId16"/>
      <w:headerReference w:type="first" r:id="rId1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531377" w14:textId="77777777" w:rsidR="00B73D3C" w:rsidRDefault="00B73D3C" w:rsidP="00965ADE">
      <w:r>
        <w:separator/>
      </w:r>
    </w:p>
  </w:endnote>
  <w:endnote w:type="continuationSeparator" w:id="0">
    <w:p w14:paraId="14F77328" w14:textId="77777777" w:rsidR="00B73D3C" w:rsidRDefault="00B73D3C" w:rsidP="00965ADE">
      <w:r>
        <w:continuationSeparator/>
      </w:r>
    </w:p>
  </w:endnote>
  <w:endnote w:type="continuationNotice" w:id="1">
    <w:p w14:paraId="2ACD2F64" w14:textId="77777777" w:rsidR="00B73D3C" w:rsidRDefault="00B73D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ter">
    <w:panose1 w:val="020B0502030000000004"/>
    <w:charset w:val="00"/>
    <w:family w:val="swiss"/>
    <w:pitch w:val="variable"/>
    <w:sig w:usb0="E00002FF" w:usb1="1200A1FF" w:usb2="00000001"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65BC30F9" w14:textId="35FCDDEA"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AB533D" w:rsidRPr="00AB533D">
          <w:rPr>
            <w:b/>
            <w:bCs/>
            <w:noProof/>
            <w:sz w:val="16"/>
            <w:szCs w:val="16"/>
          </w:rPr>
          <w:t>2</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7884C2C7" w14:textId="6C08D2FE" w:rsidR="00090B7F" w:rsidRDefault="00090B7F" w:rsidP="00090B7F">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James Milsom</w:t>
    </w:r>
    <w:r w:rsidRPr="00F73F48">
      <w:rPr>
        <w:rFonts w:ascii="Calibri Light" w:eastAsiaTheme="minorEastAsia" w:hAnsi="Calibri Light" w:cs="Calibri Light"/>
        <w:noProof/>
        <w:color w:val="666666"/>
        <w:lang w:eastAsia="en-AU"/>
      </w:rPr>
      <w:t xml:space="preserve">, </w:t>
    </w:r>
    <w:r w:rsidR="005D130F">
      <w:rPr>
        <w:rFonts w:ascii="Calibri Light" w:eastAsiaTheme="minorEastAsia" w:hAnsi="Calibri Light" w:cs="Calibri Light"/>
        <w:noProof/>
        <w:color w:val="666666"/>
        <w:lang w:eastAsia="en-AU"/>
      </w:rPr>
      <w:t>Acting Director</w:t>
    </w:r>
    <w:r>
      <w:rPr>
        <w:rFonts w:ascii="Calibri Light" w:eastAsiaTheme="minorEastAsia" w:hAnsi="Calibri Light" w:cs="Calibri Light"/>
        <w:noProof/>
        <w:color w:val="666666"/>
        <w:lang w:eastAsia="en-AU"/>
      </w:rPr>
      <w:t xml:space="preserve"> – Media &amp; Public Affairs, Federal Circuit and Family Court of Australia </w:t>
    </w:r>
  </w:p>
  <w:p w14:paraId="18315317" w14:textId="77777777" w:rsidR="00090B7F" w:rsidRPr="00D54EE1" w:rsidRDefault="00090B7F" w:rsidP="00090B7F">
    <w:pPr>
      <w:tabs>
        <w:tab w:val="left" w:pos="3615"/>
      </w:tabs>
      <w:rPr>
        <w:rFonts w:ascii="Calibri Light" w:eastAsiaTheme="minorEastAsia" w:hAnsi="Calibri Light" w:cs="Calibri Light"/>
        <w:lang w:eastAsia="en-AU"/>
      </w:rPr>
    </w:pPr>
    <w:r>
      <w:rPr>
        <w:rFonts w:ascii="Calibri" w:hAnsi="Calibri"/>
        <w:b/>
        <w:bCs/>
        <w:color w:val="000000"/>
        <w:sz w:val="20"/>
        <w:szCs w:val="20"/>
        <w:lang w:val="en-US" w:eastAsia="en-AU"/>
      </w:rPr>
      <w:t>p.</w:t>
    </w:r>
    <w:r>
      <w:rPr>
        <w:rFonts w:ascii="Calibri" w:hAnsi="Calibri"/>
        <w:color w:val="000000"/>
        <w:sz w:val="20"/>
        <w:szCs w:val="20"/>
        <w:lang w:val="en-US" w:eastAsia="en-AU"/>
      </w:rPr>
      <w:t xml:space="preserve"> 0436 619 739 | </w:t>
    </w:r>
    <w:r>
      <w:rPr>
        <w:rFonts w:ascii="Calibri" w:hAnsi="Calibri"/>
        <w:b/>
        <w:bCs/>
        <w:color w:val="000000"/>
        <w:sz w:val="20"/>
        <w:szCs w:val="20"/>
        <w:lang w:val="en-US" w:eastAsia="en-AU"/>
      </w:rPr>
      <w:t xml:space="preserve">e. </w:t>
    </w:r>
    <w:hyperlink r:id="rId1" w:history="1">
      <w:r>
        <w:rPr>
          <w:rStyle w:val="Hyperlink"/>
          <w:rFonts w:ascii="Calibri" w:hAnsi="Calibri"/>
          <w:color w:val="0563C1"/>
          <w:sz w:val="20"/>
          <w:szCs w:val="20"/>
          <w:lang w:val="en-US"/>
        </w:rPr>
        <w:t>james.milsom@fcfcoa.gov.au</w:t>
      </w:r>
    </w:hyperlink>
  </w:p>
  <w:p w14:paraId="7FAFB7E4" w14:textId="374D6A81" w:rsidR="00965ADE" w:rsidRDefault="00965ADE" w:rsidP="00090B7F">
    <w:pPr>
      <w:pStyle w:val="Footer"/>
      <w:tabs>
        <w:tab w:val="clear" w:pos="4513"/>
        <w:tab w:val="clear" w:pos="9026"/>
        <w:tab w:val="left" w:pos="187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56A38B" w14:textId="77777777" w:rsidR="00B73D3C" w:rsidRDefault="00B73D3C" w:rsidP="00965ADE">
      <w:r>
        <w:separator/>
      </w:r>
    </w:p>
  </w:footnote>
  <w:footnote w:type="continuationSeparator" w:id="0">
    <w:p w14:paraId="416D0714" w14:textId="77777777" w:rsidR="00B73D3C" w:rsidRDefault="00B73D3C" w:rsidP="00965ADE">
      <w:r>
        <w:continuationSeparator/>
      </w:r>
    </w:p>
  </w:footnote>
  <w:footnote w:type="continuationNotice" w:id="1">
    <w:p w14:paraId="5F8C1474" w14:textId="77777777" w:rsidR="00B73D3C" w:rsidRDefault="00B73D3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1FC180" w14:textId="14830BA7" w:rsidR="00F5194D" w:rsidRDefault="00DB1B24">
    <w:pPr>
      <w:pStyle w:val="Header"/>
    </w:pPr>
    <w:r>
      <w:rPr>
        <w:noProof/>
      </w:rPr>
      <w:drawing>
        <wp:anchor distT="0" distB="0" distL="114300" distR="114300" simplePos="0" relativeHeight="251659264" behindDoc="1" locked="0" layoutInCell="1" allowOverlap="1" wp14:anchorId="0262B806" wp14:editId="737E246A">
          <wp:simplePos x="0" y="0"/>
          <wp:positionH relativeFrom="page">
            <wp:posOffset>161925</wp:posOffset>
          </wp:positionH>
          <wp:positionV relativeFrom="paragraph">
            <wp:posOffset>-343535</wp:posOffset>
          </wp:positionV>
          <wp:extent cx="7185380" cy="1855778"/>
          <wp:effectExtent l="0" t="0" r="0" b="0"/>
          <wp:wrapNone/>
          <wp:docPr id="172993203" name="Picture 1" descr="A group of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93203" name="Picture 1" descr="A group of blue dot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85380" cy="185577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C5476A"/>
    <w:multiLevelType w:val="hybridMultilevel"/>
    <w:tmpl w:val="D04C947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B597674"/>
    <w:multiLevelType w:val="hybridMultilevel"/>
    <w:tmpl w:val="5C8E1E10"/>
    <w:lvl w:ilvl="0" w:tplc="9B78BFAA">
      <w:numFmt w:val="bullet"/>
      <w:lvlText w:val="-"/>
      <w:lvlJc w:val="left"/>
      <w:pPr>
        <w:ind w:left="720" w:hanging="360"/>
      </w:pPr>
      <w:rPr>
        <w:rFonts w:ascii="Aptos" w:eastAsia="Aptos" w:hAnsi="Aptos" w:cs="Apto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6F26A7"/>
    <w:multiLevelType w:val="hybridMultilevel"/>
    <w:tmpl w:val="269ECDFC"/>
    <w:lvl w:ilvl="0" w:tplc="35FC520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71196A"/>
    <w:multiLevelType w:val="hybridMultilevel"/>
    <w:tmpl w:val="3C469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53B1AD"/>
    <w:multiLevelType w:val="hybridMultilevel"/>
    <w:tmpl w:val="FFFFFFFF"/>
    <w:lvl w:ilvl="0" w:tplc="1B60AF98">
      <w:start w:val="1"/>
      <w:numFmt w:val="bullet"/>
      <w:lvlText w:val=""/>
      <w:lvlJc w:val="left"/>
      <w:pPr>
        <w:ind w:left="720" w:hanging="360"/>
      </w:pPr>
      <w:rPr>
        <w:rFonts w:ascii="Symbol" w:hAnsi="Symbol" w:hint="default"/>
      </w:rPr>
    </w:lvl>
    <w:lvl w:ilvl="1" w:tplc="EE526324">
      <w:start w:val="1"/>
      <w:numFmt w:val="bullet"/>
      <w:lvlText w:val="o"/>
      <w:lvlJc w:val="left"/>
      <w:pPr>
        <w:ind w:left="1440" w:hanging="360"/>
      </w:pPr>
      <w:rPr>
        <w:rFonts w:ascii="Courier New" w:hAnsi="Courier New" w:hint="default"/>
      </w:rPr>
    </w:lvl>
    <w:lvl w:ilvl="2" w:tplc="F080E4F4">
      <w:start w:val="1"/>
      <w:numFmt w:val="bullet"/>
      <w:lvlText w:val=""/>
      <w:lvlJc w:val="left"/>
      <w:pPr>
        <w:ind w:left="2160" w:hanging="360"/>
      </w:pPr>
      <w:rPr>
        <w:rFonts w:ascii="Wingdings" w:hAnsi="Wingdings" w:hint="default"/>
      </w:rPr>
    </w:lvl>
    <w:lvl w:ilvl="3" w:tplc="29B806F4">
      <w:start w:val="1"/>
      <w:numFmt w:val="bullet"/>
      <w:lvlText w:val=""/>
      <w:lvlJc w:val="left"/>
      <w:pPr>
        <w:ind w:left="2880" w:hanging="360"/>
      </w:pPr>
      <w:rPr>
        <w:rFonts w:ascii="Symbol" w:hAnsi="Symbol" w:hint="default"/>
      </w:rPr>
    </w:lvl>
    <w:lvl w:ilvl="4" w:tplc="2830FE2E">
      <w:start w:val="1"/>
      <w:numFmt w:val="bullet"/>
      <w:lvlText w:val="o"/>
      <w:lvlJc w:val="left"/>
      <w:pPr>
        <w:ind w:left="3600" w:hanging="360"/>
      </w:pPr>
      <w:rPr>
        <w:rFonts w:ascii="Courier New" w:hAnsi="Courier New" w:hint="default"/>
      </w:rPr>
    </w:lvl>
    <w:lvl w:ilvl="5" w:tplc="BF1C4FB4">
      <w:start w:val="1"/>
      <w:numFmt w:val="bullet"/>
      <w:lvlText w:val=""/>
      <w:lvlJc w:val="left"/>
      <w:pPr>
        <w:ind w:left="4320" w:hanging="360"/>
      </w:pPr>
      <w:rPr>
        <w:rFonts w:ascii="Wingdings" w:hAnsi="Wingdings" w:hint="default"/>
      </w:rPr>
    </w:lvl>
    <w:lvl w:ilvl="6" w:tplc="420645A0">
      <w:start w:val="1"/>
      <w:numFmt w:val="bullet"/>
      <w:lvlText w:val=""/>
      <w:lvlJc w:val="left"/>
      <w:pPr>
        <w:ind w:left="5040" w:hanging="360"/>
      </w:pPr>
      <w:rPr>
        <w:rFonts w:ascii="Symbol" w:hAnsi="Symbol" w:hint="default"/>
      </w:rPr>
    </w:lvl>
    <w:lvl w:ilvl="7" w:tplc="9D706834">
      <w:start w:val="1"/>
      <w:numFmt w:val="bullet"/>
      <w:lvlText w:val="o"/>
      <w:lvlJc w:val="left"/>
      <w:pPr>
        <w:ind w:left="5760" w:hanging="360"/>
      </w:pPr>
      <w:rPr>
        <w:rFonts w:ascii="Courier New" w:hAnsi="Courier New" w:hint="default"/>
      </w:rPr>
    </w:lvl>
    <w:lvl w:ilvl="8" w:tplc="341A34E0">
      <w:start w:val="1"/>
      <w:numFmt w:val="bullet"/>
      <w:lvlText w:val=""/>
      <w:lvlJc w:val="left"/>
      <w:pPr>
        <w:ind w:left="6480" w:hanging="360"/>
      </w:pPr>
      <w:rPr>
        <w:rFonts w:ascii="Wingdings" w:hAnsi="Wingdings" w:hint="default"/>
      </w:rPr>
    </w:lvl>
  </w:abstractNum>
  <w:abstractNum w:abstractNumId="6" w15:restartNumberingAfterBreak="0">
    <w:nsid w:val="25FD13A5"/>
    <w:multiLevelType w:val="hybridMultilevel"/>
    <w:tmpl w:val="C72C7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6E4748"/>
    <w:multiLevelType w:val="hybridMultilevel"/>
    <w:tmpl w:val="D354F940"/>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309B60A2"/>
    <w:multiLevelType w:val="hybridMultilevel"/>
    <w:tmpl w:val="0EA679A0"/>
    <w:lvl w:ilvl="0" w:tplc="7E12E6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6F9911C"/>
    <w:multiLevelType w:val="hybridMultilevel"/>
    <w:tmpl w:val="FFFFFFFF"/>
    <w:lvl w:ilvl="0" w:tplc="44C462F2">
      <w:start w:val="1"/>
      <w:numFmt w:val="bullet"/>
      <w:lvlText w:val=""/>
      <w:lvlJc w:val="left"/>
      <w:pPr>
        <w:ind w:left="720" w:hanging="360"/>
      </w:pPr>
      <w:rPr>
        <w:rFonts w:ascii="Symbol" w:hAnsi="Symbol" w:hint="default"/>
      </w:rPr>
    </w:lvl>
    <w:lvl w:ilvl="1" w:tplc="4FBA230A">
      <w:start w:val="1"/>
      <w:numFmt w:val="bullet"/>
      <w:lvlText w:val="o"/>
      <w:lvlJc w:val="left"/>
      <w:pPr>
        <w:ind w:left="1440" w:hanging="360"/>
      </w:pPr>
      <w:rPr>
        <w:rFonts w:ascii="Courier New" w:hAnsi="Courier New" w:hint="default"/>
      </w:rPr>
    </w:lvl>
    <w:lvl w:ilvl="2" w:tplc="96C0E974">
      <w:start w:val="1"/>
      <w:numFmt w:val="bullet"/>
      <w:lvlText w:val=""/>
      <w:lvlJc w:val="left"/>
      <w:pPr>
        <w:ind w:left="2160" w:hanging="360"/>
      </w:pPr>
      <w:rPr>
        <w:rFonts w:ascii="Wingdings" w:hAnsi="Wingdings" w:hint="default"/>
      </w:rPr>
    </w:lvl>
    <w:lvl w:ilvl="3" w:tplc="9942EE58">
      <w:start w:val="1"/>
      <w:numFmt w:val="bullet"/>
      <w:lvlText w:val=""/>
      <w:lvlJc w:val="left"/>
      <w:pPr>
        <w:ind w:left="2880" w:hanging="360"/>
      </w:pPr>
      <w:rPr>
        <w:rFonts w:ascii="Symbol" w:hAnsi="Symbol" w:hint="default"/>
      </w:rPr>
    </w:lvl>
    <w:lvl w:ilvl="4" w:tplc="5BF63F4C">
      <w:start w:val="1"/>
      <w:numFmt w:val="bullet"/>
      <w:lvlText w:val="o"/>
      <w:lvlJc w:val="left"/>
      <w:pPr>
        <w:ind w:left="3600" w:hanging="360"/>
      </w:pPr>
      <w:rPr>
        <w:rFonts w:ascii="Courier New" w:hAnsi="Courier New" w:hint="default"/>
      </w:rPr>
    </w:lvl>
    <w:lvl w:ilvl="5" w:tplc="B9C655AA">
      <w:start w:val="1"/>
      <w:numFmt w:val="bullet"/>
      <w:lvlText w:val=""/>
      <w:lvlJc w:val="left"/>
      <w:pPr>
        <w:ind w:left="4320" w:hanging="360"/>
      </w:pPr>
      <w:rPr>
        <w:rFonts w:ascii="Wingdings" w:hAnsi="Wingdings" w:hint="default"/>
      </w:rPr>
    </w:lvl>
    <w:lvl w:ilvl="6" w:tplc="D9B2FE54">
      <w:start w:val="1"/>
      <w:numFmt w:val="bullet"/>
      <w:lvlText w:val=""/>
      <w:lvlJc w:val="left"/>
      <w:pPr>
        <w:ind w:left="5040" w:hanging="360"/>
      </w:pPr>
      <w:rPr>
        <w:rFonts w:ascii="Symbol" w:hAnsi="Symbol" w:hint="default"/>
      </w:rPr>
    </w:lvl>
    <w:lvl w:ilvl="7" w:tplc="818EA1DC">
      <w:start w:val="1"/>
      <w:numFmt w:val="bullet"/>
      <w:lvlText w:val="o"/>
      <w:lvlJc w:val="left"/>
      <w:pPr>
        <w:ind w:left="5760" w:hanging="360"/>
      </w:pPr>
      <w:rPr>
        <w:rFonts w:ascii="Courier New" w:hAnsi="Courier New" w:hint="default"/>
      </w:rPr>
    </w:lvl>
    <w:lvl w:ilvl="8" w:tplc="14C892B4">
      <w:start w:val="1"/>
      <w:numFmt w:val="bullet"/>
      <w:lvlText w:val=""/>
      <w:lvlJc w:val="left"/>
      <w:pPr>
        <w:ind w:left="6480" w:hanging="360"/>
      </w:pPr>
      <w:rPr>
        <w:rFonts w:ascii="Wingdings" w:hAnsi="Wingdings" w:hint="default"/>
      </w:rPr>
    </w:lvl>
  </w:abstractNum>
  <w:abstractNum w:abstractNumId="11" w15:restartNumberingAfterBreak="0">
    <w:nsid w:val="417B41BF"/>
    <w:multiLevelType w:val="hybridMultilevel"/>
    <w:tmpl w:val="F28ED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2AB1E87"/>
    <w:multiLevelType w:val="hybridMultilevel"/>
    <w:tmpl w:val="FFFFFFFF"/>
    <w:lvl w:ilvl="0" w:tplc="ACC6DA46">
      <w:start w:val="1"/>
      <w:numFmt w:val="bullet"/>
      <w:lvlText w:val=""/>
      <w:lvlJc w:val="left"/>
      <w:pPr>
        <w:ind w:left="720" w:hanging="360"/>
      </w:pPr>
      <w:rPr>
        <w:rFonts w:ascii="Symbol" w:hAnsi="Symbol" w:hint="default"/>
      </w:rPr>
    </w:lvl>
    <w:lvl w:ilvl="1" w:tplc="6B3E975A">
      <w:start w:val="1"/>
      <w:numFmt w:val="bullet"/>
      <w:lvlText w:val="o"/>
      <w:lvlJc w:val="left"/>
      <w:pPr>
        <w:ind w:left="1440" w:hanging="360"/>
      </w:pPr>
      <w:rPr>
        <w:rFonts w:ascii="Courier New" w:hAnsi="Courier New" w:hint="default"/>
      </w:rPr>
    </w:lvl>
    <w:lvl w:ilvl="2" w:tplc="C3785F72">
      <w:start w:val="1"/>
      <w:numFmt w:val="bullet"/>
      <w:lvlText w:val=""/>
      <w:lvlJc w:val="left"/>
      <w:pPr>
        <w:ind w:left="2160" w:hanging="360"/>
      </w:pPr>
      <w:rPr>
        <w:rFonts w:ascii="Wingdings" w:hAnsi="Wingdings" w:hint="default"/>
      </w:rPr>
    </w:lvl>
    <w:lvl w:ilvl="3" w:tplc="17488372">
      <w:start w:val="1"/>
      <w:numFmt w:val="bullet"/>
      <w:lvlText w:val=""/>
      <w:lvlJc w:val="left"/>
      <w:pPr>
        <w:ind w:left="2880" w:hanging="360"/>
      </w:pPr>
      <w:rPr>
        <w:rFonts w:ascii="Symbol" w:hAnsi="Symbol" w:hint="default"/>
      </w:rPr>
    </w:lvl>
    <w:lvl w:ilvl="4" w:tplc="4EF2EEFC">
      <w:start w:val="1"/>
      <w:numFmt w:val="bullet"/>
      <w:lvlText w:val="o"/>
      <w:lvlJc w:val="left"/>
      <w:pPr>
        <w:ind w:left="3600" w:hanging="360"/>
      </w:pPr>
      <w:rPr>
        <w:rFonts w:ascii="Courier New" w:hAnsi="Courier New" w:hint="default"/>
      </w:rPr>
    </w:lvl>
    <w:lvl w:ilvl="5" w:tplc="CBDE9542">
      <w:start w:val="1"/>
      <w:numFmt w:val="bullet"/>
      <w:lvlText w:val=""/>
      <w:lvlJc w:val="left"/>
      <w:pPr>
        <w:ind w:left="4320" w:hanging="360"/>
      </w:pPr>
      <w:rPr>
        <w:rFonts w:ascii="Wingdings" w:hAnsi="Wingdings" w:hint="default"/>
      </w:rPr>
    </w:lvl>
    <w:lvl w:ilvl="6" w:tplc="8A2E9CB8">
      <w:start w:val="1"/>
      <w:numFmt w:val="bullet"/>
      <w:lvlText w:val=""/>
      <w:lvlJc w:val="left"/>
      <w:pPr>
        <w:ind w:left="5040" w:hanging="360"/>
      </w:pPr>
      <w:rPr>
        <w:rFonts w:ascii="Symbol" w:hAnsi="Symbol" w:hint="default"/>
      </w:rPr>
    </w:lvl>
    <w:lvl w:ilvl="7" w:tplc="DEA2A2D2">
      <w:start w:val="1"/>
      <w:numFmt w:val="bullet"/>
      <w:lvlText w:val="o"/>
      <w:lvlJc w:val="left"/>
      <w:pPr>
        <w:ind w:left="5760" w:hanging="360"/>
      </w:pPr>
      <w:rPr>
        <w:rFonts w:ascii="Courier New" w:hAnsi="Courier New" w:hint="default"/>
      </w:rPr>
    </w:lvl>
    <w:lvl w:ilvl="8" w:tplc="C958CDC4">
      <w:start w:val="1"/>
      <w:numFmt w:val="bullet"/>
      <w:lvlText w:val=""/>
      <w:lvlJc w:val="left"/>
      <w:pPr>
        <w:ind w:left="6480" w:hanging="360"/>
      </w:pPr>
      <w:rPr>
        <w:rFonts w:ascii="Wingdings" w:hAnsi="Wingdings" w:hint="default"/>
      </w:rPr>
    </w:lvl>
  </w:abstractNum>
  <w:abstractNum w:abstractNumId="13" w15:restartNumberingAfterBreak="0">
    <w:nsid w:val="538481F0"/>
    <w:multiLevelType w:val="hybridMultilevel"/>
    <w:tmpl w:val="FFFFFFFF"/>
    <w:lvl w:ilvl="0" w:tplc="F4307266">
      <w:start w:val="1"/>
      <w:numFmt w:val="bullet"/>
      <w:lvlText w:val=""/>
      <w:lvlJc w:val="left"/>
      <w:pPr>
        <w:ind w:left="720" w:hanging="360"/>
      </w:pPr>
      <w:rPr>
        <w:rFonts w:ascii="Symbol" w:hAnsi="Symbol" w:hint="default"/>
      </w:rPr>
    </w:lvl>
    <w:lvl w:ilvl="1" w:tplc="0E88D914">
      <w:start w:val="1"/>
      <w:numFmt w:val="bullet"/>
      <w:lvlText w:val="o"/>
      <w:lvlJc w:val="left"/>
      <w:pPr>
        <w:ind w:left="1440" w:hanging="360"/>
      </w:pPr>
      <w:rPr>
        <w:rFonts w:ascii="Courier New" w:hAnsi="Courier New" w:hint="default"/>
      </w:rPr>
    </w:lvl>
    <w:lvl w:ilvl="2" w:tplc="680ACACE">
      <w:start w:val="1"/>
      <w:numFmt w:val="bullet"/>
      <w:lvlText w:val=""/>
      <w:lvlJc w:val="left"/>
      <w:pPr>
        <w:ind w:left="2160" w:hanging="360"/>
      </w:pPr>
      <w:rPr>
        <w:rFonts w:ascii="Wingdings" w:hAnsi="Wingdings" w:hint="default"/>
      </w:rPr>
    </w:lvl>
    <w:lvl w:ilvl="3" w:tplc="F90030D4">
      <w:start w:val="1"/>
      <w:numFmt w:val="bullet"/>
      <w:lvlText w:val=""/>
      <w:lvlJc w:val="left"/>
      <w:pPr>
        <w:ind w:left="2880" w:hanging="360"/>
      </w:pPr>
      <w:rPr>
        <w:rFonts w:ascii="Symbol" w:hAnsi="Symbol" w:hint="default"/>
      </w:rPr>
    </w:lvl>
    <w:lvl w:ilvl="4" w:tplc="AD0E7648">
      <w:start w:val="1"/>
      <w:numFmt w:val="bullet"/>
      <w:lvlText w:val="o"/>
      <w:lvlJc w:val="left"/>
      <w:pPr>
        <w:ind w:left="3600" w:hanging="360"/>
      </w:pPr>
      <w:rPr>
        <w:rFonts w:ascii="Courier New" w:hAnsi="Courier New" w:hint="default"/>
      </w:rPr>
    </w:lvl>
    <w:lvl w:ilvl="5" w:tplc="14648760">
      <w:start w:val="1"/>
      <w:numFmt w:val="bullet"/>
      <w:lvlText w:val=""/>
      <w:lvlJc w:val="left"/>
      <w:pPr>
        <w:ind w:left="4320" w:hanging="360"/>
      </w:pPr>
      <w:rPr>
        <w:rFonts w:ascii="Wingdings" w:hAnsi="Wingdings" w:hint="default"/>
      </w:rPr>
    </w:lvl>
    <w:lvl w:ilvl="6" w:tplc="E21E27B0">
      <w:start w:val="1"/>
      <w:numFmt w:val="bullet"/>
      <w:lvlText w:val=""/>
      <w:lvlJc w:val="left"/>
      <w:pPr>
        <w:ind w:left="5040" w:hanging="360"/>
      </w:pPr>
      <w:rPr>
        <w:rFonts w:ascii="Symbol" w:hAnsi="Symbol" w:hint="default"/>
      </w:rPr>
    </w:lvl>
    <w:lvl w:ilvl="7" w:tplc="FE7C660C">
      <w:start w:val="1"/>
      <w:numFmt w:val="bullet"/>
      <w:lvlText w:val="o"/>
      <w:lvlJc w:val="left"/>
      <w:pPr>
        <w:ind w:left="5760" w:hanging="360"/>
      </w:pPr>
      <w:rPr>
        <w:rFonts w:ascii="Courier New" w:hAnsi="Courier New" w:hint="default"/>
      </w:rPr>
    </w:lvl>
    <w:lvl w:ilvl="8" w:tplc="705624AE">
      <w:start w:val="1"/>
      <w:numFmt w:val="bullet"/>
      <w:lvlText w:val=""/>
      <w:lvlJc w:val="left"/>
      <w:pPr>
        <w:ind w:left="6480" w:hanging="360"/>
      </w:pPr>
      <w:rPr>
        <w:rFonts w:ascii="Wingdings" w:hAnsi="Wingdings" w:hint="default"/>
      </w:rPr>
    </w:lvl>
  </w:abstractNum>
  <w:abstractNum w:abstractNumId="14" w15:restartNumberingAfterBreak="0">
    <w:nsid w:val="56682A87"/>
    <w:multiLevelType w:val="hybridMultilevel"/>
    <w:tmpl w:val="A3022FE0"/>
    <w:lvl w:ilvl="0" w:tplc="B91E4146">
      <w:start w:val="2"/>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58F97E38"/>
    <w:multiLevelType w:val="hybridMultilevel"/>
    <w:tmpl w:val="D7020A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6540402"/>
    <w:multiLevelType w:val="hybridMultilevel"/>
    <w:tmpl w:val="D89A1E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E8018E"/>
    <w:multiLevelType w:val="multilevel"/>
    <w:tmpl w:val="C09A60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71FD3A5A"/>
    <w:multiLevelType w:val="hybridMultilevel"/>
    <w:tmpl w:val="A642E1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7C687084"/>
    <w:multiLevelType w:val="hybridMultilevel"/>
    <w:tmpl w:val="89F27F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97811064">
    <w:abstractNumId w:val="1"/>
  </w:num>
  <w:num w:numId="2" w16cid:durableId="1209218588">
    <w:abstractNumId w:val="7"/>
  </w:num>
  <w:num w:numId="3" w16cid:durableId="1290237156">
    <w:abstractNumId w:val="6"/>
  </w:num>
  <w:num w:numId="4" w16cid:durableId="474565163">
    <w:abstractNumId w:val="4"/>
  </w:num>
  <w:num w:numId="5" w16cid:durableId="1432160789">
    <w:abstractNumId w:val="3"/>
  </w:num>
  <w:num w:numId="6" w16cid:durableId="1109204941">
    <w:abstractNumId w:val="18"/>
  </w:num>
  <w:num w:numId="7" w16cid:durableId="638269333">
    <w:abstractNumId w:val="17"/>
  </w:num>
  <w:num w:numId="8" w16cid:durableId="1264921592">
    <w:abstractNumId w:val="16"/>
  </w:num>
  <w:num w:numId="9" w16cid:durableId="1760178150">
    <w:abstractNumId w:val="11"/>
  </w:num>
  <w:num w:numId="10" w16cid:durableId="1267034891">
    <w:abstractNumId w:val="20"/>
  </w:num>
  <w:num w:numId="11" w16cid:durableId="135493657">
    <w:abstractNumId w:val="9"/>
  </w:num>
  <w:num w:numId="12" w16cid:durableId="249507580">
    <w:abstractNumId w:val="14"/>
  </w:num>
  <w:num w:numId="13" w16cid:durableId="1723285370">
    <w:abstractNumId w:val="8"/>
  </w:num>
  <w:num w:numId="14" w16cid:durableId="1353650562">
    <w:abstractNumId w:val="0"/>
  </w:num>
  <w:num w:numId="15" w16cid:durableId="1856529272">
    <w:abstractNumId w:val="15"/>
  </w:num>
  <w:num w:numId="16" w16cid:durableId="1090351393">
    <w:abstractNumId w:val="19"/>
  </w:num>
  <w:num w:numId="17" w16cid:durableId="527717424">
    <w:abstractNumId w:val="12"/>
  </w:num>
  <w:num w:numId="18" w16cid:durableId="1762872680">
    <w:abstractNumId w:val="5"/>
  </w:num>
  <w:num w:numId="19" w16cid:durableId="1507091916">
    <w:abstractNumId w:val="10"/>
  </w:num>
  <w:num w:numId="20" w16cid:durableId="2107800233">
    <w:abstractNumId w:val="13"/>
  </w:num>
  <w:num w:numId="21" w16cid:durableId="1818685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D95FD01-FBD6-4CA8-B04F-2653B8C51203}"/>
    <w:docVar w:name="dgnword-eventsink" w:val="436870288"/>
  </w:docVars>
  <w:rsids>
    <w:rsidRoot w:val="000D08F0"/>
    <w:rsid w:val="000058CB"/>
    <w:rsid w:val="000176EE"/>
    <w:rsid w:val="00023675"/>
    <w:rsid w:val="0002372D"/>
    <w:rsid w:val="00025B6F"/>
    <w:rsid w:val="0003151A"/>
    <w:rsid w:val="000473E6"/>
    <w:rsid w:val="00047F1F"/>
    <w:rsid w:val="00051035"/>
    <w:rsid w:val="00054675"/>
    <w:rsid w:val="0006230E"/>
    <w:rsid w:val="0006637E"/>
    <w:rsid w:val="00090B7F"/>
    <w:rsid w:val="00095578"/>
    <w:rsid w:val="00097E18"/>
    <w:rsid w:val="000A0C20"/>
    <w:rsid w:val="000A1D32"/>
    <w:rsid w:val="000A4A2B"/>
    <w:rsid w:val="000A78DB"/>
    <w:rsid w:val="000B26A8"/>
    <w:rsid w:val="000B41D0"/>
    <w:rsid w:val="000B760A"/>
    <w:rsid w:val="000C2763"/>
    <w:rsid w:val="000D08F0"/>
    <w:rsid w:val="000D111D"/>
    <w:rsid w:val="000D18BD"/>
    <w:rsid w:val="000E2FC8"/>
    <w:rsid w:val="000E3098"/>
    <w:rsid w:val="000E598D"/>
    <w:rsid w:val="000E7BB7"/>
    <w:rsid w:val="000F3BEB"/>
    <w:rsid w:val="000F5326"/>
    <w:rsid w:val="000F5D8D"/>
    <w:rsid w:val="000F66F8"/>
    <w:rsid w:val="000F6914"/>
    <w:rsid w:val="00112F65"/>
    <w:rsid w:val="00113F1D"/>
    <w:rsid w:val="00115AAA"/>
    <w:rsid w:val="00121AF8"/>
    <w:rsid w:val="00123F44"/>
    <w:rsid w:val="00125891"/>
    <w:rsid w:val="0013363D"/>
    <w:rsid w:val="00133B32"/>
    <w:rsid w:val="00150CDB"/>
    <w:rsid w:val="00157845"/>
    <w:rsid w:val="00160A82"/>
    <w:rsid w:val="00162A7E"/>
    <w:rsid w:val="00164206"/>
    <w:rsid w:val="00173D06"/>
    <w:rsid w:val="00176D19"/>
    <w:rsid w:val="001806E0"/>
    <w:rsid w:val="0018554B"/>
    <w:rsid w:val="001934A5"/>
    <w:rsid w:val="001953C0"/>
    <w:rsid w:val="001A651C"/>
    <w:rsid w:val="001B4E98"/>
    <w:rsid w:val="001C3EA8"/>
    <w:rsid w:val="001C7366"/>
    <w:rsid w:val="001E2B25"/>
    <w:rsid w:val="001E644A"/>
    <w:rsid w:val="001E7306"/>
    <w:rsid w:val="001F0805"/>
    <w:rsid w:val="001F2362"/>
    <w:rsid w:val="001F3567"/>
    <w:rsid w:val="001F4BA4"/>
    <w:rsid w:val="00202717"/>
    <w:rsid w:val="002035D1"/>
    <w:rsid w:val="00204A34"/>
    <w:rsid w:val="002057E9"/>
    <w:rsid w:val="0021054B"/>
    <w:rsid w:val="002131EB"/>
    <w:rsid w:val="002138F6"/>
    <w:rsid w:val="00214A90"/>
    <w:rsid w:val="00227F7A"/>
    <w:rsid w:val="00234C3E"/>
    <w:rsid w:val="002412CE"/>
    <w:rsid w:val="002441F0"/>
    <w:rsid w:val="0024593D"/>
    <w:rsid w:val="0026099A"/>
    <w:rsid w:val="00263810"/>
    <w:rsid w:val="002662D6"/>
    <w:rsid w:val="00266BBD"/>
    <w:rsid w:val="0026779C"/>
    <w:rsid w:val="00267C1D"/>
    <w:rsid w:val="002703F9"/>
    <w:rsid w:val="00271AAF"/>
    <w:rsid w:val="0027508E"/>
    <w:rsid w:val="002869FD"/>
    <w:rsid w:val="002908E3"/>
    <w:rsid w:val="0029332A"/>
    <w:rsid w:val="002951BB"/>
    <w:rsid w:val="00297750"/>
    <w:rsid w:val="00297C97"/>
    <w:rsid w:val="002A36E3"/>
    <w:rsid w:val="002B44FA"/>
    <w:rsid w:val="002B45D3"/>
    <w:rsid w:val="002C2BFD"/>
    <w:rsid w:val="002C6B47"/>
    <w:rsid w:val="002D62B5"/>
    <w:rsid w:val="002E07BE"/>
    <w:rsid w:val="002E4DF3"/>
    <w:rsid w:val="002E7076"/>
    <w:rsid w:val="002E70CE"/>
    <w:rsid w:val="002F3E65"/>
    <w:rsid w:val="002F5FD5"/>
    <w:rsid w:val="00304655"/>
    <w:rsid w:val="00313490"/>
    <w:rsid w:val="00316C09"/>
    <w:rsid w:val="003238AB"/>
    <w:rsid w:val="00326E51"/>
    <w:rsid w:val="003316B1"/>
    <w:rsid w:val="00335F15"/>
    <w:rsid w:val="00344A2D"/>
    <w:rsid w:val="00344C32"/>
    <w:rsid w:val="003466A4"/>
    <w:rsid w:val="00347601"/>
    <w:rsid w:val="00362D01"/>
    <w:rsid w:val="0036734D"/>
    <w:rsid w:val="0037332F"/>
    <w:rsid w:val="0038575B"/>
    <w:rsid w:val="00390C1D"/>
    <w:rsid w:val="00396A6A"/>
    <w:rsid w:val="003A02C8"/>
    <w:rsid w:val="003A6B9B"/>
    <w:rsid w:val="003B0A3D"/>
    <w:rsid w:val="003B13A3"/>
    <w:rsid w:val="003B7FF3"/>
    <w:rsid w:val="003D01AA"/>
    <w:rsid w:val="003D127E"/>
    <w:rsid w:val="003D1689"/>
    <w:rsid w:val="003E0964"/>
    <w:rsid w:val="003E326E"/>
    <w:rsid w:val="003E594B"/>
    <w:rsid w:val="003E784A"/>
    <w:rsid w:val="003F4B6C"/>
    <w:rsid w:val="003F50C0"/>
    <w:rsid w:val="0040441A"/>
    <w:rsid w:val="00406B81"/>
    <w:rsid w:val="0041509F"/>
    <w:rsid w:val="00417564"/>
    <w:rsid w:val="004407C5"/>
    <w:rsid w:val="00455393"/>
    <w:rsid w:val="004619DB"/>
    <w:rsid w:val="004676D6"/>
    <w:rsid w:val="004870ED"/>
    <w:rsid w:val="00490C2D"/>
    <w:rsid w:val="00490E74"/>
    <w:rsid w:val="00492798"/>
    <w:rsid w:val="004A18BE"/>
    <w:rsid w:val="004A4040"/>
    <w:rsid w:val="004A4A34"/>
    <w:rsid w:val="004A7487"/>
    <w:rsid w:val="004B1747"/>
    <w:rsid w:val="004B1C94"/>
    <w:rsid w:val="004C0A79"/>
    <w:rsid w:val="004C333F"/>
    <w:rsid w:val="004D2EC7"/>
    <w:rsid w:val="004D4EBA"/>
    <w:rsid w:val="004E6639"/>
    <w:rsid w:val="004E786D"/>
    <w:rsid w:val="004F0938"/>
    <w:rsid w:val="004F3056"/>
    <w:rsid w:val="004F61B5"/>
    <w:rsid w:val="00505495"/>
    <w:rsid w:val="0051002E"/>
    <w:rsid w:val="00521BAF"/>
    <w:rsid w:val="00523333"/>
    <w:rsid w:val="00523ACD"/>
    <w:rsid w:val="00530223"/>
    <w:rsid w:val="0054161C"/>
    <w:rsid w:val="00550759"/>
    <w:rsid w:val="005514C3"/>
    <w:rsid w:val="00553129"/>
    <w:rsid w:val="00553A65"/>
    <w:rsid w:val="00562AF2"/>
    <w:rsid w:val="00567EA0"/>
    <w:rsid w:val="00571556"/>
    <w:rsid w:val="00577D21"/>
    <w:rsid w:val="005842F3"/>
    <w:rsid w:val="00584E7A"/>
    <w:rsid w:val="005858CF"/>
    <w:rsid w:val="00597A82"/>
    <w:rsid w:val="005A53CF"/>
    <w:rsid w:val="005A5FEB"/>
    <w:rsid w:val="005C6106"/>
    <w:rsid w:val="005D130F"/>
    <w:rsid w:val="005E6342"/>
    <w:rsid w:val="005E69CF"/>
    <w:rsid w:val="005E6D54"/>
    <w:rsid w:val="005E76C3"/>
    <w:rsid w:val="005F28BF"/>
    <w:rsid w:val="005F619C"/>
    <w:rsid w:val="00603169"/>
    <w:rsid w:val="00615C7D"/>
    <w:rsid w:val="00621578"/>
    <w:rsid w:val="006301D4"/>
    <w:rsid w:val="00631DCE"/>
    <w:rsid w:val="006345A5"/>
    <w:rsid w:val="00635897"/>
    <w:rsid w:val="00650F04"/>
    <w:rsid w:val="006533CF"/>
    <w:rsid w:val="00660137"/>
    <w:rsid w:val="00660C9E"/>
    <w:rsid w:val="00673856"/>
    <w:rsid w:val="00675C47"/>
    <w:rsid w:val="00676CD6"/>
    <w:rsid w:val="006772E7"/>
    <w:rsid w:val="0069115F"/>
    <w:rsid w:val="00695CD9"/>
    <w:rsid w:val="006A661F"/>
    <w:rsid w:val="006B15B1"/>
    <w:rsid w:val="006C7792"/>
    <w:rsid w:val="006E0BE9"/>
    <w:rsid w:val="006F4759"/>
    <w:rsid w:val="006F5596"/>
    <w:rsid w:val="00701AFE"/>
    <w:rsid w:val="00703B1B"/>
    <w:rsid w:val="00710C6A"/>
    <w:rsid w:val="007116F2"/>
    <w:rsid w:val="00716AB0"/>
    <w:rsid w:val="00721A04"/>
    <w:rsid w:val="007502FD"/>
    <w:rsid w:val="007518E5"/>
    <w:rsid w:val="00752C1E"/>
    <w:rsid w:val="00753293"/>
    <w:rsid w:val="00754B17"/>
    <w:rsid w:val="00760A09"/>
    <w:rsid w:val="007647D3"/>
    <w:rsid w:val="00766965"/>
    <w:rsid w:val="00776B61"/>
    <w:rsid w:val="007800AE"/>
    <w:rsid w:val="0078353E"/>
    <w:rsid w:val="00791799"/>
    <w:rsid w:val="007A0072"/>
    <w:rsid w:val="007A47D5"/>
    <w:rsid w:val="007B1AA4"/>
    <w:rsid w:val="007C3C69"/>
    <w:rsid w:val="007D1005"/>
    <w:rsid w:val="007D475C"/>
    <w:rsid w:val="007D6BC6"/>
    <w:rsid w:val="007E27C8"/>
    <w:rsid w:val="007E6794"/>
    <w:rsid w:val="007F2644"/>
    <w:rsid w:val="007F30F7"/>
    <w:rsid w:val="007F354A"/>
    <w:rsid w:val="00813032"/>
    <w:rsid w:val="0081401E"/>
    <w:rsid w:val="008276C3"/>
    <w:rsid w:val="0083161A"/>
    <w:rsid w:val="00832497"/>
    <w:rsid w:val="00833151"/>
    <w:rsid w:val="00835F90"/>
    <w:rsid w:val="0084040A"/>
    <w:rsid w:val="008436EE"/>
    <w:rsid w:val="00846655"/>
    <w:rsid w:val="00851312"/>
    <w:rsid w:val="00851349"/>
    <w:rsid w:val="00866653"/>
    <w:rsid w:val="00871643"/>
    <w:rsid w:val="00883A94"/>
    <w:rsid w:val="0089539F"/>
    <w:rsid w:val="00897CAE"/>
    <w:rsid w:val="008B0709"/>
    <w:rsid w:val="008C044F"/>
    <w:rsid w:val="008C2E80"/>
    <w:rsid w:val="008D2994"/>
    <w:rsid w:val="008D2F6B"/>
    <w:rsid w:val="008D5B53"/>
    <w:rsid w:val="008D7AB0"/>
    <w:rsid w:val="008E28E6"/>
    <w:rsid w:val="008E36A0"/>
    <w:rsid w:val="008E5EF9"/>
    <w:rsid w:val="008F0A43"/>
    <w:rsid w:val="008F17F8"/>
    <w:rsid w:val="00902C19"/>
    <w:rsid w:val="009054CF"/>
    <w:rsid w:val="009061F9"/>
    <w:rsid w:val="00907163"/>
    <w:rsid w:val="009118BE"/>
    <w:rsid w:val="00921C2C"/>
    <w:rsid w:val="009223C0"/>
    <w:rsid w:val="00936AC7"/>
    <w:rsid w:val="00937D76"/>
    <w:rsid w:val="00937DEC"/>
    <w:rsid w:val="00944BAA"/>
    <w:rsid w:val="009555AD"/>
    <w:rsid w:val="00956FFA"/>
    <w:rsid w:val="00957DFF"/>
    <w:rsid w:val="00965ADE"/>
    <w:rsid w:val="009742F7"/>
    <w:rsid w:val="0097484B"/>
    <w:rsid w:val="00984547"/>
    <w:rsid w:val="009858D7"/>
    <w:rsid w:val="009934C6"/>
    <w:rsid w:val="00997715"/>
    <w:rsid w:val="009A3CC6"/>
    <w:rsid w:val="009B0DEB"/>
    <w:rsid w:val="009B4EF1"/>
    <w:rsid w:val="009B6426"/>
    <w:rsid w:val="009B792D"/>
    <w:rsid w:val="009C67F1"/>
    <w:rsid w:val="009D1515"/>
    <w:rsid w:val="009D3B9D"/>
    <w:rsid w:val="009D3F14"/>
    <w:rsid w:val="009F3CDC"/>
    <w:rsid w:val="009F3F9B"/>
    <w:rsid w:val="009F6146"/>
    <w:rsid w:val="00A05D78"/>
    <w:rsid w:val="00A2534A"/>
    <w:rsid w:val="00A3387F"/>
    <w:rsid w:val="00A341FA"/>
    <w:rsid w:val="00A374F7"/>
    <w:rsid w:val="00A4498B"/>
    <w:rsid w:val="00A5405F"/>
    <w:rsid w:val="00A5504E"/>
    <w:rsid w:val="00A62AB6"/>
    <w:rsid w:val="00A70D97"/>
    <w:rsid w:val="00A75ED8"/>
    <w:rsid w:val="00A80AF6"/>
    <w:rsid w:val="00A96CAF"/>
    <w:rsid w:val="00A97419"/>
    <w:rsid w:val="00AB1597"/>
    <w:rsid w:val="00AB533D"/>
    <w:rsid w:val="00AC3C0E"/>
    <w:rsid w:val="00AC4C02"/>
    <w:rsid w:val="00AC4E88"/>
    <w:rsid w:val="00AD2EB3"/>
    <w:rsid w:val="00AD6ADE"/>
    <w:rsid w:val="00AE39DF"/>
    <w:rsid w:val="00AE4B98"/>
    <w:rsid w:val="00AF524F"/>
    <w:rsid w:val="00AF5976"/>
    <w:rsid w:val="00AF6BDD"/>
    <w:rsid w:val="00B00DDF"/>
    <w:rsid w:val="00B108B0"/>
    <w:rsid w:val="00B14404"/>
    <w:rsid w:val="00B15EE2"/>
    <w:rsid w:val="00B1645E"/>
    <w:rsid w:val="00B2078B"/>
    <w:rsid w:val="00B22579"/>
    <w:rsid w:val="00B269EF"/>
    <w:rsid w:val="00B27E57"/>
    <w:rsid w:val="00B325A9"/>
    <w:rsid w:val="00B33AE8"/>
    <w:rsid w:val="00B41180"/>
    <w:rsid w:val="00B4149D"/>
    <w:rsid w:val="00B424FD"/>
    <w:rsid w:val="00B47382"/>
    <w:rsid w:val="00B4747A"/>
    <w:rsid w:val="00B5182F"/>
    <w:rsid w:val="00B51916"/>
    <w:rsid w:val="00B553AB"/>
    <w:rsid w:val="00B55756"/>
    <w:rsid w:val="00B605A8"/>
    <w:rsid w:val="00B6188C"/>
    <w:rsid w:val="00B647DB"/>
    <w:rsid w:val="00B6524F"/>
    <w:rsid w:val="00B66072"/>
    <w:rsid w:val="00B704B5"/>
    <w:rsid w:val="00B73D3C"/>
    <w:rsid w:val="00B80414"/>
    <w:rsid w:val="00B93E15"/>
    <w:rsid w:val="00B9611D"/>
    <w:rsid w:val="00BA652B"/>
    <w:rsid w:val="00BB6D83"/>
    <w:rsid w:val="00BC1DEC"/>
    <w:rsid w:val="00BD053A"/>
    <w:rsid w:val="00BD0E0E"/>
    <w:rsid w:val="00BD2C98"/>
    <w:rsid w:val="00BE0E26"/>
    <w:rsid w:val="00BE2DCA"/>
    <w:rsid w:val="00BE366A"/>
    <w:rsid w:val="00BE6F74"/>
    <w:rsid w:val="00BE731E"/>
    <w:rsid w:val="00C11BED"/>
    <w:rsid w:val="00C141CA"/>
    <w:rsid w:val="00C27320"/>
    <w:rsid w:val="00C27766"/>
    <w:rsid w:val="00C34156"/>
    <w:rsid w:val="00C45A4D"/>
    <w:rsid w:val="00C53397"/>
    <w:rsid w:val="00C65B66"/>
    <w:rsid w:val="00C66297"/>
    <w:rsid w:val="00C946C9"/>
    <w:rsid w:val="00CA02BE"/>
    <w:rsid w:val="00CA6A23"/>
    <w:rsid w:val="00CA78B0"/>
    <w:rsid w:val="00CB32AC"/>
    <w:rsid w:val="00CB38FD"/>
    <w:rsid w:val="00CB3F4F"/>
    <w:rsid w:val="00CC67F9"/>
    <w:rsid w:val="00CD2886"/>
    <w:rsid w:val="00CD68F2"/>
    <w:rsid w:val="00CE37FC"/>
    <w:rsid w:val="00CE5625"/>
    <w:rsid w:val="00CF7E38"/>
    <w:rsid w:val="00D00396"/>
    <w:rsid w:val="00D0109A"/>
    <w:rsid w:val="00D022FC"/>
    <w:rsid w:val="00D0376E"/>
    <w:rsid w:val="00D10706"/>
    <w:rsid w:val="00D10718"/>
    <w:rsid w:val="00D21529"/>
    <w:rsid w:val="00D21C12"/>
    <w:rsid w:val="00D22C35"/>
    <w:rsid w:val="00D2548B"/>
    <w:rsid w:val="00D26ECE"/>
    <w:rsid w:val="00D30D9E"/>
    <w:rsid w:val="00D33DF4"/>
    <w:rsid w:val="00D34546"/>
    <w:rsid w:val="00D34A7E"/>
    <w:rsid w:val="00D54EE1"/>
    <w:rsid w:val="00D6091F"/>
    <w:rsid w:val="00D626BE"/>
    <w:rsid w:val="00D633CE"/>
    <w:rsid w:val="00D66CEA"/>
    <w:rsid w:val="00D67C17"/>
    <w:rsid w:val="00D755C3"/>
    <w:rsid w:val="00D829E4"/>
    <w:rsid w:val="00D82AAA"/>
    <w:rsid w:val="00D8648A"/>
    <w:rsid w:val="00D94B05"/>
    <w:rsid w:val="00D94B8C"/>
    <w:rsid w:val="00D97966"/>
    <w:rsid w:val="00DA1B37"/>
    <w:rsid w:val="00DA351C"/>
    <w:rsid w:val="00DA43B4"/>
    <w:rsid w:val="00DB1B24"/>
    <w:rsid w:val="00DB4DBC"/>
    <w:rsid w:val="00DB7DE2"/>
    <w:rsid w:val="00DC15FF"/>
    <w:rsid w:val="00DC2131"/>
    <w:rsid w:val="00DC268B"/>
    <w:rsid w:val="00DC4175"/>
    <w:rsid w:val="00DC438D"/>
    <w:rsid w:val="00DC4F10"/>
    <w:rsid w:val="00DD092D"/>
    <w:rsid w:val="00DF6989"/>
    <w:rsid w:val="00DFD785"/>
    <w:rsid w:val="00E06861"/>
    <w:rsid w:val="00E11E33"/>
    <w:rsid w:val="00E15E05"/>
    <w:rsid w:val="00E32FF8"/>
    <w:rsid w:val="00E3739E"/>
    <w:rsid w:val="00E41EF7"/>
    <w:rsid w:val="00E471BB"/>
    <w:rsid w:val="00E54BE0"/>
    <w:rsid w:val="00E57A20"/>
    <w:rsid w:val="00E57FB2"/>
    <w:rsid w:val="00E620F6"/>
    <w:rsid w:val="00E63A3A"/>
    <w:rsid w:val="00E76B5F"/>
    <w:rsid w:val="00E770A9"/>
    <w:rsid w:val="00E84842"/>
    <w:rsid w:val="00E9113C"/>
    <w:rsid w:val="00E97FCB"/>
    <w:rsid w:val="00EA0BAC"/>
    <w:rsid w:val="00EA160F"/>
    <w:rsid w:val="00EA393E"/>
    <w:rsid w:val="00EA5967"/>
    <w:rsid w:val="00EA5D90"/>
    <w:rsid w:val="00EB3CED"/>
    <w:rsid w:val="00EC2122"/>
    <w:rsid w:val="00EC23B2"/>
    <w:rsid w:val="00EC3674"/>
    <w:rsid w:val="00ED4F59"/>
    <w:rsid w:val="00ED7A40"/>
    <w:rsid w:val="00EE5381"/>
    <w:rsid w:val="00EF0BD6"/>
    <w:rsid w:val="00EF7779"/>
    <w:rsid w:val="00F14BBD"/>
    <w:rsid w:val="00F15BC2"/>
    <w:rsid w:val="00F217DE"/>
    <w:rsid w:val="00F26B00"/>
    <w:rsid w:val="00F447B6"/>
    <w:rsid w:val="00F5194D"/>
    <w:rsid w:val="00F57850"/>
    <w:rsid w:val="00F6348B"/>
    <w:rsid w:val="00F63BF9"/>
    <w:rsid w:val="00F650D9"/>
    <w:rsid w:val="00F665D8"/>
    <w:rsid w:val="00F7102A"/>
    <w:rsid w:val="00F737D1"/>
    <w:rsid w:val="00F73F48"/>
    <w:rsid w:val="00F7773C"/>
    <w:rsid w:val="00F82BF9"/>
    <w:rsid w:val="00F8757B"/>
    <w:rsid w:val="00F938E1"/>
    <w:rsid w:val="00FA4F9F"/>
    <w:rsid w:val="00FB2CD2"/>
    <w:rsid w:val="00FB37AB"/>
    <w:rsid w:val="00FB5EF6"/>
    <w:rsid w:val="00FB6508"/>
    <w:rsid w:val="00FC4414"/>
    <w:rsid w:val="00FC47C1"/>
    <w:rsid w:val="00FC620C"/>
    <w:rsid w:val="00FE17E8"/>
    <w:rsid w:val="00FE4A5A"/>
    <w:rsid w:val="00FE5BE8"/>
    <w:rsid w:val="00FF3520"/>
    <w:rsid w:val="02C1CDA0"/>
    <w:rsid w:val="039E60E8"/>
    <w:rsid w:val="05019703"/>
    <w:rsid w:val="08F12006"/>
    <w:rsid w:val="0AF46EFB"/>
    <w:rsid w:val="0DEA3AA4"/>
    <w:rsid w:val="0E42F755"/>
    <w:rsid w:val="0F965360"/>
    <w:rsid w:val="12A863A4"/>
    <w:rsid w:val="18C4F514"/>
    <w:rsid w:val="1A7B41D2"/>
    <w:rsid w:val="1BB4838D"/>
    <w:rsid w:val="25224A4F"/>
    <w:rsid w:val="254C747F"/>
    <w:rsid w:val="28962374"/>
    <w:rsid w:val="2B7D1BF4"/>
    <w:rsid w:val="2D69E23C"/>
    <w:rsid w:val="2EB39C0E"/>
    <w:rsid w:val="2FF3CB44"/>
    <w:rsid w:val="307F64B6"/>
    <w:rsid w:val="316195C4"/>
    <w:rsid w:val="32EB67FF"/>
    <w:rsid w:val="35EDEDC0"/>
    <w:rsid w:val="39EE4B02"/>
    <w:rsid w:val="3D0914D6"/>
    <w:rsid w:val="3E2420AD"/>
    <w:rsid w:val="3E4FF002"/>
    <w:rsid w:val="41A329BF"/>
    <w:rsid w:val="441C9110"/>
    <w:rsid w:val="45B2E073"/>
    <w:rsid w:val="4CD450F9"/>
    <w:rsid w:val="52874E66"/>
    <w:rsid w:val="59071EAB"/>
    <w:rsid w:val="5CDB9577"/>
    <w:rsid w:val="601D7833"/>
    <w:rsid w:val="64EF392B"/>
    <w:rsid w:val="6A5427F4"/>
    <w:rsid w:val="6EC8B949"/>
    <w:rsid w:val="7127893B"/>
    <w:rsid w:val="736B210E"/>
    <w:rsid w:val="774EF09E"/>
    <w:rsid w:val="7977B1C6"/>
    <w:rsid w:val="7C732BEF"/>
    <w:rsid w:val="7EECF66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54C52"/>
  <w15:docId w15:val="{9C025600-3F99-473D-BEA5-04CB621C1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2057E9"/>
    <w:pPr>
      <w:keepNext/>
      <w:keepLines/>
      <w:spacing w:before="240"/>
      <w:outlineLvl w:val="1"/>
    </w:pPr>
    <w:rPr>
      <w:rFonts w:eastAsiaTheme="majorEastAsia" w:cstheme="minorHAnsi"/>
      <w:b/>
      <w:bCs/>
      <w:color w:val="2E74B5" w:themeColor="accent1" w:themeShade="BF"/>
      <w:sz w:val="26"/>
      <w:szCs w:val="26"/>
    </w:rPr>
  </w:style>
  <w:style w:type="paragraph" w:styleId="Heading3">
    <w:name w:val="heading 3"/>
    <w:basedOn w:val="Normal"/>
    <w:next w:val="Normal"/>
    <w:link w:val="Heading3Char"/>
    <w:uiPriority w:val="9"/>
    <w:semiHidden/>
    <w:unhideWhenUsed/>
    <w:qFormat/>
    <w:rsid w:val="008E28E6"/>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 w:type="paragraph" w:styleId="FootnoteText">
    <w:name w:val="footnote text"/>
    <w:aliases w:val=" Char,Char"/>
    <w:basedOn w:val="Normal"/>
    <w:link w:val="FootnoteTextChar"/>
    <w:uiPriority w:val="99"/>
    <w:unhideWhenUsed/>
    <w:qFormat/>
    <w:rsid w:val="006F5596"/>
    <w:rPr>
      <w:sz w:val="20"/>
      <w:szCs w:val="20"/>
    </w:rPr>
  </w:style>
  <w:style w:type="character" w:customStyle="1" w:styleId="FootnoteTextChar">
    <w:name w:val="Footnote Text Char"/>
    <w:aliases w:val=" Char Char,Char Char"/>
    <w:basedOn w:val="DefaultParagraphFont"/>
    <w:link w:val="FootnoteText"/>
    <w:uiPriority w:val="99"/>
    <w:rsid w:val="006F5596"/>
    <w:rPr>
      <w:sz w:val="20"/>
      <w:szCs w:val="20"/>
    </w:rPr>
  </w:style>
  <w:style w:type="character" w:styleId="FootnoteReference">
    <w:name w:val="footnote reference"/>
    <w:basedOn w:val="DefaultParagraphFont"/>
    <w:uiPriority w:val="99"/>
    <w:semiHidden/>
    <w:unhideWhenUsed/>
    <w:rsid w:val="006F5596"/>
    <w:rPr>
      <w:vertAlign w:val="superscript"/>
    </w:rPr>
  </w:style>
  <w:style w:type="character" w:styleId="CommentReference">
    <w:name w:val="annotation reference"/>
    <w:basedOn w:val="DefaultParagraphFont"/>
    <w:uiPriority w:val="99"/>
    <w:semiHidden/>
    <w:unhideWhenUsed/>
    <w:rsid w:val="00297C97"/>
    <w:rPr>
      <w:sz w:val="16"/>
      <w:szCs w:val="16"/>
    </w:rPr>
  </w:style>
  <w:style w:type="paragraph" w:styleId="CommentText">
    <w:name w:val="annotation text"/>
    <w:basedOn w:val="Normal"/>
    <w:link w:val="CommentTextChar"/>
    <w:uiPriority w:val="99"/>
    <w:unhideWhenUsed/>
    <w:rsid w:val="00297C97"/>
    <w:rPr>
      <w:sz w:val="20"/>
      <w:szCs w:val="20"/>
    </w:rPr>
  </w:style>
  <w:style w:type="character" w:customStyle="1" w:styleId="CommentTextChar">
    <w:name w:val="Comment Text Char"/>
    <w:basedOn w:val="DefaultParagraphFont"/>
    <w:link w:val="CommentText"/>
    <w:uiPriority w:val="99"/>
    <w:rsid w:val="00297C97"/>
    <w:rPr>
      <w:sz w:val="20"/>
      <w:szCs w:val="20"/>
    </w:rPr>
  </w:style>
  <w:style w:type="paragraph" w:styleId="CommentSubject">
    <w:name w:val="annotation subject"/>
    <w:basedOn w:val="CommentText"/>
    <w:next w:val="CommentText"/>
    <w:link w:val="CommentSubjectChar"/>
    <w:uiPriority w:val="99"/>
    <w:semiHidden/>
    <w:unhideWhenUsed/>
    <w:rsid w:val="00297C97"/>
    <w:rPr>
      <w:b/>
      <w:bCs/>
    </w:rPr>
  </w:style>
  <w:style w:type="character" w:customStyle="1" w:styleId="CommentSubjectChar">
    <w:name w:val="Comment Subject Char"/>
    <w:basedOn w:val="CommentTextChar"/>
    <w:link w:val="CommentSubject"/>
    <w:uiPriority w:val="99"/>
    <w:semiHidden/>
    <w:rsid w:val="00297C97"/>
    <w:rPr>
      <w:b/>
      <w:bCs/>
      <w:sz w:val="20"/>
      <w:szCs w:val="20"/>
    </w:rPr>
  </w:style>
  <w:style w:type="paragraph" w:customStyle="1" w:styleId="Default">
    <w:name w:val="Default"/>
    <w:rsid w:val="00701AFE"/>
    <w:pPr>
      <w:autoSpaceDE w:val="0"/>
      <w:autoSpaceDN w:val="0"/>
      <w:adjustRightInd w:val="0"/>
      <w:spacing w:after="0" w:line="240" w:lineRule="auto"/>
    </w:pPr>
    <w:rPr>
      <w:rFonts w:ascii="Inter" w:hAnsi="Inter" w:cs="Inter"/>
      <w:color w:val="000000"/>
      <w:sz w:val="24"/>
      <w:szCs w:val="24"/>
    </w:rPr>
  </w:style>
  <w:style w:type="paragraph" w:customStyle="1" w:styleId="ydpdd40b6fayiv1703367528msonormal">
    <w:name w:val="ydpdd40b6fayiv1703367528msonormal"/>
    <w:basedOn w:val="Normal"/>
    <w:rsid w:val="00DC4F10"/>
    <w:pPr>
      <w:spacing w:before="100" w:beforeAutospacing="1" w:after="100" w:afterAutospacing="1"/>
    </w:pPr>
    <w:rPr>
      <w:rFonts w:ascii="Times New Roman" w:hAnsi="Times New Roman" w:cs="Times New Roman"/>
      <w:sz w:val="24"/>
      <w:szCs w:val="24"/>
      <w:lang w:eastAsia="en-AU"/>
    </w:rPr>
  </w:style>
  <w:style w:type="paragraph" w:styleId="PlainText">
    <w:name w:val="Plain Text"/>
    <w:basedOn w:val="Normal"/>
    <w:link w:val="PlainTextChar"/>
    <w:uiPriority w:val="99"/>
    <w:semiHidden/>
    <w:unhideWhenUsed/>
    <w:rsid w:val="00DC2131"/>
    <w:rPr>
      <w:rFonts w:ascii="Calibri" w:hAnsi="Calibri"/>
      <w:szCs w:val="21"/>
    </w:rPr>
  </w:style>
  <w:style w:type="character" w:customStyle="1" w:styleId="PlainTextChar">
    <w:name w:val="Plain Text Char"/>
    <w:basedOn w:val="DefaultParagraphFont"/>
    <w:link w:val="PlainText"/>
    <w:uiPriority w:val="99"/>
    <w:semiHidden/>
    <w:rsid w:val="00DC2131"/>
    <w:rPr>
      <w:rFonts w:ascii="Calibri" w:hAnsi="Calibri"/>
      <w:szCs w:val="21"/>
    </w:rPr>
  </w:style>
  <w:style w:type="character" w:customStyle="1" w:styleId="ui-provider">
    <w:name w:val="ui-provider"/>
    <w:basedOn w:val="DefaultParagraphFont"/>
    <w:rsid w:val="00FB5EF6"/>
  </w:style>
  <w:style w:type="character" w:styleId="FollowedHyperlink">
    <w:name w:val="FollowedHyperlink"/>
    <w:basedOn w:val="DefaultParagraphFont"/>
    <w:uiPriority w:val="99"/>
    <w:semiHidden/>
    <w:unhideWhenUsed/>
    <w:rsid w:val="00F447B6"/>
    <w:rPr>
      <w:color w:val="954F72" w:themeColor="followedHyperlink"/>
      <w:u w:val="single"/>
    </w:rPr>
  </w:style>
  <w:style w:type="character" w:styleId="UnresolvedMention">
    <w:name w:val="Unresolved Mention"/>
    <w:basedOn w:val="DefaultParagraphFont"/>
    <w:uiPriority w:val="99"/>
    <w:semiHidden/>
    <w:unhideWhenUsed/>
    <w:rsid w:val="00D633CE"/>
    <w:rPr>
      <w:color w:val="605E5C"/>
      <w:shd w:val="clear" w:color="auto" w:fill="E1DFDD"/>
    </w:rPr>
  </w:style>
  <w:style w:type="character" w:customStyle="1" w:styleId="Heading3Char">
    <w:name w:val="Heading 3 Char"/>
    <w:basedOn w:val="DefaultParagraphFont"/>
    <w:link w:val="Heading3"/>
    <w:uiPriority w:val="9"/>
    <w:semiHidden/>
    <w:rsid w:val="008E28E6"/>
    <w:rPr>
      <w:rFonts w:asciiTheme="majorHAnsi" w:eastAsiaTheme="majorEastAsia" w:hAnsiTheme="majorHAnsi" w:cstheme="majorBidi"/>
      <w:color w:val="1F4D78" w:themeColor="accent1" w:themeShade="7F"/>
      <w:sz w:val="24"/>
      <w:szCs w:val="24"/>
    </w:rPr>
  </w:style>
  <w:style w:type="paragraph" w:styleId="Revision">
    <w:name w:val="Revision"/>
    <w:hidden/>
    <w:uiPriority w:val="99"/>
    <w:semiHidden/>
    <w:rsid w:val="00417564"/>
    <w:pPr>
      <w:spacing w:after="0" w:line="240" w:lineRule="auto"/>
    </w:pPr>
  </w:style>
  <w:style w:type="character" w:customStyle="1" w:styleId="Heading2Char">
    <w:name w:val="Heading 2 Char"/>
    <w:basedOn w:val="DefaultParagraphFont"/>
    <w:link w:val="Heading2"/>
    <w:uiPriority w:val="9"/>
    <w:rsid w:val="002057E9"/>
    <w:rPr>
      <w:rFonts w:eastAsiaTheme="majorEastAsia" w:cstheme="minorHAnsi"/>
      <w:b/>
      <w:bCs/>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809907025">
      <w:bodyDiv w:val="1"/>
      <w:marLeft w:val="0"/>
      <w:marRight w:val="0"/>
      <w:marTop w:val="0"/>
      <w:marBottom w:val="0"/>
      <w:divBdr>
        <w:top w:val="none" w:sz="0" w:space="0" w:color="auto"/>
        <w:left w:val="none" w:sz="0" w:space="0" w:color="auto"/>
        <w:bottom w:val="none" w:sz="0" w:space="0" w:color="auto"/>
        <w:right w:val="none" w:sz="0" w:space="0" w:color="auto"/>
      </w:divBdr>
    </w:div>
    <w:div w:id="959725379">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261330831">
      <w:bodyDiv w:val="1"/>
      <w:marLeft w:val="0"/>
      <w:marRight w:val="0"/>
      <w:marTop w:val="0"/>
      <w:marBottom w:val="0"/>
      <w:divBdr>
        <w:top w:val="none" w:sz="0" w:space="0" w:color="auto"/>
        <w:left w:val="none" w:sz="0" w:space="0" w:color="auto"/>
        <w:bottom w:val="none" w:sz="0" w:space="0" w:color="auto"/>
        <w:right w:val="none" w:sz="0" w:space="0" w:color="auto"/>
      </w:divBdr>
    </w:div>
    <w:div w:id="1286888769">
      <w:bodyDiv w:val="1"/>
      <w:marLeft w:val="0"/>
      <w:marRight w:val="0"/>
      <w:marTop w:val="0"/>
      <w:marBottom w:val="0"/>
      <w:divBdr>
        <w:top w:val="none" w:sz="0" w:space="0" w:color="auto"/>
        <w:left w:val="none" w:sz="0" w:space="0" w:color="auto"/>
        <w:bottom w:val="none" w:sz="0" w:space="0" w:color="auto"/>
        <w:right w:val="none" w:sz="0" w:space="0" w:color="auto"/>
      </w:divBdr>
    </w:div>
    <w:div w:id="1459034032">
      <w:bodyDiv w:val="1"/>
      <w:marLeft w:val="0"/>
      <w:marRight w:val="0"/>
      <w:marTop w:val="0"/>
      <w:marBottom w:val="0"/>
      <w:divBdr>
        <w:top w:val="none" w:sz="0" w:space="0" w:color="auto"/>
        <w:left w:val="none" w:sz="0" w:space="0" w:color="auto"/>
        <w:bottom w:val="none" w:sz="0" w:space="0" w:color="auto"/>
        <w:right w:val="none" w:sz="0" w:space="0" w:color="auto"/>
      </w:divBdr>
    </w:div>
    <w:div w:id="14644219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cfcoa.gov.au/resources/videos/migration-law-vid3"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cfcoa.gov.au/resources/videos/migration-law-vid2"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cfcoa.gov.au/resources/videos/migration-law-vid1" TargetMode="External"/><Relationship Id="rId5" Type="http://schemas.openxmlformats.org/officeDocument/2006/relationships/numbering" Target="numbering.xml"/><Relationship Id="rId15" Type="http://schemas.openxmlformats.org/officeDocument/2006/relationships/hyperlink" Target="https://www.youtube.com/@FCFCOA/video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cfcoa.gov.au/migration/videos"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james.milsom@fcfco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d7395ce2-fa2b-4848-bc8d-75d4006ec819"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4E1348A8E9D6349A27C7A4D0B84855F" ma:contentTypeVersion="15" ma:contentTypeDescription="Create a new document." ma:contentTypeScope="" ma:versionID="9cbd4c8e30cfaed0b7c4e9060abfa877">
  <xsd:schema xmlns:xsd="http://www.w3.org/2001/XMLSchema" xmlns:xs="http://www.w3.org/2001/XMLSchema" xmlns:p="http://schemas.microsoft.com/office/2006/metadata/properties" xmlns:ns3="d7395ce2-fa2b-4848-bc8d-75d4006ec819" xmlns:ns4="7bf40341-44db-4b5c-a80b-6fa8a34c1fa2" targetNamespace="http://schemas.microsoft.com/office/2006/metadata/properties" ma:root="true" ma:fieldsID="f1f9dfc8e866b4c6faab95d215d840b4" ns3:_="" ns4:_="">
    <xsd:import namespace="d7395ce2-fa2b-4848-bc8d-75d4006ec819"/>
    <xsd:import namespace="7bf40341-44db-4b5c-a80b-6fa8a34c1fa2"/>
    <xsd:element name="properties">
      <xsd:complexType>
        <xsd:sequence>
          <xsd:element name="documentManagement">
            <xsd:complexType>
              <xsd:all>
                <xsd:element ref="ns3:MediaServiceDateTaken" minOccurs="0"/>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395ce2-fa2b-4848-bc8d-75d4006ec819"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_activity" ma:index="9" nillable="true" ma:displayName="_activity" ma:hidden="true" ma:internalName="_activity">
      <xsd:simpleType>
        <xsd:restriction base="dms:Not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f40341-44db-4b5c-a80b-6fa8a34c1fa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917052-971E-4F7E-8B56-FA2A0FDD88C7}">
  <ds:schemaRefs>
    <ds:schemaRef ds:uri="http://schemas.microsoft.com/sharepoint/v3/contenttype/forms"/>
  </ds:schemaRefs>
</ds:datastoreItem>
</file>

<file path=customXml/itemProps2.xml><?xml version="1.0" encoding="utf-8"?>
<ds:datastoreItem xmlns:ds="http://schemas.openxmlformats.org/officeDocument/2006/customXml" ds:itemID="{2ECD5586-4F30-47EE-9959-1BB90412A138}">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0236AA7B-9D95-4191-8A2E-7558812ED4AF}">
  <ds:schemaRefs>
    <ds:schemaRef ds:uri="http://purl.org/dc/terms/"/>
    <ds:schemaRef ds:uri="http://schemas.microsoft.com/office/infopath/2007/PartnerControls"/>
    <ds:schemaRef ds:uri="http://purl.org/dc/dcmitype/"/>
    <ds:schemaRef ds:uri="http://schemas.microsoft.com/office/2006/documentManagement/types"/>
    <ds:schemaRef ds:uri="http://purl.org/dc/elements/1.1/"/>
    <ds:schemaRef ds:uri="http://schemas.microsoft.com/office/2006/metadata/properties"/>
    <ds:schemaRef ds:uri="d7395ce2-fa2b-4848-bc8d-75d4006ec819"/>
    <ds:schemaRef ds:uri="http://schemas.openxmlformats.org/package/2006/metadata/core-properties"/>
    <ds:schemaRef ds:uri="7bf40341-44db-4b5c-a80b-6fa8a34c1fa2"/>
    <ds:schemaRef ds:uri="http://www.w3.org/XML/1998/namespace"/>
  </ds:schemaRefs>
</ds:datastoreItem>
</file>

<file path=customXml/itemProps4.xml><?xml version="1.0" encoding="utf-8"?>
<ds:datastoreItem xmlns:ds="http://schemas.openxmlformats.org/officeDocument/2006/customXml" ds:itemID="{A63EC10F-1DA4-448C-85FA-B979DC453D15}">
  <ds:schemaRefs>
    <ds:schemaRef ds:uri="http://schemas.microsoft.com/office/2006/metadata/contentType"/>
    <ds:schemaRef ds:uri="http://schemas.microsoft.com/office/2006/metadata/properties/metaAttributes"/>
    <ds:schemaRef ds:uri="http://www.w3.org/2000/xmlns/"/>
    <ds:schemaRef ds:uri="http://www.w3.org/2001/XMLSchema"/>
    <ds:schemaRef ds:uri="d7395ce2-fa2b-4848-bc8d-75d4006ec819"/>
    <ds:schemaRef ds:uri="7bf40341-44db-4b5c-a80b-6fa8a34c1fa2"/>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774</Words>
  <Characters>4418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5182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Court launches new videos in 12 languages to help to people in migration cases</dc:title>
  <dc:subject/>
  <dc:creator>Federal Circuit and Family Court of Australia</dc:creator>
  <cp:keywords/>
  <dc:description/>
  <cp:lastModifiedBy>Christine Tuff</cp:lastModifiedBy>
  <cp:revision>2</cp:revision>
  <cp:lastPrinted>2023-08-21T11:07:00Z</cp:lastPrinted>
  <dcterms:created xsi:type="dcterms:W3CDTF">2024-10-09T07:05:00Z</dcterms:created>
  <dcterms:modified xsi:type="dcterms:W3CDTF">2024-10-09T07:05:00Z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0x010100C4E1348A8E9D6349A27C7A4D0B84855F</vt:lpwstr>
  </property>
</Properties>
</file>