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0EBC06" w14:textId="77777777" w:rsidR="00621578" w:rsidRDefault="00621578" w:rsidP="00BF44CC">
      <w:pPr>
        <w:pStyle w:val="Heading1"/>
        <w:jc w:val="right"/>
      </w:pPr>
      <w:r>
        <w:rPr>
          <w:noProof/>
        </w:rPr>
        <w:drawing>
          <wp:anchor distT="0" distB="0" distL="114300" distR="114300" simplePos="0" relativeHeight="251659264" behindDoc="1" locked="0" layoutInCell="1" allowOverlap="1" wp14:anchorId="4B7A0250" wp14:editId="22B7995F">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p>
    <w:p w14:paraId="1A5024BF" w14:textId="26A4A47E" w:rsidR="002B26C3" w:rsidRPr="007429CB" w:rsidRDefault="00FA2C40" w:rsidP="007429CB">
      <w:pPr>
        <w:pStyle w:val="Heading1"/>
        <w:jc w:val="right"/>
        <w:rPr>
          <w:sz w:val="24"/>
          <w:szCs w:val="24"/>
        </w:rPr>
      </w:pPr>
      <w:r>
        <w:rPr>
          <w:sz w:val="24"/>
          <w:szCs w:val="24"/>
        </w:rPr>
        <w:t>2</w:t>
      </w:r>
      <w:r w:rsidR="003532B0">
        <w:rPr>
          <w:sz w:val="24"/>
          <w:szCs w:val="24"/>
        </w:rPr>
        <w:t xml:space="preserve"> </w:t>
      </w:r>
      <w:r>
        <w:rPr>
          <w:sz w:val="24"/>
          <w:szCs w:val="24"/>
        </w:rPr>
        <w:t>August</w:t>
      </w:r>
      <w:r w:rsidR="00904332">
        <w:rPr>
          <w:sz w:val="24"/>
          <w:szCs w:val="24"/>
        </w:rPr>
        <w:t xml:space="preserve"> 202</w:t>
      </w:r>
      <w:r w:rsidR="003442C2">
        <w:rPr>
          <w:sz w:val="24"/>
          <w:szCs w:val="24"/>
        </w:rPr>
        <w:t>4</w:t>
      </w:r>
    </w:p>
    <w:p w14:paraId="0F9E82D0" w14:textId="28B6BB9D" w:rsidR="000D08F0" w:rsidRDefault="000D08F0" w:rsidP="000D08F0">
      <w:pPr>
        <w:pStyle w:val="Heading1"/>
      </w:pPr>
      <w:r>
        <w:t xml:space="preserve">Media Release: </w:t>
      </w:r>
      <w:r w:rsidR="00226F97">
        <w:t xml:space="preserve">New judicial </w:t>
      </w:r>
      <w:r w:rsidR="00904332">
        <w:t>appointment</w:t>
      </w:r>
      <w:r w:rsidR="00C53C7D">
        <w:t>s t</w:t>
      </w:r>
      <w:r w:rsidR="00904332">
        <w:t xml:space="preserve">o the </w:t>
      </w:r>
      <w:r w:rsidR="00FA2C40">
        <w:t>Parramatta and Sydney</w:t>
      </w:r>
      <w:r w:rsidR="00C53C7D">
        <w:t xml:space="preserve"> registries </w:t>
      </w:r>
      <w:r w:rsidR="00226F97">
        <w:t xml:space="preserve">of the </w:t>
      </w:r>
      <w:r w:rsidR="009942B6">
        <w:t>Federal Circuit and Family Court of Australia</w:t>
      </w:r>
      <w:r w:rsidR="00FA2C40">
        <w:t xml:space="preserve"> (Division 1)</w:t>
      </w:r>
    </w:p>
    <w:p w14:paraId="4F0D2DB8" w14:textId="49ECD5DB" w:rsidR="00990FA2" w:rsidRDefault="005B2F33" w:rsidP="00860F9E">
      <w:pPr>
        <w:spacing w:before="240"/>
        <w:ind w:right="-188"/>
      </w:pPr>
      <w:r>
        <w:t xml:space="preserve">The Attorney-General of the Commonwealth of Australia, the Honourable Mark Dreyfus KC MP </w:t>
      </w:r>
      <w:r w:rsidR="00FA2C40">
        <w:t xml:space="preserve">today </w:t>
      </w:r>
      <w:r>
        <w:t xml:space="preserve">announced the </w:t>
      </w:r>
      <w:r w:rsidR="0079437F">
        <w:t>appointment</w:t>
      </w:r>
      <w:r>
        <w:t xml:space="preserve"> of </w:t>
      </w:r>
      <w:r w:rsidR="00FA2C40" w:rsidRPr="00FA2C40">
        <w:t>Judge Elizabeth Boyle</w:t>
      </w:r>
      <w:r w:rsidR="00FA2C40">
        <w:t>,</w:t>
      </w:r>
      <w:r w:rsidR="00FA2C40" w:rsidRPr="00FA2C40">
        <w:t xml:space="preserve"> Mr Mark Anderson</w:t>
      </w:r>
      <w:r w:rsidR="00FA2C40">
        <w:t xml:space="preserve"> </w:t>
      </w:r>
      <w:r w:rsidR="00C76B24">
        <w:t xml:space="preserve">and </w:t>
      </w:r>
      <w:r w:rsidR="00C76B24" w:rsidRPr="00FA2C40">
        <w:t>Dr Juliet Behrens</w:t>
      </w:r>
      <w:r w:rsidR="00C76B24">
        <w:t xml:space="preserve"> to </w:t>
      </w:r>
      <w:r w:rsidR="00FA2C40">
        <w:t xml:space="preserve">Division 1 of the </w:t>
      </w:r>
      <w:r w:rsidRPr="005B2F33">
        <w:t>Federal Circuit and Family Court of Australia (FCFCOA)</w:t>
      </w:r>
      <w:r>
        <w:t>.</w:t>
      </w:r>
      <w:r w:rsidR="0079437F">
        <w:t xml:space="preserve"> </w:t>
      </w:r>
    </w:p>
    <w:p w14:paraId="7323E45E" w14:textId="7405622C" w:rsidR="00FA2C40" w:rsidRDefault="00FA2C40" w:rsidP="00860F9E">
      <w:pPr>
        <w:spacing w:before="240"/>
        <w:ind w:right="-188"/>
      </w:pPr>
      <w:r w:rsidRPr="00FA2C40">
        <w:t xml:space="preserve">Mr Mark Anderson has been appointed to the Parramatta Registry and Judge Elizabeth Boyle </w:t>
      </w:r>
      <w:r>
        <w:t xml:space="preserve">and </w:t>
      </w:r>
      <w:r w:rsidRPr="00FA2C40">
        <w:t>Dr Juliet Behrens have been appointed to the Sydney Registry of the Federal Circuit and Family Court of Australia (Division 1). They will commence on 5 August 2024.</w:t>
      </w:r>
    </w:p>
    <w:p w14:paraId="0253AEF5" w14:textId="3B6030F2" w:rsidR="00680A9A" w:rsidRDefault="0079437F" w:rsidP="00860F9E">
      <w:pPr>
        <w:spacing w:before="240"/>
        <w:ind w:right="-188"/>
        <w:rPr>
          <w:rFonts w:eastAsia="Times New Roman"/>
        </w:rPr>
      </w:pPr>
      <w:r w:rsidRPr="0079437F">
        <w:t>Chief Justice</w:t>
      </w:r>
      <w:r w:rsidR="00C13E99">
        <w:t>,</w:t>
      </w:r>
      <w:r w:rsidRPr="0079437F">
        <w:t xml:space="preserve"> the Hon</w:t>
      </w:r>
      <w:r>
        <w:t>ourable</w:t>
      </w:r>
      <w:r w:rsidRPr="0079437F">
        <w:t xml:space="preserve"> Will</w:t>
      </w:r>
      <w:r>
        <w:t>iam</w:t>
      </w:r>
      <w:r w:rsidRPr="0079437F">
        <w:t xml:space="preserve"> Alstergren</w:t>
      </w:r>
      <w:r w:rsidR="00CC4257">
        <w:t xml:space="preserve"> AO</w:t>
      </w:r>
      <w:r w:rsidR="000918EF">
        <w:t>,</w:t>
      </w:r>
      <w:r w:rsidRPr="0079437F">
        <w:t xml:space="preserve"> said that </w:t>
      </w:r>
      <w:r w:rsidR="00FA2C40">
        <w:t xml:space="preserve">the announcement of three </w:t>
      </w:r>
      <w:r w:rsidRPr="0079437F">
        <w:t>appointment</w:t>
      </w:r>
      <w:r w:rsidR="003532B0">
        <w:t>s</w:t>
      </w:r>
      <w:r w:rsidR="005B2F33">
        <w:t xml:space="preserve"> </w:t>
      </w:r>
      <w:r w:rsidR="00FA2C40">
        <w:t>to the Court</w:t>
      </w:r>
      <w:r w:rsidR="003532B0">
        <w:t xml:space="preserve"> are </w:t>
      </w:r>
      <w:r w:rsidR="005B2F33">
        <w:t>warmly welcomed</w:t>
      </w:r>
      <w:r w:rsidR="00C448EB">
        <w:t>.</w:t>
      </w:r>
    </w:p>
    <w:p w14:paraId="5D4C9D1A" w14:textId="785ADC51" w:rsidR="00C2236B" w:rsidRDefault="00C448EB" w:rsidP="00860F9E">
      <w:pPr>
        <w:spacing w:before="240"/>
        <w:ind w:right="-188"/>
      </w:pPr>
      <w:r>
        <w:t>“</w:t>
      </w:r>
      <w:r w:rsidR="003532B0">
        <w:t xml:space="preserve">Judge </w:t>
      </w:r>
      <w:r w:rsidR="00FA2C40">
        <w:t xml:space="preserve">Boyle has served </w:t>
      </w:r>
      <w:r w:rsidR="00C2236B">
        <w:t xml:space="preserve">as a Judge </w:t>
      </w:r>
      <w:r w:rsidR="00FA2C40">
        <w:t xml:space="preserve">in Division 2 of the FCFCOA </w:t>
      </w:r>
      <w:r w:rsidR="00C2236B">
        <w:t xml:space="preserve">since 2016 and will bring deep knowledge and experience in her Honour’s elevation to Division 1 of the Court. </w:t>
      </w:r>
    </w:p>
    <w:p w14:paraId="0419B908" w14:textId="6EDB78DE" w:rsidR="002471E0" w:rsidRDefault="00C76B24" w:rsidP="00860F9E">
      <w:pPr>
        <w:spacing w:before="240"/>
        <w:ind w:right="-188"/>
        <w:rPr>
          <w:iCs/>
        </w:rPr>
      </w:pPr>
      <w:r>
        <w:t>“</w:t>
      </w:r>
      <w:r w:rsidR="00325046">
        <w:rPr>
          <w:iCs/>
        </w:rPr>
        <w:t xml:space="preserve">On behalf of the Court, I </w:t>
      </w:r>
      <w:r w:rsidR="00CF2A26">
        <w:rPr>
          <w:iCs/>
        </w:rPr>
        <w:t>congratulate Judge Boyle on her well-deserved elevation to Division 1</w:t>
      </w:r>
      <w:r w:rsidR="002471E0">
        <w:rPr>
          <w:iCs/>
        </w:rPr>
        <w:t xml:space="preserve"> and </w:t>
      </w:r>
      <w:r w:rsidR="00CF2A26">
        <w:rPr>
          <w:iCs/>
        </w:rPr>
        <w:t xml:space="preserve">I am </w:t>
      </w:r>
      <w:r w:rsidR="000B47F9" w:rsidRPr="000B47F9">
        <w:rPr>
          <w:iCs/>
        </w:rPr>
        <w:t xml:space="preserve">delighted to welcome </w:t>
      </w:r>
      <w:r w:rsidR="00CF2A26">
        <w:rPr>
          <w:iCs/>
        </w:rPr>
        <w:t xml:space="preserve">Mr Anderson and Dr Behrens </w:t>
      </w:r>
      <w:r w:rsidR="003722F5">
        <w:rPr>
          <w:iCs/>
        </w:rPr>
        <w:t>to t</w:t>
      </w:r>
      <w:r w:rsidR="00A5690C">
        <w:rPr>
          <w:iCs/>
        </w:rPr>
        <w:t>he Bench</w:t>
      </w:r>
      <w:r w:rsidR="002471E0">
        <w:rPr>
          <w:iCs/>
        </w:rPr>
        <w:t>.</w:t>
      </w:r>
    </w:p>
    <w:p w14:paraId="38E99CB4" w14:textId="4BABFE13" w:rsidR="0089393E" w:rsidRDefault="002471E0" w:rsidP="00860F9E">
      <w:pPr>
        <w:spacing w:before="240"/>
        <w:rPr>
          <w:iCs/>
        </w:rPr>
      </w:pPr>
      <w:r>
        <w:rPr>
          <w:iCs/>
        </w:rPr>
        <w:t>“</w:t>
      </w:r>
      <w:r w:rsidR="00C13E99">
        <w:rPr>
          <w:iCs/>
        </w:rPr>
        <w:t xml:space="preserve">Over </w:t>
      </w:r>
      <w:r w:rsidR="005214C7">
        <w:rPr>
          <w:iCs/>
        </w:rPr>
        <w:t>the past few years, the Courts have implemented a significant number of reforms across the entire court system. These reforms have resulted in the reduction of delays, and importantly, ha</w:t>
      </w:r>
      <w:r w:rsidR="00C76B24">
        <w:rPr>
          <w:iCs/>
        </w:rPr>
        <w:t>ve</w:t>
      </w:r>
      <w:r w:rsidR="005214C7">
        <w:rPr>
          <w:iCs/>
        </w:rPr>
        <w:t xml:space="preserve"> improved risk assessment </w:t>
      </w:r>
      <w:r w:rsidR="0089393E">
        <w:rPr>
          <w:iCs/>
        </w:rPr>
        <w:t xml:space="preserve">processes </w:t>
      </w:r>
      <w:r w:rsidR="005214C7">
        <w:rPr>
          <w:iCs/>
        </w:rPr>
        <w:t xml:space="preserve">and responses </w:t>
      </w:r>
      <w:r w:rsidR="0089393E">
        <w:rPr>
          <w:iCs/>
        </w:rPr>
        <w:t xml:space="preserve">in </w:t>
      </w:r>
      <w:r w:rsidR="005214C7">
        <w:rPr>
          <w:iCs/>
        </w:rPr>
        <w:t xml:space="preserve">cases involving family violence and other risks. </w:t>
      </w:r>
    </w:p>
    <w:p w14:paraId="2C4907AE" w14:textId="2E294654" w:rsidR="006E58CD" w:rsidRDefault="0089393E" w:rsidP="00860F9E">
      <w:pPr>
        <w:spacing w:before="240"/>
        <w:rPr>
          <w:iCs/>
        </w:rPr>
      </w:pPr>
      <w:r>
        <w:rPr>
          <w:iCs/>
        </w:rPr>
        <w:t>“</w:t>
      </w:r>
      <w:r w:rsidR="002471E0">
        <w:rPr>
          <w:iCs/>
        </w:rPr>
        <w:t>The</w:t>
      </w:r>
      <w:r>
        <w:rPr>
          <w:iCs/>
        </w:rPr>
        <w:t>se</w:t>
      </w:r>
      <w:r w:rsidR="002471E0">
        <w:rPr>
          <w:iCs/>
        </w:rPr>
        <w:t xml:space="preserve"> appointments </w:t>
      </w:r>
      <w:r w:rsidR="005214C7">
        <w:rPr>
          <w:iCs/>
        </w:rPr>
        <w:t xml:space="preserve">will </w:t>
      </w:r>
      <w:r>
        <w:rPr>
          <w:iCs/>
        </w:rPr>
        <w:t xml:space="preserve">greatly </w:t>
      </w:r>
      <w:r w:rsidR="005214C7">
        <w:rPr>
          <w:iCs/>
        </w:rPr>
        <w:t xml:space="preserve">assist </w:t>
      </w:r>
      <w:r>
        <w:rPr>
          <w:iCs/>
        </w:rPr>
        <w:t>in the Courts’ objective</w:t>
      </w:r>
      <w:r w:rsidR="00C76B24">
        <w:rPr>
          <w:iCs/>
        </w:rPr>
        <w:t>s</w:t>
      </w:r>
      <w:r>
        <w:rPr>
          <w:iCs/>
        </w:rPr>
        <w:t xml:space="preserve"> to provide </w:t>
      </w:r>
      <w:r w:rsidR="00DB4C23">
        <w:rPr>
          <w:iCs/>
        </w:rPr>
        <w:t xml:space="preserve">safer outcomes and more timely access to justice for Australian families,” the </w:t>
      </w:r>
      <w:r w:rsidR="00325046">
        <w:rPr>
          <w:iCs/>
        </w:rPr>
        <w:t>Chief Justice said.</w:t>
      </w:r>
    </w:p>
    <w:p w14:paraId="3E9FE389" w14:textId="4FF8FEEB" w:rsidR="006E58CD" w:rsidRDefault="006E58CD" w:rsidP="00860F9E">
      <w:pPr>
        <w:pStyle w:val="Heading2"/>
        <w:spacing w:before="240" w:after="240"/>
        <w:rPr>
          <w:bCs/>
        </w:rPr>
      </w:pPr>
      <w:r w:rsidRPr="00582736">
        <w:t>Biographical details:</w:t>
      </w:r>
    </w:p>
    <w:p w14:paraId="5C29808E" w14:textId="620F209B" w:rsidR="0095098E" w:rsidRPr="009C30D1" w:rsidRDefault="0095098E" w:rsidP="009C30D1">
      <w:pPr>
        <w:pStyle w:val="Heading3"/>
      </w:pPr>
      <w:r w:rsidRPr="009C30D1">
        <w:t xml:space="preserve">Judge </w:t>
      </w:r>
      <w:r w:rsidR="00CF2A26" w:rsidRPr="009C30D1">
        <w:t>Elizabeth Boyle</w:t>
      </w:r>
    </w:p>
    <w:p w14:paraId="30105C7B" w14:textId="1D043BD3" w:rsidR="00CF2A26" w:rsidRPr="009C30D1" w:rsidRDefault="00CF2A26" w:rsidP="00860F9E">
      <w:pPr>
        <w:rPr>
          <w:iCs/>
        </w:rPr>
      </w:pPr>
      <w:r>
        <w:rPr>
          <w:lang w:eastAsia="en-AU"/>
        </w:rPr>
        <w:t>Judge Elizabeth Boyle has been appointed to the FCFCOA (Division 1) to fill the position formerly held by the Hon Justice Louise Henderson in the Sydney Registry. Her Honour was awarded a Bachelor of Arts and Bachelor of Laws from the University of Sydney in 1988. Her Honour worked with the Legal Aid Commission of New South Wales in its Family Law Litigation section from 1990 to 1999 and was a solicitor advocate for four years. In 1999, her Honour was appointed as a Senior Registrar of the Family Court of Australia. In 2001, her Honour was called to the Bar, specialising in family law and children’s care and protection. Her Honour was appointed to the Federal Circuit Court of Australia on 28 February 2016 and has been a Judge of that Court for the past 8 years.</w:t>
      </w:r>
    </w:p>
    <w:p w14:paraId="6AA4F077" w14:textId="661028E3" w:rsidR="0095098E" w:rsidRPr="0095098E" w:rsidRDefault="00CF2A26" w:rsidP="009C30D1">
      <w:pPr>
        <w:pStyle w:val="Heading3"/>
      </w:pPr>
      <w:r>
        <w:lastRenderedPageBreak/>
        <w:t>Mr Mark Anderson</w:t>
      </w:r>
    </w:p>
    <w:p w14:paraId="5DDC4FDC" w14:textId="700B8B72" w:rsidR="00CF2A26" w:rsidRDefault="00CF2A26" w:rsidP="00860F9E">
      <w:pPr>
        <w:rPr>
          <w:iCs/>
        </w:rPr>
      </w:pPr>
      <w:r w:rsidRPr="00CF2A26">
        <w:rPr>
          <w:iCs/>
        </w:rPr>
        <w:t>Mr Mark Anderson has been appointed to the Parramatta Registry to fill the position formerly held by the Hon Justice Hilary Hannam. Mr Anderson was awarded a Bachelor of Laws and Legal Practice from Flinders University in 2002. Mr Anderson was admitted to practice in 2002 where he worked in commercial practice in Adelaide and Melbourne. In 2009, Mr Anderson was called to the bar where he practised in family law, children’s care and protection and regularly appeared in the appellate jurisdiction of the FCFCOA (Division 1).</w:t>
      </w:r>
    </w:p>
    <w:p w14:paraId="24FE6571" w14:textId="265883B4" w:rsidR="00CF2A26" w:rsidRPr="0095098E" w:rsidRDefault="00CF2A26" w:rsidP="009C30D1">
      <w:pPr>
        <w:pStyle w:val="Heading3"/>
        <w:spacing w:before="120"/>
      </w:pPr>
      <w:r>
        <w:t>Dr Juliet Behrens</w:t>
      </w:r>
    </w:p>
    <w:p w14:paraId="15328FB3" w14:textId="130B9333" w:rsidR="00CF2A26" w:rsidRDefault="00CF2A26" w:rsidP="00860F9E">
      <w:pPr>
        <w:rPr>
          <w:iCs/>
        </w:rPr>
      </w:pPr>
      <w:r w:rsidRPr="00CF2A26">
        <w:rPr>
          <w:iCs/>
        </w:rPr>
        <w:t>Dr Juliet Behrens has been appointed to the Sydney Registry to fill the position formerly held by the Hon Justice Judith Anne Rees. Dr Behrens practised as a solicitor from 2009-2016 and an accredited mediator under the NMAS, specialising in family law. Dr Behrens was called to the Bar in 2017, where she has practised across family law, children’s care and protection, and family provision in the Equity jurisdiction. Between 1991 and 2010, Dr Behrens was a legal academic at the Australian National University. Dr Behrens has authored many family law publications, including as co-author of Australian Family Law: The Contemporary Context. Dr Behrens is an Honorary Senior Fellow at the University of Melbourne and a long-standing member of the editorial board of the Australian Journal of Family Law.</w:t>
      </w:r>
    </w:p>
    <w:p w14:paraId="37A8D0A7" w14:textId="3661C418" w:rsidR="00C76B24" w:rsidRPr="00994455" w:rsidRDefault="00C76B24" w:rsidP="009C30D1">
      <w:pPr>
        <w:spacing w:before="240"/>
        <w:rPr>
          <w:iCs/>
        </w:rPr>
      </w:pPr>
      <w:r>
        <w:rPr>
          <w:iCs/>
        </w:rPr>
        <w:t>-ends-</w:t>
      </w:r>
    </w:p>
    <w:sectPr w:rsidR="00C76B24" w:rsidRPr="00994455">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DBD2F7" w14:textId="77777777" w:rsidR="00B81FC8" w:rsidRDefault="00B81FC8" w:rsidP="00965ADE">
      <w:r>
        <w:separator/>
      </w:r>
    </w:p>
  </w:endnote>
  <w:endnote w:type="continuationSeparator" w:id="0">
    <w:p w14:paraId="368DB649" w14:textId="77777777" w:rsidR="00B81FC8" w:rsidRDefault="00B81FC8" w:rsidP="0096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773A4" w14:textId="77777777" w:rsidR="006932FD" w:rsidRDefault="006932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6"/>
        <w:szCs w:val="16"/>
      </w:rPr>
      <w:id w:val="883228817"/>
      <w:docPartObj>
        <w:docPartGallery w:val="Page Numbers (Bottom of Page)"/>
        <w:docPartUnique/>
      </w:docPartObj>
    </w:sdtPr>
    <w:sdtEndPr>
      <w:rPr>
        <w:color w:val="7F7F7F" w:themeColor="background1" w:themeShade="7F"/>
        <w:spacing w:val="60"/>
      </w:rPr>
    </w:sdtEndPr>
    <w:sdtContent>
      <w:p w14:paraId="43714FC7" w14:textId="77777777" w:rsidR="00D2548B" w:rsidRPr="00D2548B" w:rsidRDefault="00D2548B" w:rsidP="00D2548B">
        <w:pPr>
          <w:pStyle w:val="Footer"/>
          <w:pBdr>
            <w:top w:val="single" w:sz="4" w:space="1" w:color="D9D9D9" w:themeColor="background1" w:themeShade="D9"/>
          </w:pBdr>
          <w:jc w:val="right"/>
          <w:rPr>
            <w:b/>
            <w:bCs/>
            <w:sz w:val="16"/>
            <w:szCs w:val="16"/>
          </w:rPr>
        </w:pPr>
        <w:r w:rsidRPr="00D2548B">
          <w:rPr>
            <w:sz w:val="16"/>
            <w:szCs w:val="16"/>
          </w:rPr>
          <w:fldChar w:fldCharType="begin"/>
        </w:r>
        <w:r w:rsidRPr="00D2548B">
          <w:rPr>
            <w:sz w:val="16"/>
            <w:szCs w:val="16"/>
          </w:rPr>
          <w:instrText xml:space="preserve"> PAGE   \* MERGEFORMAT </w:instrText>
        </w:r>
        <w:r w:rsidRPr="00D2548B">
          <w:rPr>
            <w:sz w:val="16"/>
            <w:szCs w:val="16"/>
          </w:rPr>
          <w:fldChar w:fldCharType="separate"/>
        </w:r>
        <w:r w:rsidR="00DB0950" w:rsidRPr="00DB0950">
          <w:rPr>
            <w:b/>
            <w:bCs/>
            <w:noProof/>
            <w:sz w:val="16"/>
            <w:szCs w:val="16"/>
          </w:rPr>
          <w:t>1</w:t>
        </w:r>
        <w:r w:rsidRPr="00D2548B">
          <w:rPr>
            <w:b/>
            <w:bCs/>
            <w:noProof/>
            <w:sz w:val="16"/>
            <w:szCs w:val="16"/>
          </w:rPr>
          <w:fldChar w:fldCharType="end"/>
        </w:r>
        <w:r w:rsidRPr="00D2548B">
          <w:rPr>
            <w:b/>
            <w:bCs/>
            <w:sz w:val="16"/>
            <w:szCs w:val="16"/>
          </w:rPr>
          <w:t xml:space="preserve"> | </w:t>
        </w:r>
        <w:r w:rsidRPr="00D2548B">
          <w:rPr>
            <w:color w:val="7F7F7F" w:themeColor="background1" w:themeShade="7F"/>
            <w:spacing w:val="60"/>
            <w:sz w:val="16"/>
            <w:szCs w:val="16"/>
          </w:rPr>
          <w:t>Page</w:t>
        </w:r>
      </w:p>
    </w:sdtContent>
  </w:sdt>
  <w:p w14:paraId="6D0E595C" w14:textId="77777777" w:rsidR="00582736" w:rsidRDefault="00582736" w:rsidP="00582736">
    <w:pPr>
      <w:spacing w:before="240"/>
      <w:jc w:val="both"/>
      <w:rPr>
        <w:rFonts w:ascii="Calibri Light" w:eastAsiaTheme="minorEastAsia" w:hAnsi="Calibri Light" w:cs="Calibri Light"/>
        <w:noProof/>
        <w:color w:val="666666"/>
        <w:lang w:eastAsia="en-AU"/>
      </w:rPr>
    </w:pPr>
    <w:r>
      <w:rPr>
        <w:rFonts w:ascii="Calibri Light" w:eastAsiaTheme="minorEastAsia" w:hAnsi="Calibri Light" w:cs="Calibri Light"/>
        <w:b/>
        <w:bCs/>
        <w:noProof/>
        <w:color w:val="44546A"/>
        <w:lang w:eastAsia="en-AU"/>
      </w:rPr>
      <w:t xml:space="preserve">Denise Healy, </w:t>
    </w:r>
    <w:r>
      <w:rPr>
        <w:rFonts w:ascii="Calibri Light" w:eastAsiaTheme="minorEastAsia" w:hAnsi="Calibri Light" w:cs="Calibri Light"/>
        <w:noProof/>
        <w:color w:val="666666"/>
        <w:lang w:eastAsia="en-AU"/>
      </w:rPr>
      <w:t xml:space="preserve">Director – Media &amp; Public Affairs, Federal Circuit and Family Court of Australia </w:t>
    </w:r>
  </w:p>
  <w:p w14:paraId="5A8716FB" w14:textId="77777777" w:rsidR="00965ADE" w:rsidRDefault="00582736" w:rsidP="00582736">
    <w:pPr>
      <w:pStyle w:val="Footer"/>
    </w:pPr>
    <w:r>
      <w:rPr>
        <w:rFonts w:ascii="Calibri Light" w:eastAsiaTheme="minorEastAsia" w:hAnsi="Calibri Light" w:cs="Calibri Light"/>
        <w:b/>
        <w:bCs/>
        <w:noProof/>
        <w:color w:val="44546A"/>
        <w:lang w:eastAsia="en-AU"/>
      </w:rPr>
      <w:t xml:space="preserve">m. </w:t>
    </w:r>
    <w:r>
      <w:rPr>
        <w:rFonts w:ascii="Calibri Light" w:eastAsiaTheme="minorEastAsia" w:hAnsi="Calibri Light" w:cs="Calibri Light"/>
        <w:noProof/>
        <w:color w:val="666666"/>
        <w:lang w:eastAsia="en-AU"/>
      </w:rPr>
      <w:t xml:space="preserve">0409 743 695 </w:t>
    </w:r>
    <w:r>
      <w:rPr>
        <w:rFonts w:ascii="Calibri Light" w:eastAsiaTheme="minorEastAsia" w:hAnsi="Calibri Light" w:cs="Calibri Light"/>
        <w:b/>
        <w:bCs/>
        <w:noProof/>
        <w:color w:val="44546A"/>
        <w:lang w:eastAsia="en-AU"/>
      </w:rPr>
      <w:t>e.</w:t>
    </w:r>
    <w:r>
      <w:rPr>
        <w:rFonts w:ascii="Calibri Light" w:eastAsiaTheme="minorEastAsia" w:hAnsi="Calibri Light" w:cs="Calibri Light"/>
        <w:b/>
        <w:bCs/>
        <w:noProof/>
        <w:color w:val="000000"/>
        <w:lang w:eastAsia="en-AU"/>
      </w:rPr>
      <w:t xml:space="preserve"> </w:t>
    </w:r>
    <w:hyperlink r:id="rId1" w:history="1">
      <w:r>
        <w:rPr>
          <w:rStyle w:val="Hyperlink"/>
          <w:rFonts w:ascii="Calibri Light" w:eastAsiaTheme="minorEastAsia" w:hAnsi="Calibri Light" w:cs="Calibri Light"/>
          <w:noProof/>
        </w:rPr>
        <w:t>denise.healy@fcfcoa.gov.au</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3EFB9" w14:textId="77777777" w:rsidR="006932FD" w:rsidRDefault="006932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134CB8" w14:textId="77777777" w:rsidR="00B81FC8" w:rsidRDefault="00B81FC8" w:rsidP="00965ADE">
      <w:r>
        <w:separator/>
      </w:r>
    </w:p>
  </w:footnote>
  <w:footnote w:type="continuationSeparator" w:id="0">
    <w:p w14:paraId="15C6FDB5" w14:textId="77777777" w:rsidR="00B81FC8" w:rsidRDefault="00B81FC8" w:rsidP="00965A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FC521" w14:textId="77777777" w:rsidR="006932FD" w:rsidRDefault="006932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16F9F" w14:textId="4C88E905" w:rsidR="006932FD" w:rsidRDefault="006932F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71ACA" w14:textId="77777777" w:rsidR="006932FD" w:rsidRDefault="006932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789713023">
    <w:abstractNumId w:val="0"/>
  </w:num>
  <w:num w:numId="2" w16cid:durableId="16769583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08F0"/>
    <w:rsid w:val="00010070"/>
    <w:rsid w:val="00036592"/>
    <w:rsid w:val="0006637E"/>
    <w:rsid w:val="000918EF"/>
    <w:rsid w:val="000B47F9"/>
    <w:rsid w:val="000D08F0"/>
    <w:rsid w:val="000D18BD"/>
    <w:rsid w:val="00101C4D"/>
    <w:rsid w:val="00112F65"/>
    <w:rsid w:val="0011765B"/>
    <w:rsid w:val="00142AE7"/>
    <w:rsid w:val="0017267E"/>
    <w:rsid w:val="001913AD"/>
    <w:rsid w:val="00192A52"/>
    <w:rsid w:val="001E7306"/>
    <w:rsid w:val="00226F97"/>
    <w:rsid w:val="002471E0"/>
    <w:rsid w:val="002B26C3"/>
    <w:rsid w:val="002C3438"/>
    <w:rsid w:val="002D0B01"/>
    <w:rsid w:val="00325046"/>
    <w:rsid w:val="003364B9"/>
    <w:rsid w:val="003442C2"/>
    <w:rsid w:val="00344A2D"/>
    <w:rsid w:val="00344C32"/>
    <w:rsid w:val="003532B0"/>
    <w:rsid w:val="003722F5"/>
    <w:rsid w:val="003A02C8"/>
    <w:rsid w:val="003B5C6C"/>
    <w:rsid w:val="003F50C0"/>
    <w:rsid w:val="00470C83"/>
    <w:rsid w:val="004B3650"/>
    <w:rsid w:val="004F0938"/>
    <w:rsid w:val="005214C7"/>
    <w:rsid w:val="0053594D"/>
    <w:rsid w:val="00573D38"/>
    <w:rsid w:val="00582736"/>
    <w:rsid w:val="005842F3"/>
    <w:rsid w:val="005B2F33"/>
    <w:rsid w:val="00621578"/>
    <w:rsid w:val="0062410B"/>
    <w:rsid w:val="006301D4"/>
    <w:rsid w:val="00680A9A"/>
    <w:rsid w:val="006932FD"/>
    <w:rsid w:val="006A661F"/>
    <w:rsid w:val="006E58CD"/>
    <w:rsid w:val="00737BC8"/>
    <w:rsid w:val="007429CB"/>
    <w:rsid w:val="007518E5"/>
    <w:rsid w:val="007647D3"/>
    <w:rsid w:val="0079437F"/>
    <w:rsid w:val="007B6732"/>
    <w:rsid w:val="007D3CD8"/>
    <w:rsid w:val="007F2644"/>
    <w:rsid w:val="008172B1"/>
    <w:rsid w:val="00822EAA"/>
    <w:rsid w:val="00851312"/>
    <w:rsid w:val="00860F9E"/>
    <w:rsid w:val="0089393E"/>
    <w:rsid w:val="00893D94"/>
    <w:rsid w:val="00904332"/>
    <w:rsid w:val="0095098E"/>
    <w:rsid w:val="00965ADE"/>
    <w:rsid w:val="00977A79"/>
    <w:rsid w:val="00990FA2"/>
    <w:rsid w:val="009942B6"/>
    <w:rsid w:val="00994455"/>
    <w:rsid w:val="009A1ECF"/>
    <w:rsid w:val="009B3887"/>
    <w:rsid w:val="009C30D1"/>
    <w:rsid w:val="009C3689"/>
    <w:rsid w:val="009D428B"/>
    <w:rsid w:val="009D7FDA"/>
    <w:rsid w:val="009F4EC4"/>
    <w:rsid w:val="00A5690C"/>
    <w:rsid w:val="00A62545"/>
    <w:rsid w:val="00A704AF"/>
    <w:rsid w:val="00A77024"/>
    <w:rsid w:val="00A80511"/>
    <w:rsid w:val="00AC7B00"/>
    <w:rsid w:val="00AD117A"/>
    <w:rsid w:val="00B108B0"/>
    <w:rsid w:val="00B222CD"/>
    <w:rsid w:val="00B42AD6"/>
    <w:rsid w:val="00B81FC8"/>
    <w:rsid w:val="00B83755"/>
    <w:rsid w:val="00BE2350"/>
    <w:rsid w:val="00BE6F74"/>
    <w:rsid w:val="00BF44CC"/>
    <w:rsid w:val="00C13E99"/>
    <w:rsid w:val="00C2236B"/>
    <w:rsid w:val="00C27320"/>
    <w:rsid w:val="00C3560D"/>
    <w:rsid w:val="00C448EB"/>
    <w:rsid w:val="00C53C7D"/>
    <w:rsid w:val="00C76B24"/>
    <w:rsid w:val="00C928B8"/>
    <w:rsid w:val="00CA7B23"/>
    <w:rsid w:val="00CC4257"/>
    <w:rsid w:val="00CF2A26"/>
    <w:rsid w:val="00D2548B"/>
    <w:rsid w:val="00D51AA7"/>
    <w:rsid w:val="00D53961"/>
    <w:rsid w:val="00DA43B4"/>
    <w:rsid w:val="00DB0950"/>
    <w:rsid w:val="00DB4C23"/>
    <w:rsid w:val="00DC268B"/>
    <w:rsid w:val="00DE6501"/>
    <w:rsid w:val="00E15E05"/>
    <w:rsid w:val="00E32FF8"/>
    <w:rsid w:val="00E41C1E"/>
    <w:rsid w:val="00E546D4"/>
    <w:rsid w:val="00E63A3A"/>
    <w:rsid w:val="00E64098"/>
    <w:rsid w:val="00E9113C"/>
    <w:rsid w:val="00FA2C4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2D2FE3"/>
  <w15:chartTrackingRefBased/>
  <w15:docId w15:val="{E8E6B9EE-2DB4-4224-844A-1E200F8BC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860F9E"/>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9C30D1"/>
    <w:pPr>
      <w:keepNext/>
      <w:keepLines/>
      <w:spacing w:before="40" w:after="2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semiHidden/>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1"/>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table" w:styleId="GridTable6Colorful">
    <w:name w:val="Grid Table 6 Colorful"/>
    <w:basedOn w:val="TableNormal"/>
    <w:uiPriority w:val="51"/>
    <w:rsid w:val="003B5C6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CommentReference">
    <w:name w:val="annotation reference"/>
    <w:basedOn w:val="DefaultParagraphFont"/>
    <w:uiPriority w:val="99"/>
    <w:semiHidden/>
    <w:unhideWhenUsed/>
    <w:rsid w:val="00C928B8"/>
    <w:rPr>
      <w:sz w:val="16"/>
      <w:szCs w:val="16"/>
    </w:rPr>
  </w:style>
  <w:style w:type="paragraph" w:styleId="CommentText">
    <w:name w:val="annotation text"/>
    <w:basedOn w:val="Normal"/>
    <w:link w:val="CommentTextChar"/>
    <w:uiPriority w:val="99"/>
    <w:unhideWhenUsed/>
    <w:rsid w:val="00C928B8"/>
    <w:rPr>
      <w:sz w:val="20"/>
      <w:szCs w:val="20"/>
    </w:rPr>
  </w:style>
  <w:style w:type="character" w:customStyle="1" w:styleId="CommentTextChar">
    <w:name w:val="Comment Text Char"/>
    <w:basedOn w:val="DefaultParagraphFont"/>
    <w:link w:val="CommentText"/>
    <w:uiPriority w:val="99"/>
    <w:rsid w:val="00C928B8"/>
    <w:rPr>
      <w:sz w:val="20"/>
      <w:szCs w:val="20"/>
    </w:rPr>
  </w:style>
  <w:style w:type="paragraph" w:styleId="CommentSubject">
    <w:name w:val="annotation subject"/>
    <w:basedOn w:val="CommentText"/>
    <w:next w:val="CommentText"/>
    <w:link w:val="CommentSubjectChar"/>
    <w:uiPriority w:val="99"/>
    <w:semiHidden/>
    <w:unhideWhenUsed/>
    <w:rsid w:val="00C928B8"/>
    <w:rPr>
      <w:b/>
      <w:bCs/>
    </w:rPr>
  </w:style>
  <w:style w:type="character" w:customStyle="1" w:styleId="CommentSubjectChar">
    <w:name w:val="Comment Subject Char"/>
    <w:basedOn w:val="CommentTextChar"/>
    <w:link w:val="CommentSubject"/>
    <w:uiPriority w:val="99"/>
    <w:semiHidden/>
    <w:rsid w:val="00C928B8"/>
    <w:rPr>
      <w:b/>
      <w:bCs/>
      <w:sz w:val="20"/>
      <w:szCs w:val="20"/>
    </w:rPr>
  </w:style>
  <w:style w:type="paragraph" w:styleId="Revision">
    <w:name w:val="Revision"/>
    <w:hidden/>
    <w:uiPriority w:val="99"/>
    <w:semiHidden/>
    <w:rsid w:val="00E64098"/>
    <w:pPr>
      <w:spacing w:after="0" w:line="240" w:lineRule="auto"/>
    </w:pPr>
  </w:style>
  <w:style w:type="character" w:customStyle="1" w:styleId="Heading2Char">
    <w:name w:val="Heading 2 Char"/>
    <w:basedOn w:val="DefaultParagraphFont"/>
    <w:link w:val="Heading2"/>
    <w:uiPriority w:val="9"/>
    <w:rsid w:val="00860F9E"/>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9C30D1"/>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48289601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mailto:denise.healy@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571</Words>
  <Characters>3257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Media Release: Eleven new appointments to the Federal Circuit and Family Court</vt:lpstr>
    </vt:vector>
  </TitlesOfParts>
  <Company>Federal Court of Australia</Company>
  <LinksUpToDate>false</LinksUpToDate>
  <CharactersWithSpaces>3821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New judicial appointments to the Parramatta and Sydney registries of the Federal Circuit and Family Court of Australia (Division 1)</dc:title>
  <dc:subject/>
  <dc:creator>Federal Circuit and Family Court of Australia</dc:creator>
  <cp:keywords/>
  <dc:description/>
  <cp:lastModifiedBy>Christine Tuff</cp:lastModifiedBy>
  <cp:revision>3</cp:revision>
  <cp:lastPrinted>2021-10-14T02:44:00Z</cp:lastPrinted>
  <dcterms:created xsi:type="dcterms:W3CDTF">2024-08-02T02:14:00Z</dcterms:created>
  <dcterms:modified xsi:type="dcterms:W3CDTF">2024-08-02T02:16:00Z</dcterms:modified>
</cp:coreProperties>
</file>