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AF409" w14:textId="1268D5CD" w:rsidR="00A400E5" w:rsidRDefault="00A400E5" w:rsidP="00A400E5">
      <w:r>
        <w:rPr>
          <w:noProof/>
        </w:rPr>
        <w:drawing>
          <wp:inline distT="0" distB="0" distL="0" distR="0" wp14:anchorId="5ADEC9BA" wp14:editId="74EC450F">
            <wp:extent cx="2868174" cy="518161"/>
            <wp:effectExtent l="0" t="0" r="8890" b="0"/>
            <wp:docPr id="1690972529" name="Picture 1" descr="A black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972529" name="Picture 1" descr="A black text on a black background&#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68174" cy="518161"/>
                    </a:xfrm>
                    <a:prstGeom prst="rect">
                      <a:avLst/>
                    </a:prstGeom>
                  </pic:spPr>
                </pic:pic>
              </a:graphicData>
            </a:graphic>
          </wp:inline>
        </w:drawing>
      </w:r>
    </w:p>
    <w:p w14:paraId="392C8379" w14:textId="02CE2E18" w:rsidR="00514C1F" w:rsidRPr="00514C1F" w:rsidRDefault="00514C1F" w:rsidP="00514C1F">
      <w:pPr>
        <w:pStyle w:val="Heading1"/>
      </w:pPr>
      <w:r>
        <w:t>L</w:t>
      </w:r>
      <w:r w:rsidRPr="00514C1F">
        <w:t xml:space="preserve">eave requirements for subpoenas in family law proceedings </w:t>
      </w:r>
    </w:p>
    <w:p w14:paraId="700BBF16" w14:textId="2B60F64D" w:rsidR="00F10CA4" w:rsidRDefault="00514C1F" w:rsidP="00514C1F">
      <w:r w:rsidRPr="00514C1F">
        <w:t xml:space="preserve">This flowchart guides you through the requirements for leave to file subpoenas in family law proceedings under </w:t>
      </w:r>
      <w:r w:rsidRPr="0079198A">
        <w:t>rule 6.27</w:t>
      </w:r>
      <w:r w:rsidRPr="00514C1F">
        <w:t xml:space="preserve"> of the </w:t>
      </w:r>
      <w:hyperlink r:id="rId9" w:history="1">
        <w:r w:rsidRPr="00C55D4D">
          <w:rPr>
            <w:rStyle w:val="Hyperlink"/>
            <w:rFonts w:cstheme="minorBidi"/>
            <w:i/>
          </w:rPr>
          <w:t>Federal Circuit and Family Court of Australia (Family Law) Rules 2021</w:t>
        </w:r>
      </w:hyperlink>
      <w:r w:rsidRPr="00514C1F">
        <w:t xml:space="preserve"> (Family Law Rules 2021</w:t>
      </w:r>
      <w:r>
        <w:t>)</w:t>
      </w:r>
      <w:r w:rsidR="1DC193C1">
        <w:t xml:space="preserve"> and </w:t>
      </w:r>
      <w:r w:rsidR="1DC193C1" w:rsidRPr="186D41BB">
        <w:rPr>
          <w:rFonts w:ascii="Calibri" w:eastAsia="Calibri" w:hAnsi="Calibri" w:cs="Calibri"/>
        </w:rPr>
        <w:t xml:space="preserve">section 67ZBK of the </w:t>
      </w:r>
      <w:hyperlink r:id="rId10" w:history="1">
        <w:r w:rsidR="1DC193C1" w:rsidRPr="000A69E3">
          <w:rPr>
            <w:rStyle w:val="Hyperlink"/>
            <w:rFonts w:ascii="Calibri" w:eastAsia="Calibri" w:hAnsi="Calibri" w:cs="Calibri"/>
            <w:i/>
            <w:iCs/>
          </w:rPr>
          <w:t>Family Law Act</w:t>
        </w:r>
        <w:r w:rsidR="000A69E3" w:rsidRPr="000A69E3">
          <w:rPr>
            <w:rStyle w:val="Hyperlink"/>
            <w:rFonts w:ascii="Calibri" w:eastAsia="Calibri" w:hAnsi="Calibri" w:cs="Calibri"/>
            <w:i/>
            <w:iCs/>
          </w:rPr>
          <w:t xml:space="preserve"> 1975</w:t>
        </w:r>
      </w:hyperlink>
      <w:r w:rsidR="1DC193C1" w:rsidRPr="186D41BB">
        <w:rPr>
          <w:rFonts w:ascii="Calibri" w:eastAsia="Calibri" w:hAnsi="Calibri" w:cs="Calibri"/>
        </w:rPr>
        <w:t>.</w:t>
      </w:r>
    </w:p>
    <w:p w14:paraId="38ADAC3B" w14:textId="77777777" w:rsidR="00514C1F" w:rsidRDefault="00514C1F" w:rsidP="00514C1F">
      <w:pPr>
        <w:pStyle w:val="Heading2"/>
      </w:pPr>
      <w:r w:rsidRPr="00514C1F">
        <w:t>When is leave required?</w:t>
      </w:r>
    </w:p>
    <w:tbl>
      <w:tblPr>
        <w:tblStyle w:val="TableGrid"/>
        <w:tblW w:w="0" w:type="auto"/>
        <w:tblLook w:val="04A0" w:firstRow="1" w:lastRow="0" w:firstColumn="1" w:lastColumn="0" w:noHBand="0" w:noVBand="1"/>
      </w:tblPr>
      <w:tblGrid>
        <w:gridCol w:w="2972"/>
        <w:gridCol w:w="6044"/>
      </w:tblGrid>
      <w:tr w:rsidR="00514C1F" w14:paraId="7A90501E" w14:textId="77777777" w:rsidTr="00816B91">
        <w:trPr>
          <w:trHeight w:val="880"/>
        </w:trPr>
        <w:tc>
          <w:tcPr>
            <w:tcW w:w="2972" w:type="dxa"/>
            <w:vAlign w:val="center"/>
          </w:tcPr>
          <w:p w14:paraId="7D8BD570" w14:textId="77777777" w:rsidR="00514C1F" w:rsidRPr="00514C1F" w:rsidRDefault="00514C1F" w:rsidP="00435314">
            <w:pPr>
              <w:spacing w:before="120" w:after="120"/>
              <w:rPr>
                <w:b/>
              </w:rPr>
            </w:pPr>
            <w:r w:rsidRPr="00514C1F">
              <w:rPr>
                <w:b/>
              </w:rPr>
              <w:t xml:space="preserve">I am </w:t>
            </w:r>
            <w:r w:rsidR="00435314">
              <w:rPr>
                <w:b/>
              </w:rPr>
              <w:t>representing myself</w:t>
            </w:r>
          </w:p>
        </w:tc>
        <w:tc>
          <w:tcPr>
            <w:tcW w:w="6044" w:type="dxa"/>
            <w:vAlign w:val="center"/>
          </w:tcPr>
          <w:p w14:paraId="4B53DE0A" w14:textId="1F462D23" w:rsidR="00514C1F" w:rsidRDefault="00514C1F" w:rsidP="00816B91">
            <w:pPr>
              <w:spacing w:before="120" w:after="120"/>
            </w:pPr>
            <w:r w:rsidRPr="00514C1F">
              <w:t xml:space="preserve">Always need leave to issue a subpoena: see </w:t>
            </w:r>
            <w:r w:rsidRPr="0079198A">
              <w:t>rule 6.27</w:t>
            </w:r>
            <w:r w:rsidRPr="00514C1F">
              <w:t xml:space="preserve">(1) of </w:t>
            </w:r>
            <w:r w:rsidR="00C55D4D" w:rsidRPr="00514C1F">
              <w:t xml:space="preserve">the </w:t>
            </w:r>
            <w:hyperlink r:id="rId11" w:history="1">
              <w:r w:rsidR="00C55D4D" w:rsidRPr="00C55D4D">
                <w:rPr>
                  <w:rStyle w:val="Hyperlink"/>
                  <w:rFonts w:cstheme="minorBidi"/>
                  <w:i/>
                </w:rPr>
                <w:t>Family Law Rules 2021</w:t>
              </w:r>
            </w:hyperlink>
          </w:p>
        </w:tc>
      </w:tr>
    </w:tbl>
    <w:p w14:paraId="672A6659" w14:textId="77777777" w:rsidR="00514C1F" w:rsidRDefault="00514C1F" w:rsidP="00514C1F">
      <w:pPr>
        <w:spacing w:after="0"/>
      </w:pPr>
    </w:p>
    <w:tbl>
      <w:tblPr>
        <w:tblStyle w:val="TableGrid"/>
        <w:tblW w:w="0" w:type="auto"/>
        <w:tblLook w:val="04A0" w:firstRow="1" w:lastRow="0" w:firstColumn="1" w:lastColumn="0" w:noHBand="0" w:noVBand="1"/>
      </w:tblPr>
      <w:tblGrid>
        <w:gridCol w:w="3005"/>
        <w:gridCol w:w="3005"/>
        <w:gridCol w:w="3006"/>
      </w:tblGrid>
      <w:tr w:rsidR="00514C1F" w14:paraId="116B23AA" w14:textId="77777777" w:rsidTr="4E674487">
        <w:tc>
          <w:tcPr>
            <w:tcW w:w="3005" w:type="dxa"/>
            <w:vMerge w:val="restart"/>
            <w:vAlign w:val="center"/>
          </w:tcPr>
          <w:p w14:paraId="022C6B8D" w14:textId="77777777" w:rsidR="00514C1F" w:rsidRPr="00514C1F" w:rsidRDefault="00514C1F" w:rsidP="4D4B27FC">
            <w:pPr>
              <w:spacing w:before="120" w:after="120"/>
              <w:rPr>
                <w:b/>
                <w:bCs/>
              </w:rPr>
            </w:pPr>
            <w:r w:rsidRPr="4E674487">
              <w:rPr>
                <w:rFonts w:cs="Archivo Thin"/>
                <w:b/>
                <w:bCs/>
                <w:color w:val="202224"/>
                <w:sz w:val="23"/>
                <w:szCs w:val="23"/>
              </w:rPr>
              <w:t>I am a legal representative</w:t>
            </w:r>
          </w:p>
        </w:tc>
        <w:tc>
          <w:tcPr>
            <w:tcW w:w="3005" w:type="dxa"/>
            <w:vAlign w:val="center"/>
          </w:tcPr>
          <w:p w14:paraId="55F9F96E" w14:textId="77777777" w:rsidR="00514C1F" w:rsidRDefault="00514C1F" w:rsidP="00550F58">
            <w:pPr>
              <w:spacing w:before="120" w:after="120"/>
            </w:pPr>
            <w:r w:rsidRPr="00514C1F">
              <w:t xml:space="preserve">If there are </w:t>
            </w:r>
            <w:r w:rsidRPr="00514C1F">
              <w:rPr>
                <w:b/>
              </w:rPr>
              <w:t>no</w:t>
            </w:r>
            <w:r w:rsidRPr="00514C1F">
              <w:t xml:space="preserve"> interim/interlocutory applications </w:t>
            </w:r>
            <w:r w:rsidR="00550F58">
              <w:t>ongoing</w:t>
            </w:r>
          </w:p>
        </w:tc>
        <w:tc>
          <w:tcPr>
            <w:tcW w:w="3006" w:type="dxa"/>
            <w:vMerge w:val="restart"/>
            <w:vAlign w:val="center"/>
          </w:tcPr>
          <w:p w14:paraId="7CFB718F" w14:textId="7E793746" w:rsidR="00514C1F" w:rsidRDefault="00514C1F" w:rsidP="00816B91">
            <w:pPr>
              <w:spacing w:before="120" w:after="120"/>
            </w:pPr>
            <w:r w:rsidRPr="00514C1F">
              <w:t xml:space="preserve">Leave to issue subpoena required: see </w:t>
            </w:r>
            <w:r w:rsidRPr="0079198A">
              <w:t>rule 6.27</w:t>
            </w:r>
            <w:r w:rsidRPr="00514C1F">
              <w:t xml:space="preserve">(2) of </w:t>
            </w:r>
            <w:r w:rsidR="00C55D4D" w:rsidRPr="00514C1F">
              <w:t xml:space="preserve">the </w:t>
            </w:r>
            <w:hyperlink r:id="rId12" w:history="1">
              <w:r w:rsidR="00C55D4D" w:rsidRPr="00C55D4D">
                <w:rPr>
                  <w:rStyle w:val="Hyperlink"/>
                  <w:rFonts w:cstheme="minorBidi"/>
                  <w:i/>
                </w:rPr>
                <w:t>Family Law Rules 2021</w:t>
              </w:r>
            </w:hyperlink>
          </w:p>
        </w:tc>
      </w:tr>
      <w:tr w:rsidR="00514C1F" w14:paraId="011BA781" w14:textId="77777777" w:rsidTr="4E674487">
        <w:tc>
          <w:tcPr>
            <w:tcW w:w="3005" w:type="dxa"/>
            <w:vMerge/>
            <w:vAlign w:val="center"/>
          </w:tcPr>
          <w:p w14:paraId="0A37501D" w14:textId="77777777" w:rsidR="00514C1F" w:rsidRDefault="00514C1F" w:rsidP="00816B91">
            <w:pPr>
              <w:spacing w:before="120" w:after="120"/>
            </w:pPr>
          </w:p>
        </w:tc>
        <w:tc>
          <w:tcPr>
            <w:tcW w:w="3005" w:type="dxa"/>
            <w:vAlign w:val="center"/>
          </w:tcPr>
          <w:p w14:paraId="2D7D5316" w14:textId="77777777" w:rsidR="00514C1F" w:rsidRDefault="00514C1F" w:rsidP="00550F58">
            <w:pPr>
              <w:spacing w:before="120" w:after="120"/>
            </w:pPr>
            <w:r w:rsidRPr="00514C1F">
              <w:t xml:space="preserve">If the subpoena is addressed to a party in the proceeding (regardless of whether there are interim/interlocutory applications </w:t>
            </w:r>
            <w:r w:rsidR="00550F58">
              <w:t>ongoing</w:t>
            </w:r>
            <w:r w:rsidRPr="00514C1F">
              <w:t>)</w:t>
            </w:r>
          </w:p>
        </w:tc>
        <w:tc>
          <w:tcPr>
            <w:tcW w:w="3006" w:type="dxa"/>
            <w:vMerge/>
            <w:vAlign w:val="center"/>
          </w:tcPr>
          <w:p w14:paraId="5DAB6C7B" w14:textId="77777777" w:rsidR="00514C1F" w:rsidRDefault="00514C1F" w:rsidP="00816B91">
            <w:pPr>
              <w:spacing w:before="120" w:after="120"/>
            </w:pPr>
          </w:p>
        </w:tc>
      </w:tr>
      <w:tr w:rsidR="009A5791" w14:paraId="0713ADED" w14:textId="77777777" w:rsidTr="4E674487">
        <w:tc>
          <w:tcPr>
            <w:tcW w:w="3005" w:type="dxa"/>
            <w:vMerge/>
            <w:vAlign w:val="center"/>
          </w:tcPr>
          <w:p w14:paraId="57CE12B0" w14:textId="77777777" w:rsidR="009A5791" w:rsidRDefault="009A5791" w:rsidP="00816B91">
            <w:pPr>
              <w:spacing w:before="120" w:after="120"/>
            </w:pPr>
          </w:p>
        </w:tc>
        <w:tc>
          <w:tcPr>
            <w:tcW w:w="3005" w:type="dxa"/>
            <w:vAlign w:val="center"/>
          </w:tcPr>
          <w:p w14:paraId="17AFCE32" w14:textId="3E8E5F8D" w:rsidR="009A5791" w:rsidRPr="00514C1F" w:rsidRDefault="009A5791" w:rsidP="00550F58">
            <w:pPr>
              <w:spacing w:before="120" w:after="120"/>
            </w:pPr>
            <w:r>
              <w:t xml:space="preserve">If </w:t>
            </w:r>
            <w:r w:rsidR="00A937D5">
              <w:t xml:space="preserve">the subpoena is addressed to a </w:t>
            </w:r>
            <w:r w:rsidR="00AE3C69">
              <w:t xml:space="preserve">prescribed information sharing agency (for example a </w:t>
            </w:r>
            <w:r w:rsidR="00A937D5">
              <w:t>child-welfare agency or polic</w:t>
            </w:r>
            <w:r w:rsidR="007E7905">
              <w:t>e</w:t>
            </w:r>
            <w:r w:rsidR="00AE3C69">
              <w:t>)</w:t>
            </w:r>
            <w:r w:rsidR="007E7905">
              <w:t xml:space="preserve"> and an order has been made for documents or information from that information sharing agency under section 67ZBE of </w:t>
            </w:r>
            <w:r w:rsidR="006B63C9">
              <w:t xml:space="preserve">the </w:t>
            </w:r>
            <w:hyperlink r:id="rId13" w:history="1">
              <w:r w:rsidR="006B63C9" w:rsidRPr="00501A9D">
                <w:rPr>
                  <w:rStyle w:val="Hyperlink"/>
                  <w:rFonts w:cstheme="minorBidi"/>
                </w:rPr>
                <w:t>Family Law Act</w:t>
              </w:r>
            </w:hyperlink>
          </w:p>
        </w:tc>
        <w:tc>
          <w:tcPr>
            <w:tcW w:w="3006" w:type="dxa"/>
            <w:vAlign w:val="center"/>
          </w:tcPr>
          <w:p w14:paraId="4E8608FD" w14:textId="26FACE58" w:rsidR="009A5791" w:rsidRDefault="225F5DF0" w:rsidP="00816B91">
            <w:pPr>
              <w:spacing w:before="120" w:after="120"/>
            </w:pPr>
            <w:r>
              <w:t xml:space="preserve">Leave to issue required: see section 67ZBK of the </w:t>
            </w:r>
            <w:hyperlink r:id="rId14" w:history="1">
              <w:r w:rsidRPr="00501A9D">
                <w:rPr>
                  <w:rStyle w:val="Hyperlink"/>
                  <w:rFonts w:cstheme="minorBidi"/>
                </w:rPr>
                <w:t>Family Law Act</w:t>
              </w:r>
            </w:hyperlink>
          </w:p>
        </w:tc>
      </w:tr>
      <w:tr w:rsidR="00514C1F" w14:paraId="1DF0940C" w14:textId="77777777" w:rsidTr="4E674487">
        <w:tc>
          <w:tcPr>
            <w:tcW w:w="3005" w:type="dxa"/>
            <w:vMerge/>
            <w:vAlign w:val="center"/>
          </w:tcPr>
          <w:p w14:paraId="02EB378F" w14:textId="77777777" w:rsidR="00514C1F" w:rsidRDefault="00514C1F" w:rsidP="00816B91">
            <w:pPr>
              <w:spacing w:before="120" w:after="120"/>
            </w:pPr>
          </w:p>
        </w:tc>
        <w:tc>
          <w:tcPr>
            <w:tcW w:w="3005" w:type="dxa"/>
            <w:tcBorders>
              <w:bottom w:val="single" w:sz="4" w:space="0" w:color="auto"/>
            </w:tcBorders>
            <w:vAlign w:val="center"/>
          </w:tcPr>
          <w:p w14:paraId="6FD64B22" w14:textId="77777777" w:rsidR="00514C1F" w:rsidRDefault="00514C1F" w:rsidP="00550F58">
            <w:pPr>
              <w:spacing w:before="120" w:after="120"/>
            </w:pPr>
            <w:r w:rsidRPr="00514C1F">
              <w:t xml:space="preserve">If there are </w:t>
            </w:r>
            <w:r w:rsidR="00435314" w:rsidRPr="00435314">
              <w:rPr>
                <w:b/>
              </w:rPr>
              <w:t>current</w:t>
            </w:r>
            <w:r w:rsidR="00435314">
              <w:t xml:space="preserve"> </w:t>
            </w:r>
            <w:r w:rsidRPr="00514C1F">
              <w:t xml:space="preserve">interim/interlocutory applications </w:t>
            </w:r>
            <w:r w:rsidR="00550F58">
              <w:t>ongoing</w:t>
            </w:r>
          </w:p>
        </w:tc>
        <w:tc>
          <w:tcPr>
            <w:tcW w:w="3006" w:type="dxa"/>
            <w:tcBorders>
              <w:bottom w:val="single" w:sz="4" w:space="0" w:color="auto"/>
            </w:tcBorders>
            <w:vAlign w:val="center"/>
          </w:tcPr>
          <w:p w14:paraId="799EF9E8" w14:textId="4F0C8DB7" w:rsidR="00514C1F" w:rsidRDefault="00514C1F" w:rsidP="00816B91">
            <w:pPr>
              <w:spacing w:before="120" w:after="120"/>
            </w:pPr>
            <w:r w:rsidRPr="00514C1F">
              <w:t xml:space="preserve">Up to five (5) subpoenas for production </w:t>
            </w:r>
            <w:r w:rsidR="00435314">
              <w:rPr>
                <w:rFonts w:ascii="Segoe UI" w:hAnsi="Segoe UI" w:cs="Segoe UI"/>
                <w:color w:val="000000"/>
                <w:sz w:val="20"/>
                <w:szCs w:val="20"/>
              </w:rPr>
              <w:t>can be issued per interim/interlocutory application* without leave</w:t>
            </w:r>
            <w:r w:rsidRPr="00514C1F">
              <w:t xml:space="preserve">: see </w:t>
            </w:r>
            <w:r w:rsidRPr="0079198A">
              <w:t>rule 6.27</w:t>
            </w:r>
            <w:r w:rsidRPr="00514C1F">
              <w:t xml:space="preserve">(3) of the </w:t>
            </w:r>
            <w:hyperlink r:id="rId15" w:history="1">
              <w:r w:rsidR="00C55D4D" w:rsidRPr="00C55D4D">
                <w:rPr>
                  <w:rStyle w:val="Hyperlink"/>
                  <w:rFonts w:cstheme="minorBidi"/>
                  <w:i/>
                </w:rPr>
                <w:t>Family Law Rules 2021</w:t>
              </w:r>
            </w:hyperlink>
          </w:p>
        </w:tc>
      </w:tr>
      <w:tr w:rsidR="00435314" w14:paraId="450E0C86" w14:textId="77777777" w:rsidTr="4E674487">
        <w:tc>
          <w:tcPr>
            <w:tcW w:w="3005" w:type="dxa"/>
            <w:tcBorders>
              <w:left w:val="nil"/>
              <w:bottom w:val="nil"/>
              <w:right w:val="nil"/>
            </w:tcBorders>
            <w:vAlign w:val="center"/>
          </w:tcPr>
          <w:p w14:paraId="6A05A809" w14:textId="77777777" w:rsidR="00435314" w:rsidRDefault="00435314" w:rsidP="00816B91">
            <w:pPr>
              <w:spacing w:before="120" w:after="120"/>
            </w:pPr>
          </w:p>
        </w:tc>
        <w:tc>
          <w:tcPr>
            <w:tcW w:w="6011" w:type="dxa"/>
            <w:gridSpan w:val="2"/>
            <w:tcBorders>
              <w:left w:val="nil"/>
              <w:bottom w:val="nil"/>
              <w:right w:val="nil"/>
            </w:tcBorders>
            <w:vAlign w:val="center"/>
          </w:tcPr>
          <w:p w14:paraId="18E9EF0B" w14:textId="07508A74" w:rsidR="00435314" w:rsidRPr="00514C1F" w:rsidRDefault="00435314" w:rsidP="00435314">
            <w:pPr>
              <w:spacing w:before="120" w:after="120"/>
            </w:pPr>
            <w:r>
              <w:rPr>
                <w:rFonts w:ascii="Segoe UI" w:hAnsi="Segoe UI" w:cs="Segoe UI"/>
                <w:color w:val="000000"/>
                <w:sz w:val="20"/>
                <w:szCs w:val="20"/>
              </w:rPr>
              <w:t>*</w:t>
            </w:r>
            <w:r w:rsidRPr="00435314">
              <w:rPr>
                <w:rFonts w:ascii="Segoe UI" w:hAnsi="Segoe UI" w:cs="Segoe UI"/>
                <w:color w:val="000000"/>
                <w:sz w:val="16"/>
                <w:szCs w:val="16"/>
              </w:rPr>
              <w:t>Please refer to paragraph</w:t>
            </w:r>
            <w:r w:rsidR="00885A4E">
              <w:rPr>
                <w:rFonts w:ascii="Segoe UI" w:hAnsi="Segoe UI" w:cs="Segoe UI"/>
                <w:color w:val="000000"/>
                <w:sz w:val="16"/>
                <w:szCs w:val="16"/>
              </w:rPr>
              <w:t>s</w:t>
            </w:r>
            <w:r w:rsidR="00972E43">
              <w:rPr>
                <w:rFonts w:ascii="Segoe UI" w:hAnsi="Segoe UI" w:cs="Segoe UI"/>
                <w:color w:val="000000"/>
                <w:sz w:val="16"/>
                <w:szCs w:val="16"/>
              </w:rPr>
              <w:t xml:space="preserve"> </w:t>
            </w:r>
            <w:r w:rsidR="00972E43" w:rsidRPr="00972E43">
              <w:rPr>
                <w:rFonts w:ascii="Segoe UI" w:hAnsi="Segoe UI" w:cs="Segoe UI"/>
                <w:color w:val="000000"/>
                <w:sz w:val="16"/>
                <w:szCs w:val="16"/>
              </w:rPr>
              <w:t>6.17 and 6.18</w:t>
            </w:r>
            <w:r w:rsidRPr="00435314">
              <w:rPr>
                <w:rFonts w:ascii="Segoe UI" w:hAnsi="Segoe UI" w:cs="Segoe UI"/>
                <w:color w:val="000000"/>
                <w:sz w:val="16"/>
                <w:szCs w:val="16"/>
              </w:rPr>
              <w:t xml:space="preserve"> of the </w:t>
            </w:r>
            <w:hyperlink r:id="rId16" w:history="1">
              <w:r w:rsidRPr="00435314">
                <w:rPr>
                  <w:rStyle w:val="Hyperlink"/>
                  <w:rFonts w:ascii="Segoe UI" w:hAnsi="Segoe UI" w:cs="Segoe UI"/>
                  <w:sz w:val="16"/>
                  <w:szCs w:val="16"/>
                </w:rPr>
                <w:t>Central Practice Direction - Family Law Case Management</w:t>
              </w:r>
            </w:hyperlink>
            <w:r w:rsidRPr="00435314">
              <w:rPr>
                <w:rFonts w:ascii="Segoe UI" w:hAnsi="Segoe UI" w:cs="Segoe UI"/>
                <w:color w:val="000000"/>
                <w:sz w:val="16"/>
                <w:szCs w:val="16"/>
              </w:rPr>
              <w:t xml:space="preserve"> in relation to limits on filing interim/interlocutory applications.</w:t>
            </w:r>
          </w:p>
        </w:tc>
      </w:tr>
    </w:tbl>
    <w:p w14:paraId="10BA1A31" w14:textId="77777777" w:rsidR="00377A7B" w:rsidRDefault="00377A7B">
      <w:pPr>
        <w:spacing w:after="200"/>
      </w:pPr>
      <w:r>
        <w:br w:type="page"/>
      </w:r>
    </w:p>
    <w:tbl>
      <w:tblPr>
        <w:tblStyle w:val="TableGrid"/>
        <w:tblW w:w="0" w:type="auto"/>
        <w:tblLook w:val="04A0" w:firstRow="1" w:lastRow="0" w:firstColumn="1" w:lastColumn="0" w:noHBand="0" w:noVBand="1"/>
      </w:tblPr>
      <w:tblGrid>
        <w:gridCol w:w="3005"/>
        <w:gridCol w:w="3005"/>
        <w:gridCol w:w="3006"/>
      </w:tblGrid>
      <w:tr w:rsidR="00514C1F" w14:paraId="1B3B98BC" w14:textId="77777777" w:rsidTr="00514C1F">
        <w:tc>
          <w:tcPr>
            <w:tcW w:w="3005" w:type="dxa"/>
            <w:vMerge w:val="restart"/>
            <w:vAlign w:val="center"/>
          </w:tcPr>
          <w:p w14:paraId="6EBED5CF" w14:textId="77777777" w:rsidR="00514C1F" w:rsidRPr="00514C1F" w:rsidRDefault="00514C1F" w:rsidP="00816B91">
            <w:pPr>
              <w:spacing w:before="120" w:after="120"/>
              <w:rPr>
                <w:b/>
              </w:rPr>
            </w:pPr>
            <w:r w:rsidRPr="00514C1F">
              <w:rPr>
                <w:b/>
              </w:rPr>
              <w:lastRenderedPageBreak/>
              <w:t>I am an independent children’s lawyer</w:t>
            </w:r>
          </w:p>
        </w:tc>
        <w:tc>
          <w:tcPr>
            <w:tcW w:w="3005" w:type="dxa"/>
            <w:vAlign w:val="center"/>
          </w:tcPr>
          <w:p w14:paraId="2C07325A" w14:textId="77777777" w:rsidR="00514C1F" w:rsidRDefault="00514C1F" w:rsidP="00550F58">
            <w:pPr>
              <w:spacing w:before="120" w:after="120"/>
            </w:pPr>
            <w:r w:rsidRPr="00514C1F">
              <w:t xml:space="preserve">If there are </w:t>
            </w:r>
            <w:r w:rsidRPr="00514C1F">
              <w:rPr>
                <w:b/>
              </w:rPr>
              <w:t>no</w:t>
            </w:r>
            <w:r w:rsidRPr="00514C1F">
              <w:t xml:space="preserve"> interim/interlocutory applications </w:t>
            </w:r>
            <w:r w:rsidR="00550F58">
              <w:t>ongoing</w:t>
            </w:r>
          </w:p>
        </w:tc>
        <w:tc>
          <w:tcPr>
            <w:tcW w:w="3006" w:type="dxa"/>
            <w:vMerge w:val="restart"/>
            <w:vAlign w:val="center"/>
          </w:tcPr>
          <w:p w14:paraId="5E97E3E1" w14:textId="5E89C115" w:rsidR="00514C1F" w:rsidRDefault="00514C1F" w:rsidP="00816B91">
            <w:pPr>
              <w:spacing w:before="120" w:after="120"/>
            </w:pPr>
            <w:r w:rsidRPr="00514C1F">
              <w:t xml:space="preserve">Leave to issue subpoena required: see </w:t>
            </w:r>
            <w:r w:rsidRPr="0079198A">
              <w:t>rule 6.27</w:t>
            </w:r>
            <w:r w:rsidRPr="00514C1F">
              <w:t xml:space="preserve">(2) of the </w:t>
            </w:r>
            <w:hyperlink r:id="rId17" w:history="1">
              <w:r w:rsidRPr="00C55D4D">
                <w:rPr>
                  <w:rStyle w:val="Hyperlink"/>
                  <w:rFonts w:cstheme="minorBidi"/>
                  <w:i/>
                </w:rPr>
                <w:t>Family Law Rules 2021</w:t>
              </w:r>
            </w:hyperlink>
          </w:p>
        </w:tc>
      </w:tr>
      <w:tr w:rsidR="00514C1F" w14:paraId="30E66772" w14:textId="77777777" w:rsidTr="00514C1F">
        <w:tc>
          <w:tcPr>
            <w:tcW w:w="3005" w:type="dxa"/>
            <w:vMerge/>
            <w:vAlign w:val="center"/>
          </w:tcPr>
          <w:p w14:paraId="41C8F396" w14:textId="77777777" w:rsidR="00514C1F" w:rsidRDefault="00514C1F" w:rsidP="00816B91">
            <w:pPr>
              <w:spacing w:before="120" w:after="120"/>
            </w:pPr>
          </w:p>
        </w:tc>
        <w:tc>
          <w:tcPr>
            <w:tcW w:w="3005" w:type="dxa"/>
            <w:vAlign w:val="center"/>
          </w:tcPr>
          <w:p w14:paraId="7565FF70" w14:textId="77777777" w:rsidR="00514C1F" w:rsidRDefault="00514C1F" w:rsidP="00435314">
            <w:pPr>
              <w:spacing w:before="120" w:after="120"/>
            </w:pPr>
            <w:r w:rsidRPr="00514C1F">
              <w:t xml:space="preserve">If the subpoena is addressed to a party in the proceeding (regardless of whether there are interim/interlocutory applications </w:t>
            </w:r>
            <w:r w:rsidR="00550F58">
              <w:t>ongoing</w:t>
            </w:r>
            <w:r w:rsidRPr="00514C1F">
              <w:t>)</w:t>
            </w:r>
          </w:p>
        </w:tc>
        <w:tc>
          <w:tcPr>
            <w:tcW w:w="3006" w:type="dxa"/>
            <w:vMerge/>
            <w:vAlign w:val="center"/>
          </w:tcPr>
          <w:p w14:paraId="72A3D3EC" w14:textId="77777777" w:rsidR="00514C1F" w:rsidRDefault="00514C1F" w:rsidP="00816B91">
            <w:pPr>
              <w:spacing w:before="120" w:after="120"/>
            </w:pPr>
          </w:p>
        </w:tc>
      </w:tr>
      <w:tr w:rsidR="0069477C" w14:paraId="118FD7DF" w14:textId="77777777" w:rsidTr="00514C1F">
        <w:tc>
          <w:tcPr>
            <w:tcW w:w="3005" w:type="dxa"/>
            <w:vMerge/>
            <w:vAlign w:val="center"/>
          </w:tcPr>
          <w:p w14:paraId="4E28AB85" w14:textId="77777777" w:rsidR="0069477C" w:rsidRDefault="0069477C" w:rsidP="0069477C">
            <w:pPr>
              <w:spacing w:before="120" w:after="120"/>
            </w:pPr>
          </w:p>
        </w:tc>
        <w:tc>
          <w:tcPr>
            <w:tcW w:w="3005" w:type="dxa"/>
            <w:vAlign w:val="center"/>
          </w:tcPr>
          <w:p w14:paraId="0948FB51" w14:textId="45D1F03B" w:rsidR="0069477C" w:rsidRPr="00514C1F" w:rsidRDefault="0069477C" w:rsidP="0069477C">
            <w:pPr>
              <w:spacing w:before="120" w:after="120"/>
            </w:pPr>
            <w:r>
              <w:t xml:space="preserve">If the subpoena is addressed to a prescribed information sharing agency (for example a child-welfare agency or police) and an order has been made for documents or information from that information sharing agency under section 67ZBE of the </w:t>
            </w:r>
            <w:hyperlink r:id="rId18" w:history="1">
              <w:r w:rsidRPr="00501A9D">
                <w:rPr>
                  <w:rStyle w:val="Hyperlink"/>
                  <w:rFonts w:cstheme="minorBidi"/>
                </w:rPr>
                <w:t>Family Law Act</w:t>
              </w:r>
            </w:hyperlink>
          </w:p>
        </w:tc>
        <w:tc>
          <w:tcPr>
            <w:tcW w:w="3006" w:type="dxa"/>
            <w:vAlign w:val="center"/>
          </w:tcPr>
          <w:p w14:paraId="4FDDF86A" w14:textId="58393D8A" w:rsidR="0069477C" w:rsidRDefault="0069477C" w:rsidP="0069477C">
            <w:pPr>
              <w:spacing w:before="120" w:after="120"/>
            </w:pPr>
            <w:r>
              <w:t xml:space="preserve">Leave to issue required: see section 67ZBK of the </w:t>
            </w:r>
            <w:hyperlink r:id="rId19" w:history="1">
              <w:r w:rsidRPr="00501A9D">
                <w:rPr>
                  <w:rStyle w:val="Hyperlink"/>
                  <w:rFonts w:cstheme="minorBidi"/>
                </w:rPr>
                <w:t>Family Law Act</w:t>
              </w:r>
            </w:hyperlink>
          </w:p>
        </w:tc>
      </w:tr>
      <w:tr w:rsidR="00514C1F" w14:paraId="725C16EB" w14:textId="77777777" w:rsidTr="00514C1F">
        <w:tc>
          <w:tcPr>
            <w:tcW w:w="3005" w:type="dxa"/>
            <w:vMerge/>
            <w:vAlign w:val="center"/>
          </w:tcPr>
          <w:p w14:paraId="0D0B940D" w14:textId="77777777" w:rsidR="00514C1F" w:rsidRDefault="00514C1F" w:rsidP="00816B91">
            <w:pPr>
              <w:spacing w:before="120" w:after="120"/>
            </w:pPr>
          </w:p>
        </w:tc>
        <w:tc>
          <w:tcPr>
            <w:tcW w:w="3005" w:type="dxa"/>
            <w:vAlign w:val="center"/>
          </w:tcPr>
          <w:p w14:paraId="507720CA" w14:textId="77777777" w:rsidR="00514C1F" w:rsidRDefault="00514C1F" w:rsidP="00435314">
            <w:pPr>
              <w:spacing w:before="120" w:after="120"/>
            </w:pPr>
            <w:r w:rsidRPr="00514C1F">
              <w:t xml:space="preserve">If there are </w:t>
            </w:r>
            <w:r w:rsidR="00435314" w:rsidRPr="00435314">
              <w:rPr>
                <w:b/>
              </w:rPr>
              <w:t xml:space="preserve">current </w:t>
            </w:r>
            <w:r w:rsidRPr="00514C1F">
              <w:t xml:space="preserve">interim/interlocutory applications </w:t>
            </w:r>
            <w:r w:rsidR="00550F58">
              <w:t>ongoing</w:t>
            </w:r>
          </w:p>
        </w:tc>
        <w:tc>
          <w:tcPr>
            <w:tcW w:w="3006" w:type="dxa"/>
            <w:vAlign w:val="center"/>
          </w:tcPr>
          <w:p w14:paraId="3BCB618A" w14:textId="4BDD8F52" w:rsidR="00514C1F" w:rsidRDefault="00514C1F" w:rsidP="00816B91">
            <w:pPr>
              <w:spacing w:before="120" w:after="120"/>
            </w:pPr>
            <w:r w:rsidRPr="00514C1F">
              <w:t xml:space="preserve">Unlimited subpoenas for production can be issued without leave: see </w:t>
            </w:r>
            <w:r w:rsidRPr="0079198A">
              <w:t>rule 6.27</w:t>
            </w:r>
            <w:r w:rsidRPr="00514C1F">
              <w:t xml:space="preserve">(4) of </w:t>
            </w:r>
            <w:r w:rsidR="00C55D4D" w:rsidRPr="00514C1F">
              <w:t xml:space="preserve">the </w:t>
            </w:r>
            <w:hyperlink r:id="rId20" w:history="1">
              <w:r w:rsidR="00C55D4D" w:rsidRPr="00C55D4D">
                <w:rPr>
                  <w:rStyle w:val="Hyperlink"/>
                  <w:rFonts w:cstheme="minorBidi"/>
                  <w:i/>
                </w:rPr>
                <w:t>Family Law Rules 2021</w:t>
              </w:r>
            </w:hyperlink>
          </w:p>
        </w:tc>
      </w:tr>
    </w:tbl>
    <w:p w14:paraId="279CE940" w14:textId="77777777" w:rsidR="00377A7B" w:rsidRDefault="00377A7B">
      <w:pPr>
        <w:spacing w:after="200"/>
      </w:pPr>
      <w:r>
        <w:br w:type="page"/>
      </w:r>
    </w:p>
    <w:p w14:paraId="026D1836" w14:textId="77777777" w:rsidR="00026D0D" w:rsidRPr="00026D0D" w:rsidRDefault="00026D0D" w:rsidP="00026D0D">
      <w:pPr>
        <w:pStyle w:val="Heading2"/>
      </w:pPr>
      <w:r w:rsidRPr="00026D0D">
        <w:lastRenderedPageBreak/>
        <w:t>Leave requirements to issue subpoenas</w:t>
      </w:r>
    </w:p>
    <w:p w14:paraId="0DEF62FB" w14:textId="5156D97D" w:rsidR="00026D0D" w:rsidRPr="00026D0D" w:rsidRDefault="00026D0D" w:rsidP="00026D0D">
      <w:pPr>
        <w:spacing w:after="0"/>
      </w:pPr>
      <w:r w:rsidRPr="00026D0D">
        <w:t xml:space="preserve">Unless otherwise stated, subpoena in the flowchart </w:t>
      </w:r>
      <w:r w:rsidR="001E119B">
        <w:t>above,</w:t>
      </w:r>
      <w:r w:rsidRPr="00026D0D">
        <w:t xml:space="preserve"> refers to:</w:t>
      </w:r>
    </w:p>
    <w:p w14:paraId="26FE9496" w14:textId="32BF8717" w:rsidR="00026D0D" w:rsidRPr="00026D0D" w:rsidRDefault="00026D0D" w:rsidP="00026D0D">
      <w:pPr>
        <w:pStyle w:val="ListParagraph"/>
        <w:numPr>
          <w:ilvl w:val="0"/>
          <w:numId w:val="5"/>
        </w:numPr>
      </w:pPr>
      <w:r w:rsidRPr="00026D0D">
        <w:t>a subpoena to give evidence,</w:t>
      </w:r>
    </w:p>
    <w:p w14:paraId="3B509751" w14:textId="45CBB3DA" w:rsidR="00026D0D" w:rsidRPr="00026D0D" w:rsidRDefault="00026D0D" w:rsidP="00026D0D">
      <w:pPr>
        <w:pStyle w:val="ListParagraph"/>
        <w:numPr>
          <w:ilvl w:val="0"/>
          <w:numId w:val="5"/>
        </w:numPr>
      </w:pPr>
      <w:r w:rsidRPr="00026D0D">
        <w:t>a subpoena for production and to give evidence,</w:t>
      </w:r>
    </w:p>
    <w:p w14:paraId="41FD961F" w14:textId="77777777" w:rsidR="00026D0D" w:rsidRPr="00026D0D" w:rsidRDefault="00026D0D" w:rsidP="00026D0D">
      <w:pPr>
        <w:pStyle w:val="ListParagraph"/>
        <w:numPr>
          <w:ilvl w:val="0"/>
          <w:numId w:val="5"/>
        </w:numPr>
      </w:pPr>
      <w:r w:rsidRPr="00026D0D">
        <w:t>a subpoena for production for a final hearing, or</w:t>
      </w:r>
    </w:p>
    <w:p w14:paraId="3D7BA24C" w14:textId="77777777" w:rsidR="00026D0D" w:rsidRPr="00026D0D" w:rsidRDefault="00026D0D" w:rsidP="00026D0D">
      <w:pPr>
        <w:pStyle w:val="ListParagraph"/>
        <w:numPr>
          <w:ilvl w:val="0"/>
          <w:numId w:val="5"/>
        </w:numPr>
      </w:pPr>
      <w:r w:rsidRPr="00026D0D">
        <w:t>a subpoena for production directed to another party to the proceeding.</w:t>
      </w:r>
    </w:p>
    <w:p w14:paraId="6397BBA1" w14:textId="77777777" w:rsidR="00026D0D" w:rsidRPr="00026D0D" w:rsidRDefault="00026D0D" w:rsidP="00026D0D">
      <w:pPr>
        <w:pStyle w:val="Heading3"/>
      </w:pPr>
      <w:r w:rsidRPr="00026D0D">
        <w:t>Seeking leave</w:t>
      </w:r>
    </w:p>
    <w:p w14:paraId="7CAA5AD5" w14:textId="77777777" w:rsidR="00026D0D" w:rsidRPr="00026D0D" w:rsidRDefault="00026D0D" w:rsidP="00A725F9">
      <w:pPr>
        <w:spacing w:after="0"/>
      </w:pPr>
      <w:r w:rsidRPr="00026D0D">
        <w:t xml:space="preserve">If leave is required, the issuing party (including </w:t>
      </w:r>
      <w:r w:rsidR="00435314">
        <w:t>any</w:t>
      </w:r>
      <w:r w:rsidRPr="00026D0D">
        <w:t xml:space="preserve"> independent children’s lawyer) should provide a short cover letter outlining:</w:t>
      </w:r>
    </w:p>
    <w:p w14:paraId="71D6B376" w14:textId="78AE4F79" w:rsidR="00026D0D" w:rsidRPr="00026D0D" w:rsidRDefault="00026D0D" w:rsidP="00A725F9">
      <w:pPr>
        <w:numPr>
          <w:ilvl w:val="0"/>
          <w:numId w:val="4"/>
        </w:numPr>
        <w:spacing w:after="120"/>
        <w:ind w:left="714" w:hanging="357"/>
      </w:pPr>
      <w:r w:rsidRPr="00026D0D">
        <w:t>a list of the subpoena/s you seek to have issued;</w:t>
      </w:r>
    </w:p>
    <w:p w14:paraId="1BAFBC77" w14:textId="77777777" w:rsidR="00026D0D" w:rsidRPr="00026D0D" w:rsidRDefault="00026D0D" w:rsidP="00A725F9">
      <w:pPr>
        <w:numPr>
          <w:ilvl w:val="0"/>
          <w:numId w:val="4"/>
        </w:numPr>
        <w:spacing w:after="120"/>
        <w:ind w:left="714" w:hanging="357"/>
      </w:pPr>
      <w:r w:rsidRPr="00026D0D">
        <w:t>the reasons why permission should be granted (including relevance or an order of the Court); and</w:t>
      </w:r>
    </w:p>
    <w:p w14:paraId="2F717E7A" w14:textId="77777777" w:rsidR="00026D0D" w:rsidRPr="00026D0D" w:rsidRDefault="00026D0D" w:rsidP="00A725F9">
      <w:pPr>
        <w:numPr>
          <w:ilvl w:val="0"/>
          <w:numId w:val="4"/>
        </w:numPr>
        <w:spacing w:after="120"/>
        <w:ind w:left="714" w:hanging="357"/>
      </w:pPr>
      <w:r w:rsidRPr="00026D0D">
        <w:t>an undertaking that the Court has made no order restricting the issuing of any subpoena.</w:t>
      </w:r>
    </w:p>
    <w:p w14:paraId="1DAAA148" w14:textId="77777777" w:rsidR="00026D0D" w:rsidRPr="00026D0D" w:rsidRDefault="00026D0D" w:rsidP="00026D0D">
      <w:r w:rsidRPr="00026D0D">
        <w:t xml:space="preserve">Upon receipt of this letter, Registry will direct consideration of </w:t>
      </w:r>
      <w:r w:rsidR="00435314">
        <w:t xml:space="preserve">the </w:t>
      </w:r>
      <w:r w:rsidRPr="00026D0D">
        <w:t>request to the Docket Registrar or Docket Judge.</w:t>
      </w:r>
    </w:p>
    <w:p w14:paraId="05F0B88C" w14:textId="77777777" w:rsidR="00026D0D" w:rsidRPr="00026D0D" w:rsidRDefault="00026D0D" w:rsidP="00026D0D">
      <w:pPr>
        <w:pStyle w:val="Heading3"/>
      </w:pPr>
      <w:r w:rsidRPr="00026D0D">
        <w:t>When leave is not required</w:t>
      </w:r>
    </w:p>
    <w:p w14:paraId="19ACE554" w14:textId="0CF8CB4E" w:rsidR="00026D0D" w:rsidRPr="00026D0D" w:rsidRDefault="00026D0D" w:rsidP="00026D0D">
      <w:r w:rsidRPr="00026D0D">
        <w:t xml:space="preserve">Where leave is not required because the subpoena is being issued for the hearing of an interlocutory or interim application, the issuing party should indicate, in their cover letter to the Court, how many subpoenas, of the five (5) allowed without leave, have already been issued: see </w:t>
      </w:r>
      <w:r w:rsidRPr="00421116">
        <w:t>rule 6.27</w:t>
      </w:r>
      <w:r w:rsidRPr="00026D0D">
        <w:t xml:space="preserve">(5) of </w:t>
      </w:r>
      <w:r w:rsidR="005B05DC" w:rsidRPr="00514C1F">
        <w:t xml:space="preserve">the </w:t>
      </w:r>
      <w:hyperlink r:id="rId21" w:history="1">
        <w:r w:rsidR="005B05DC" w:rsidRPr="00C55D4D">
          <w:rPr>
            <w:rStyle w:val="Hyperlink"/>
            <w:rFonts w:cstheme="minorBidi"/>
            <w:i/>
          </w:rPr>
          <w:t>Family Law Rules 2021</w:t>
        </w:r>
      </w:hyperlink>
      <w:r w:rsidRPr="00026D0D">
        <w:t>.</w:t>
      </w:r>
    </w:p>
    <w:p w14:paraId="77AD3D8D" w14:textId="77777777" w:rsidR="00026D0D" w:rsidRPr="00026D0D" w:rsidRDefault="00026D0D" w:rsidP="00026D0D">
      <w:pPr>
        <w:pStyle w:val="Heading2"/>
      </w:pPr>
      <w:r w:rsidRPr="00026D0D">
        <w:t>More information</w:t>
      </w:r>
    </w:p>
    <w:p w14:paraId="57C50856" w14:textId="522BD828" w:rsidR="00026D0D" w:rsidRPr="00026D0D" w:rsidRDefault="00026D0D" w:rsidP="00026D0D">
      <w:r w:rsidRPr="00026D0D">
        <w:t xml:space="preserve">For more information about subpoenas in family law proceedings, see </w:t>
      </w:r>
      <w:r w:rsidRPr="00026D0D">
        <w:rPr>
          <w:b/>
        </w:rPr>
        <w:t>Family Law: Subpoenas</w:t>
      </w:r>
      <w:r w:rsidRPr="00026D0D">
        <w:t xml:space="preserve"> at </w:t>
      </w:r>
      <w:hyperlink r:id="rId22" w:history="1">
        <w:r w:rsidRPr="00026D0D">
          <w:rPr>
            <w:rStyle w:val="Hyperlink"/>
            <w:rFonts w:cstheme="minorBidi"/>
          </w:rPr>
          <w:t>www.fcfcoa.gov.au/fl/subpoenas</w:t>
        </w:r>
      </w:hyperlink>
    </w:p>
    <w:p w14:paraId="2464373F" w14:textId="393B56E0" w:rsidR="00514C1F" w:rsidRPr="00026D0D" w:rsidRDefault="2885E888" w:rsidP="00026D0D">
      <w:pPr>
        <w:jc w:val="right"/>
        <w:rPr>
          <w:sz w:val="18"/>
          <w:szCs w:val="18"/>
        </w:rPr>
      </w:pPr>
      <w:r w:rsidRPr="4E674487">
        <w:rPr>
          <w:sz w:val="18"/>
          <w:szCs w:val="18"/>
        </w:rPr>
        <w:t>0524V1</w:t>
      </w:r>
    </w:p>
    <w:sectPr w:rsidR="00514C1F" w:rsidRPr="00026D0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chivo Thin">
    <w:panose1 w:val="00000000000000000000"/>
    <w:charset w:val="00"/>
    <w:family w:val="auto"/>
    <w:pitch w:val="variable"/>
    <w:sig w:usb0="A00000FF" w:usb1="500020EB" w:usb2="00000008" w:usb3="00000000" w:csb0="00000193"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B2602F"/>
    <w:multiLevelType w:val="hybridMultilevel"/>
    <w:tmpl w:val="71E61B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0C441BA"/>
    <w:multiLevelType w:val="hybridMultilevel"/>
    <w:tmpl w:val="7018C55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700C526A"/>
    <w:multiLevelType w:val="hybridMultilevel"/>
    <w:tmpl w:val="C2D61B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0181964">
    <w:abstractNumId w:val="3"/>
  </w:num>
  <w:num w:numId="2" w16cid:durableId="1460801714">
    <w:abstractNumId w:val="3"/>
  </w:num>
  <w:num w:numId="3" w16cid:durableId="61106486">
    <w:abstractNumId w:val="0"/>
  </w:num>
  <w:num w:numId="4" w16cid:durableId="1254362799">
    <w:abstractNumId w:val="1"/>
  </w:num>
  <w:num w:numId="5" w16cid:durableId="17030185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4C1F"/>
    <w:rsid w:val="000054B8"/>
    <w:rsid w:val="00026D0D"/>
    <w:rsid w:val="000327B2"/>
    <w:rsid w:val="00047D01"/>
    <w:rsid w:val="00075E04"/>
    <w:rsid w:val="0007771F"/>
    <w:rsid w:val="00086662"/>
    <w:rsid w:val="000A69E3"/>
    <w:rsid w:val="000A7557"/>
    <w:rsid w:val="000D59B8"/>
    <w:rsid w:val="000F08C6"/>
    <w:rsid w:val="0015502B"/>
    <w:rsid w:val="0016325D"/>
    <w:rsid w:val="001E119B"/>
    <w:rsid w:val="001E5A77"/>
    <w:rsid w:val="001F1493"/>
    <w:rsid w:val="00231523"/>
    <w:rsid w:val="00233BE5"/>
    <w:rsid w:val="0023459F"/>
    <w:rsid w:val="00283DC0"/>
    <w:rsid w:val="002A4357"/>
    <w:rsid w:val="002A69D5"/>
    <w:rsid w:val="002C0373"/>
    <w:rsid w:val="002C6456"/>
    <w:rsid w:val="002C76A2"/>
    <w:rsid w:val="002F659D"/>
    <w:rsid w:val="00303CA7"/>
    <w:rsid w:val="00333092"/>
    <w:rsid w:val="00340C4B"/>
    <w:rsid w:val="0034556C"/>
    <w:rsid w:val="00363DAE"/>
    <w:rsid w:val="00377A7B"/>
    <w:rsid w:val="003828E1"/>
    <w:rsid w:val="003935FB"/>
    <w:rsid w:val="003A4A35"/>
    <w:rsid w:val="003B2E9B"/>
    <w:rsid w:val="003B6660"/>
    <w:rsid w:val="00421116"/>
    <w:rsid w:val="00435314"/>
    <w:rsid w:val="00450751"/>
    <w:rsid w:val="00457B7F"/>
    <w:rsid w:val="00484BC2"/>
    <w:rsid w:val="004F2FFA"/>
    <w:rsid w:val="00501A9D"/>
    <w:rsid w:val="00512563"/>
    <w:rsid w:val="00514C1F"/>
    <w:rsid w:val="00526974"/>
    <w:rsid w:val="00550F58"/>
    <w:rsid w:val="00565018"/>
    <w:rsid w:val="005873AB"/>
    <w:rsid w:val="005A12E2"/>
    <w:rsid w:val="005A4409"/>
    <w:rsid w:val="005B05DC"/>
    <w:rsid w:val="005D5769"/>
    <w:rsid w:val="005F4FE1"/>
    <w:rsid w:val="00622817"/>
    <w:rsid w:val="0064311C"/>
    <w:rsid w:val="0069477C"/>
    <w:rsid w:val="006B63C9"/>
    <w:rsid w:val="006F57F3"/>
    <w:rsid w:val="00731638"/>
    <w:rsid w:val="00736C10"/>
    <w:rsid w:val="00745874"/>
    <w:rsid w:val="00771159"/>
    <w:rsid w:val="0077575A"/>
    <w:rsid w:val="0079198A"/>
    <w:rsid w:val="007A5356"/>
    <w:rsid w:val="007E7905"/>
    <w:rsid w:val="00816B91"/>
    <w:rsid w:val="00885A4E"/>
    <w:rsid w:val="008A582C"/>
    <w:rsid w:val="008B6F61"/>
    <w:rsid w:val="008D00A0"/>
    <w:rsid w:val="008D427B"/>
    <w:rsid w:val="008F0280"/>
    <w:rsid w:val="008F387A"/>
    <w:rsid w:val="008F56FE"/>
    <w:rsid w:val="0091517E"/>
    <w:rsid w:val="00965A79"/>
    <w:rsid w:val="00972E43"/>
    <w:rsid w:val="00974B93"/>
    <w:rsid w:val="00984A2C"/>
    <w:rsid w:val="0098710E"/>
    <w:rsid w:val="009A5791"/>
    <w:rsid w:val="00A400E5"/>
    <w:rsid w:val="00A725F9"/>
    <w:rsid w:val="00A937D5"/>
    <w:rsid w:val="00A95310"/>
    <w:rsid w:val="00AA78B7"/>
    <w:rsid w:val="00AE3C69"/>
    <w:rsid w:val="00B14B5C"/>
    <w:rsid w:val="00B16C68"/>
    <w:rsid w:val="00BA3E69"/>
    <w:rsid w:val="00BC2FE4"/>
    <w:rsid w:val="00C27CB2"/>
    <w:rsid w:val="00C55D4D"/>
    <w:rsid w:val="00C6151C"/>
    <w:rsid w:val="00C644FE"/>
    <w:rsid w:val="00C9156A"/>
    <w:rsid w:val="00C9372C"/>
    <w:rsid w:val="00CA1B7A"/>
    <w:rsid w:val="00CB63C4"/>
    <w:rsid w:val="00D014B5"/>
    <w:rsid w:val="00D64103"/>
    <w:rsid w:val="00D65858"/>
    <w:rsid w:val="00D82F89"/>
    <w:rsid w:val="00D84C59"/>
    <w:rsid w:val="00D97741"/>
    <w:rsid w:val="00DE415A"/>
    <w:rsid w:val="00E16479"/>
    <w:rsid w:val="00E727A2"/>
    <w:rsid w:val="00ED10A0"/>
    <w:rsid w:val="00EE0A16"/>
    <w:rsid w:val="00F04E92"/>
    <w:rsid w:val="00F10CA4"/>
    <w:rsid w:val="00F22153"/>
    <w:rsid w:val="00F23E84"/>
    <w:rsid w:val="00F26E45"/>
    <w:rsid w:val="00F35544"/>
    <w:rsid w:val="00F46282"/>
    <w:rsid w:val="00FA56E0"/>
    <w:rsid w:val="00FB7BB1"/>
    <w:rsid w:val="137734F9"/>
    <w:rsid w:val="186D41BB"/>
    <w:rsid w:val="1DC193C1"/>
    <w:rsid w:val="225F5DF0"/>
    <w:rsid w:val="2885E888"/>
    <w:rsid w:val="49DC9D33"/>
    <w:rsid w:val="4D4B27FC"/>
    <w:rsid w:val="4E674487"/>
    <w:rsid w:val="52AB4601"/>
    <w:rsid w:val="6A0B45E5"/>
    <w:rsid w:val="7568D5E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E0EE2B"/>
  <w15:chartTrackingRefBased/>
  <w15:docId w15:val="{C1F140A4-5977-454A-9ED0-FEBF5D615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6D0D"/>
    <w:pPr>
      <w:spacing w:after="240"/>
    </w:pPr>
  </w:style>
  <w:style w:type="paragraph" w:styleId="Heading1">
    <w:name w:val="heading 1"/>
    <w:basedOn w:val="Normal"/>
    <w:next w:val="Normal"/>
    <w:link w:val="Heading1Char"/>
    <w:uiPriority w:val="9"/>
    <w:qFormat/>
    <w:rsid w:val="00514C1F"/>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514C1F"/>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514C1F"/>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514C1F"/>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514C1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4C1F"/>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514C1F"/>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514C1F"/>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514C1F"/>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514C1F"/>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514C1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514C1F"/>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514C1F"/>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514C1F"/>
    <w:pPr>
      <w:ind w:left="720"/>
      <w:contextualSpacing/>
    </w:pPr>
  </w:style>
  <w:style w:type="paragraph" w:customStyle="1" w:styleId="ARbodytext">
    <w:name w:val="AR body text"/>
    <w:basedOn w:val="Normal"/>
    <w:qFormat/>
    <w:rsid w:val="00514C1F"/>
    <w:pPr>
      <w:spacing w:after="0"/>
    </w:pPr>
    <w:rPr>
      <w:rFonts w:ascii="Arial" w:hAnsi="Arial"/>
      <w:sz w:val="20"/>
    </w:rPr>
  </w:style>
  <w:style w:type="table" w:styleId="TableGrid">
    <w:name w:val="Table Grid"/>
    <w:basedOn w:val="TableNormal"/>
    <w:uiPriority w:val="59"/>
    <w:rsid w:val="00514C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A5791"/>
    <w:pPr>
      <w:spacing w:after="0" w:line="240" w:lineRule="auto"/>
    </w:pPr>
  </w:style>
  <w:style w:type="character" w:styleId="Mention">
    <w:name w:val="Mention"/>
    <w:basedOn w:val="DefaultParagraphFont"/>
    <w:uiPriority w:val="99"/>
    <w:unhideWhenUsed/>
    <w:rPr>
      <w:color w:val="2B579A"/>
      <w:shd w:val="clear" w:color="auto" w:fill="E6E6E6"/>
    </w:rPr>
  </w:style>
  <w:style w:type="character" w:styleId="UnresolvedMention">
    <w:name w:val="Unresolved Mention"/>
    <w:basedOn w:val="DefaultParagraphFont"/>
    <w:uiPriority w:val="99"/>
    <w:semiHidden/>
    <w:unhideWhenUsed/>
    <w:rsid w:val="00C55D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legislation.gov.au/C2004A00275/latest/text" TargetMode="External"/><Relationship Id="rId18" Type="http://schemas.openxmlformats.org/officeDocument/2006/relationships/hyperlink" Target="https://www.legislation.gov.au/C2004A00275/latest/text" TargetMode="External"/><Relationship Id="rId3" Type="http://schemas.openxmlformats.org/officeDocument/2006/relationships/customXml" Target="../customXml/item3.xml"/><Relationship Id="rId21" Type="http://schemas.openxmlformats.org/officeDocument/2006/relationships/hyperlink" Target="https://www.legislation.gov.au/F2021L01197/latest/text" TargetMode="External"/><Relationship Id="rId7" Type="http://schemas.openxmlformats.org/officeDocument/2006/relationships/webSettings" Target="webSettings.xml"/><Relationship Id="rId12" Type="http://schemas.openxmlformats.org/officeDocument/2006/relationships/hyperlink" Target="https://www.legislation.gov.au/F2021L01197/latest/text" TargetMode="External"/><Relationship Id="rId17" Type="http://schemas.openxmlformats.org/officeDocument/2006/relationships/hyperlink" Target="https://www.legislation.gov.au/F2021L01197/latest/text" TargetMode="External"/><Relationship Id="rId2" Type="http://schemas.openxmlformats.org/officeDocument/2006/relationships/customXml" Target="../customXml/item2.xml"/><Relationship Id="rId16" Type="http://schemas.openxmlformats.org/officeDocument/2006/relationships/hyperlink" Target="https://www.fcfcoa.gov.au/fl/pd/fam-cpd" TargetMode="External"/><Relationship Id="rId20" Type="http://schemas.openxmlformats.org/officeDocument/2006/relationships/hyperlink" Target="https://www.legislation.gov.au/F2021L01197/latest/tex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legislation.gov.au/F2021L01197/latest/text"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legislation.gov.au/F2021L01197/latest/text" TargetMode="External"/><Relationship Id="rId23" Type="http://schemas.openxmlformats.org/officeDocument/2006/relationships/fontTable" Target="fontTable.xml"/><Relationship Id="rId10" Type="http://schemas.openxmlformats.org/officeDocument/2006/relationships/hyperlink" Target="https://www.legislation.gov.au/C2004A00275/latest/text" TargetMode="External"/><Relationship Id="rId19" Type="http://schemas.openxmlformats.org/officeDocument/2006/relationships/hyperlink" Target="https://www.legislation.gov.au/C2004A00275/latest/text" TargetMode="External"/><Relationship Id="rId4" Type="http://schemas.openxmlformats.org/officeDocument/2006/relationships/numbering" Target="numbering.xml"/><Relationship Id="rId9" Type="http://schemas.openxmlformats.org/officeDocument/2006/relationships/hyperlink" Target="https://www.legislation.gov.au/F2021L01197/latest/text" TargetMode="External"/><Relationship Id="rId14" Type="http://schemas.openxmlformats.org/officeDocument/2006/relationships/hyperlink" Target="https://www.legislation.gov.au/C2004A00275/latest/text" TargetMode="External"/><Relationship Id="rId22" Type="http://schemas.openxmlformats.org/officeDocument/2006/relationships/hyperlink" Target="http://www.fcfcoa.gov.au/fl/subpoena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B0CBB2E-D8A6-44A0-AF2E-8126E7D727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D97D0FE-08B4-467F-82D6-9626679AA162}">
  <ds:schemaRefs>
    <ds:schemaRef ds:uri="http://schemas.microsoft.com/sharepoint/v3/contenttype/forms"/>
  </ds:schemaRefs>
</ds:datastoreItem>
</file>

<file path=customXml/itemProps3.xml><?xml version="1.0" encoding="utf-8"?>
<ds:datastoreItem xmlns:ds="http://schemas.openxmlformats.org/officeDocument/2006/customXml" ds:itemID="{7CDC74F6-EF74-4EE8-A126-FC7EFC15013C}">
  <ds:schemaRefs>
    <ds:schemaRef ds:uri="http://schemas.openxmlformats.org/package/2006/metadata/core-properties"/>
    <ds:schemaRef ds:uri="http://schemas.microsoft.com/office/2006/metadata/properties"/>
    <ds:schemaRef ds:uri="http://purl.org/dc/terms/"/>
    <ds:schemaRef ds:uri="http://www.w3.org/XML/1998/namespace"/>
    <ds:schemaRef ds:uri="http://purl.org/dc/dcmitype/"/>
    <ds:schemaRef ds:uri="http://schemas.microsoft.com/office/2006/documentManagement/types"/>
    <ds:schemaRef ds:uri="74c4a858-1284-4935-93de-938f2dee072c"/>
    <ds:schemaRef ds:uri="http://schemas.microsoft.com/office/infopath/2007/PartnerControls"/>
    <ds:schemaRef ds:uri="078ec0e7-d7a2-4500-a0c4-2336558e14d0"/>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681</Words>
  <Characters>3883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Leave requirements for subpoenas in family law proceedings</vt:lpstr>
    </vt:vector>
  </TitlesOfParts>
  <Company>Federal Court of Australia</Company>
  <LinksUpToDate>false</LinksUpToDate>
  <CharactersWithSpaces>4555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Leave requirements for subpoenas in family law proceedings</dc:title>
  <dc:subject/>
  <dc:creator>Federal Circuit and Family Court of Australia</dc:creator>
  <cp:keywords/>
  <dc:description/>
  <cp:lastModifiedBy>Kate Naylor</cp:lastModifiedBy>
  <cp:revision>3</cp:revision>
  <dcterms:created xsi:type="dcterms:W3CDTF">2024-06-25T01:24:00Z</dcterms:created>
  <dcterms:modified xsi:type="dcterms:W3CDTF">2024-06-25T01:25:00Z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ies>
</file>