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3B838C" w14:textId="51129AD2" w:rsidR="002B26C3" w:rsidRPr="0017312B" w:rsidRDefault="00621578" w:rsidP="00DB4406">
      <w:pPr>
        <w:spacing w:before="120" w:after="840"/>
        <w:ind w:right="-330"/>
        <w:jc w:val="right"/>
        <w:rPr>
          <w:b/>
          <w:color w:val="04526C"/>
        </w:rPr>
      </w:pPr>
      <w:r w:rsidRPr="00B6760C">
        <w:rPr>
          <w:noProof/>
          <w:lang w:eastAsia="ja-JP"/>
        </w:rPr>
        <w:drawing>
          <wp:anchor distT="0" distB="0" distL="114300" distR="114300" simplePos="0" relativeHeight="251659264" behindDoc="1" locked="0" layoutInCell="1" allowOverlap="1" wp14:anchorId="7E7D86FB" wp14:editId="30B03D73">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r w:rsidR="0026076E">
        <w:rPr>
          <w:b/>
          <w:color w:val="04526C"/>
        </w:rPr>
        <w:t>15 May 2024</w:t>
      </w:r>
    </w:p>
    <w:p w14:paraId="784F0CB6" w14:textId="7224E6C5" w:rsidR="00F4189F" w:rsidRDefault="00E02322" w:rsidP="00573BFF">
      <w:pPr>
        <w:spacing w:after="0"/>
        <w:ind w:right="0"/>
        <w:rPr>
          <w:rFonts w:eastAsiaTheme="majorEastAsia" w:cstheme="majorBidi"/>
          <w:b/>
          <w:bCs/>
          <w:color w:val="04526C"/>
          <w:sz w:val="36"/>
          <w:szCs w:val="28"/>
          <w:lang w:eastAsia="en-AU"/>
        </w:rPr>
      </w:pPr>
      <w:r w:rsidRPr="00E02322">
        <w:rPr>
          <w:rFonts w:eastAsiaTheme="majorEastAsia" w:cstheme="majorBidi"/>
          <w:b/>
          <w:bCs/>
          <w:color w:val="04526C"/>
          <w:sz w:val="36"/>
          <w:szCs w:val="28"/>
          <w:lang w:eastAsia="en-AU"/>
        </w:rPr>
        <w:t xml:space="preserve">Commonwealth Budget provides </w:t>
      </w:r>
      <w:r>
        <w:rPr>
          <w:rFonts w:eastAsiaTheme="majorEastAsia" w:cstheme="majorBidi"/>
          <w:b/>
          <w:bCs/>
          <w:color w:val="04526C"/>
          <w:sz w:val="36"/>
          <w:szCs w:val="28"/>
          <w:lang w:eastAsia="en-AU"/>
        </w:rPr>
        <w:t xml:space="preserve">funding </w:t>
      </w:r>
      <w:r w:rsidRPr="00E02322">
        <w:rPr>
          <w:rFonts w:eastAsiaTheme="majorEastAsia" w:cstheme="majorBidi"/>
          <w:b/>
          <w:bCs/>
          <w:color w:val="04526C"/>
          <w:sz w:val="36"/>
          <w:szCs w:val="28"/>
          <w:lang w:eastAsia="en-AU"/>
        </w:rPr>
        <w:t xml:space="preserve">to the Federal Circuit and Family Court of Australia </w:t>
      </w:r>
      <w:r>
        <w:rPr>
          <w:rFonts w:eastAsiaTheme="majorEastAsia" w:cstheme="majorBidi"/>
          <w:b/>
          <w:bCs/>
          <w:color w:val="04526C"/>
          <w:sz w:val="36"/>
          <w:szCs w:val="28"/>
          <w:lang w:eastAsia="en-AU"/>
        </w:rPr>
        <w:t xml:space="preserve">for new judicial appointments and support for migration </w:t>
      </w:r>
      <w:proofErr w:type="gramStart"/>
      <w:r>
        <w:rPr>
          <w:rFonts w:eastAsiaTheme="majorEastAsia" w:cstheme="majorBidi"/>
          <w:b/>
          <w:bCs/>
          <w:color w:val="04526C"/>
          <w:sz w:val="36"/>
          <w:szCs w:val="28"/>
          <w:lang w:eastAsia="en-AU"/>
        </w:rPr>
        <w:t>cases</w:t>
      </w:r>
      <w:proofErr w:type="gramEnd"/>
    </w:p>
    <w:p w14:paraId="09362D89" w14:textId="0793D88C" w:rsidR="00DB4406" w:rsidRDefault="0026076E" w:rsidP="008E6D15">
      <w:pPr>
        <w:spacing w:before="240"/>
        <w:ind w:right="0"/>
      </w:pPr>
      <w:r>
        <w:t>As part of the 2024-25 Federal Government Budget released last night, the Federal Circuit and Family Court of Australia (Division 2) (</w:t>
      </w:r>
      <w:r>
        <w:rPr>
          <w:b/>
          <w:bCs/>
        </w:rPr>
        <w:t>the Court</w:t>
      </w:r>
      <w:r>
        <w:t>) has been provided funding to assist with efficiently resolving migration cases.</w:t>
      </w:r>
    </w:p>
    <w:p w14:paraId="77DAFD1C" w14:textId="2CDF6A8C" w:rsidR="00E312BC" w:rsidRDefault="0026076E" w:rsidP="00573BFF">
      <w:pPr>
        <w:ind w:right="0"/>
      </w:pPr>
      <w:r>
        <w:t xml:space="preserve">The measure includes </w:t>
      </w:r>
      <w:r w:rsidR="008959F1">
        <w:t>$</w:t>
      </w:r>
      <w:r>
        <w:t xml:space="preserve">64.4 million over the next four years for </w:t>
      </w:r>
      <w:r w:rsidR="008959F1">
        <w:t xml:space="preserve">the appointment of </w:t>
      </w:r>
      <w:r w:rsidR="000E6CAC">
        <w:t xml:space="preserve">four additional </w:t>
      </w:r>
      <w:r>
        <w:t xml:space="preserve">Judges and </w:t>
      </w:r>
      <w:r w:rsidR="00E312BC">
        <w:t xml:space="preserve">support </w:t>
      </w:r>
      <w:r>
        <w:t>staff</w:t>
      </w:r>
      <w:r w:rsidR="00E312BC">
        <w:t xml:space="preserve">, including Cultural Liaison Officers and staff to assist with the efficient handling of interpreter requests and referrals to pro bono legal assistance. </w:t>
      </w:r>
      <w:r w:rsidR="00E07120">
        <w:t xml:space="preserve">It also includes </w:t>
      </w:r>
      <w:r>
        <w:t xml:space="preserve">capital funding </w:t>
      </w:r>
      <w:r w:rsidR="00E07120">
        <w:t xml:space="preserve">that provides for </w:t>
      </w:r>
      <w:r>
        <w:t>purpose</w:t>
      </w:r>
      <w:r w:rsidR="008959F1">
        <w:t>-</w:t>
      </w:r>
      <w:r>
        <w:t>built court facilities.</w:t>
      </w:r>
    </w:p>
    <w:p w14:paraId="35653B5E" w14:textId="269AF815" w:rsidR="00E312BC" w:rsidRDefault="0026076E" w:rsidP="00573BFF">
      <w:pPr>
        <w:ind w:right="0"/>
      </w:pPr>
      <w:r>
        <w:t>Chief Justice Alstergren AO, Chief Judge of the Federal Circuit and Family Court of Australia (Division 2)</w:t>
      </w:r>
      <w:r w:rsidR="00E312BC">
        <w:t xml:space="preserve"> said that the announcement of additional Judges and other resources is greatly welcomed.</w:t>
      </w:r>
    </w:p>
    <w:p w14:paraId="12E239E6" w14:textId="3D54231D" w:rsidR="00E312BC" w:rsidRDefault="00E312BC" w:rsidP="00573BFF">
      <w:pPr>
        <w:ind w:right="0"/>
      </w:pPr>
      <w:r>
        <w:t xml:space="preserve">“This </w:t>
      </w:r>
      <w:r w:rsidR="008959F1">
        <w:t xml:space="preserve">funding </w:t>
      </w:r>
      <w:r>
        <w:t>will enable better access to justice for parties to migration cases, a large proportion of whom are unrepresented and require an interpreter. A</w:t>
      </w:r>
      <w:r w:rsidR="0026076E">
        <w:t>pproximately 79% of migration applicants are unrepresented and 75% of those require an interpreter, with more than 70 different languages routinely requested.</w:t>
      </w:r>
    </w:p>
    <w:p w14:paraId="51F2A292" w14:textId="5FD3F0F1" w:rsidR="000E6CAC" w:rsidRDefault="00E312BC" w:rsidP="00573BFF">
      <w:pPr>
        <w:ind w:right="0"/>
      </w:pPr>
      <w:r>
        <w:t xml:space="preserve">“The newly created role of </w:t>
      </w:r>
      <w:r w:rsidR="000E6CAC">
        <w:t xml:space="preserve">Cultural Liaison Officers will provide procedural support and guidance </w:t>
      </w:r>
      <w:r w:rsidR="00E07120">
        <w:t>to culturally and linguistically diverse parties</w:t>
      </w:r>
      <w:r w:rsidR="001558DD">
        <w:t xml:space="preserve">. They will help people to </w:t>
      </w:r>
      <w:r w:rsidR="00E07120">
        <w:t>navigate the court process</w:t>
      </w:r>
      <w:r w:rsidR="001558DD">
        <w:t xml:space="preserve">, which ultimately provides for a more efficient </w:t>
      </w:r>
      <w:r w:rsidR="00EC1546">
        <w:t xml:space="preserve">court </w:t>
      </w:r>
      <w:r w:rsidR="001558DD">
        <w:t>process,” Chief Justice Alstergren added.</w:t>
      </w:r>
    </w:p>
    <w:p w14:paraId="71FE3FD5" w14:textId="23DB0FBB" w:rsidR="000E6CAC" w:rsidRDefault="000E6CAC" w:rsidP="00573BFF">
      <w:pPr>
        <w:ind w:right="0"/>
      </w:pPr>
      <w:r>
        <w:t xml:space="preserve">Migration represents the second largest area of the Court’s work after family law. </w:t>
      </w:r>
      <w:r w:rsidR="00630700">
        <w:t>Due to unprecedented increases in filing volumes, the Court’s pending migration caseload more than doubled in four years between 2017 and 2021.</w:t>
      </w:r>
    </w:p>
    <w:p w14:paraId="6D603099" w14:textId="120749AA" w:rsidR="000E6CAC" w:rsidRDefault="000E6CAC" w:rsidP="00573BFF">
      <w:pPr>
        <w:ind w:right="0"/>
      </w:pPr>
      <w:r>
        <w:t>Deputy Chief Judge Mercuri</w:t>
      </w:r>
      <w:r w:rsidR="00334684">
        <w:t xml:space="preserve">, who </w:t>
      </w:r>
      <w:r w:rsidR="006C4F92">
        <w:t>assists with ov</w:t>
      </w:r>
      <w:r w:rsidR="00334684">
        <w:t>ersee</w:t>
      </w:r>
      <w:r w:rsidR="006C4F92">
        <w:t>ing</w:t>
      </w:r>
      <w:r w:rsidR="00334684">
        <w:t xml:space="preserve"> the Court’s g</w:t>
      </w:r>
      <w:r w:rsidR="00E07120">
        <w:t xml:space="preserve">eneral </w:t>
      </w:r>
      <w:r w:rsidR="00334684">
        <w:t>f</w:t>
      </w:r>
      <w:r w:rsidR="00E07120">
        <w:t xml:space="preserve">ederal </w:t>
      </w:r>
      <w:r w:rsidR="00334684">
        <w:t>l</w:t>
      </w:r>
      <w:r w:rsidR="00E07120">
        <w:t>aw areas</w:t>
      </w:r>
      <w:r>
        <w:t xml:space="preserve"> including migration, said that an additional four Judges will greatly assist the </w:t>
      </w:r>
      <w:r w:rsidR="00334684">
        <w:t xml:space="preserve">current </w:t>
      </w:r>
      <w:r>
        <w:t>cohort of Judges to resolve cases.</w:t>
      </w:r>
    </w:p>
    <w:p w14:paraId="22681ADE" w14:textId="07B841D2" w:rsidR="000E6CAC" w:rsidRDefault="00B80687" w:rsidP="00573BFF">
      <w:pPr>
        <w:ind w:right="0"/>
      </w:pPr>
      <w:r>
        <w:t xml:space="preserve">“The significant increase in the number of migration-related applications to the Court in recent years has led to an unprecedented level of pending cases. The timely appointment of additional Judges will allow the Court to implement measures that focus on getting matters heard </w:t>
      </w:r>
      <w:r w:rsidR="00EC1546">
        <w:t>sooner</w:t>
      </w:r>
      <w:r>
        <w:t>, and addressing those pending cases,” Deputy Chief Judge Mercuri added.</w:t>
      </w:r>
    </w:p>
    <w:p w14:paraId="6CF39915" w14:textId="49683207" w:rsidR="00630700" w:rsidRDefault="00630700" w:rsidP="00573BFF">
      <w:pPr>
        <w:ind w:right="0"/>
      </w:pPr>
      <w:r>
        <w:t xml:space="preserve">The total funding package includes funding for four </w:t>
      </w:r>
      <w:r w:rsidR="004A5EDE">
        <w:t>J</w:t>
      </w:r>
      <w:r>
        <w:t>udges and 29 other staff, including Cultural Liaison Officers, Interpreter Liaison staff, Pro-bono co-ordinators, lawyers, registry staff and support staff.</w:t>
      </w:r>
    </w:p>
    <w:p w14:paraId="057F5227" w14:textId="66025811" w:rsidR="00E07120" w:rsidRPr="0026076E" w:rsidRDefault="00E07120" w:rsidP="00573BFF">
      <w:pPr>
        <w:spacing w:after="0"/>
        <w:ind w:right="0"/>
      </w:pPr>
      <w:r>
        <w:t xml:space="preserve">This funding builds upon funding the Court received in the </w:t>
      </w:r>
      <w:r w:rsidR="001558DD" w:rsidRPr="006C4F92">
        <w:t>2023-24</w:t>
      </w:r>
      <w:r w:rsidR="001558DD">
        <w:t xml:space="preserve"> </w:t>
      </w:r>
      <w:r>
        <w:t>MYEFO Budget</w:t>
      </w:r>
      <w:r w:rsidR="00B80687">
        <w:t xml:space="preserve"> </w:t>
      </w:r>
      <w:r>
        <w:t>to assist with the migration caseload.</w:t>
      </w:r>
    </w:p>
    <w:sectPr w:rsidR="00E07120" w:rsidRPr="0026076E" w:rsidSect="004A307A">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D7CCF2" w14:textId="77777777" w:rsidR="004A307A" w:rsidRDefault="004A307A" w:rsidP="0017312B">
      <w:r>
        <w:separator/>
      </w:r>
    </w:p>
  </w:endnote>
  <w:endnote w:type="continuationSeparator" w:id="0">
    <w:p w14:paraId="5A32601B" w14:textId="77777777" w:rsidR="004A307A" w:rsidRDefault="004A307A" w:rsidP="00173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PGothic">
    <w:panose1 w:val="020B0600070205080204"/>
    <w:charset w:val="80"/>
    <w:family w:val="swiss"/>
    <w:pitch w:val="variable"/>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3DB88" w14:textId="77777777" w:rsidR="000D16D2" w:rsidRDefault="000D16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883228817"/>
      <w:docPartObj>
        <w:docPartGallery w:val="Page Numbers (Bottom of Page)"/>
        <w:docPartUnique/>
      </w:docPartObj>
    </w:sdtPr>
    <w:sdtEndPr>
      <w:rPr>
        <w:color w:val="7F7F7F" w:themeColor="background1" w:themeShade="7F"/>
        <w:spacing w:val="60"/>
      </w:rPr>
    </w:sdtEndPr>
    <w:sdtContent>
      <w:p w14:paraId="05D478F0" w14:textId="77777777" w:rsidR="00D2548B" w:rsidRPr="0017312B" w:rsidRDefault="00D2548B" w:rsidP="0017312B">
        <w:pPr>
          <w:pStyle w:val="Footer"/>
          <w:jc w:val="right"/>
          <w:rPr>
            <w:b/>
            <w:bCs/>
            <w:sz w:val="20"/>
            <w:szCs w:val="20"/>
          </w:rPr>
        </w:pPr>
        <w:r w:rsidRPr="0017312B">
          <w:rPr>
            <w:sz w:val="20"/>
            <w:szCs w:val="20"/>
          </w:rPr>
          <w:fldChar w:fldCharType="begin"/>
        </w:r>
        <w:r w:rsidRPr="0017312B">
          <w:rPr>
            <w:sz w:val="20"/>
            <w:szCs w:val="20"/>
          </w:rPr>
          <w:instrText xml:space="preserve"> PAGE   \* MERGEFORMAT </w:instrText>
        </w:r>
        <w:r w:rsidRPr="0017312B">
          <w:rPr>
            <w:sz w:val="20"/>
            <w:szCs w:val="20"/>
          </w:rPr>
          <w:fldChar w:fldCharType="separate"/>
        </w:r>
        <w:r w:rsidR="00EC45EE" w:rsidRPr="00EC45EE">
          <w:rPr>
            <w:b/>
            <w:bCs/>
            <w:noProof/>
            <w:sz w:val="20"/>
            <w:szCs w:val="20"/>
          </w:rPr>
          <w:t>1</w:t>
        </w:r>
        <w:r w:rsidRPr="0017312B">
          <w:rPr>
            <w:b/>
            <w:bCs/>
            <w:noProof/>
            <w:sz w:val="20"/>
            <w:szCs w:val="20"/>
          </w:rPr>
          <w:fldChar w:fldCharType="end"/>
        </w:r>
        <w:r w:rsidRPr="0017312B">
          <w:rPr>
            <w:b/>
            <w:bCs/>
            <w:sz w:val="20"/>
            <w:szCs w:val="20"/>
          </w:rPr>
          <w:t xml:space="preserve"> | </w:t>
        </w:r>
        <w:r w:rsidR="00DB4406">
          <w:rPr>
            <w:color w:val="7F7F7F" w:themeColor="background1" w:themeShade="7F"/>
            <w:spacing w:val="60"/>
            <w:sz w:val="20"/>
            <w:szCs w:val="20"/>
          </w:rPr>
          <w:t>Page</w:t>
        </w:r>
      </w:p>
    </w:sdtContent>
  </w:sdt>
  <w:p w14:paraId="4330559F" w14:textId="77777777" w:rsidR="00965ADE" w:rsidRDefault="00582736" w:rsidP="00DB4406">
    <w:r>
      <w:rPr>
        <w:b/>
        <w:bCs/>
        <w:noProof/>
        <w:color w:val="44546A"/>
        <w:lang w:eastAsia="en-AU"/>
      </w:rPr>
      <w:t xml:space="preserve">Denise Healy, </w:t>
    </w:r>
    <w:r>
      <w:rPr>
        <w:noProof/>
        <w:lang w:eastAsia="en-AU"/>
      </w:rPr>
      <w:t>Director – Media &amp; Public Affairs, Federal Circui</w:t>
    </w:r>
    <w:r w:rsidR="00DB4406">
      <w:rPr>
        <w:noProof/>
        <w:lang w:eastAsia="en-AU"/>
      </w:rPr>
      <w:t>t and Family Court of Australia</w:t>
    </w:r>
    <w:r w:rsidR="00DB4406">
      <w:rPr>
        <w:noProof/>
        <w:lang w:eastAsia="en-AU"/>
      </w:rPr>
      <w:br/>
    </w: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 xml:space="preserve">0409 743 695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Pr>
          <w:rStyle w:val="Hyperlink"/>
          <w:rFonts w:ascii="Calibri Light" w:eastAsiaTheme="minorEastAsia" w:hAnsi="Calibri Light" w:cs="Calibri Light"/>
          <w:noProof/>
        </w:rPr>
        <w:t>denise.healy@fcfcoa.gov.au</w:t>
      </w:r>
    </w:hyperlink>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C1F9D9" w14:textId="77777777" w:rsidR="000D16D2" w:rsidRDefault="000D16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03A10F" w14:textId="77777777" w:rsidR="004A307A" w:rsidRDefault="004A307A" w:rsidP="0017312B">
      <w:r>
        <w:separator/>
      </w:r>
    </w:p>
  </w:footnote>
  <w:footnote w:type="continuationSeparator" w:id="0">
    <w:p w14:paraId="4DA69C86" w14:textId="77777777" w:rsidR="004A307A" w:rsidRDefault="004A307A" w:rsidP="001731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8ECE2" w14:textId="77777777" w:rsidR="000D16D2" w:rsidRDefault="000D16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6E7F0" w14:textId="72770335" w:rsidR="000D16D2" w:rsidRDefault="000D16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D0CB0" w14:textId="77777777" w:rsidR="000D16D2" w:rsidRDefault="000D16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1FD31EF6"/>
    <w:multiLevelType w:val="hybridMultilevel"/>
    <w:tmpl w:val="F73A110E"/>
    <w:lvl w:ilvl="0" w:tplc="0C090001">
      <w:start w:val="1"/>
      <w:numFmt w:val="bullet"/>
      <w:lvlText w:val=""/>
      <w:lvlJc w:val="left"/>
      <w:pPr>
        <w:ind w:left="767" w:hanging="360"/>
      </w:pPr>
      <w:rPr>
        <w:rFonts w:ascii="Symbol" w:hAnsi="Symbol" w:hint="default"/>
      </w:rPr>
    </w:lvl>
    <w:lvl w:ilvl="1" w:tplc="0C090003" w:tentative="1">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tentative="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2" w15:restartNumberingAfterBreak="0">
    <w:nsid w:val="24ED405E"/>
    <w:multiLevelType w:val="hybridMultilevel"/>
    <w:tmpl w:val="48C07D64"/>
    <w:lvl w:ilvl="0" w:tplc="0C090003">
      <w:start w:val="1"/>
      <w:numFmt w:val="bullet"/>
      <w:lvlText w:val="o"/>
      <w:lvlJc w:val="left"/>
      <w:pPr>
        <w:ind w:left="360" w:hanging="360"/>
      </w:pPr>
      <w:rPr>
        <w:rFonts w:ascii="Courier New" w:hAnsi="Courier New" w:cs="Courier New"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FB0472A"/>
    <w:multiLevelType w:val="hybridMultilevel"/>
    <w:tmpl w:val="C5CEF7FE"/>
    <w:lvl w:ilvl="0" w:tplc="FA5AFBEA">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16cid:durableId="1269972915">
    <w:abstractNumId w:val="0"/>
  </w:num>
  <w:num w:numId="2" w16cid:durableId="644235568">
    <w:abstractNumId w:val="3"/>
  </w:num>
  <w:num w:numId="3" w16cid:durableId="1004092958">
    <w:abstractNumId w:val="2"/>
  </w:num>
  <w:num w:numId="4" w16cid:durableId="127936715">
    <w:abstractNumId w:val="4"/>
  </w:num>
  <w:num w:numId="5" w16cid:durableId="17852229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08F0"/>
    <w:rsid w:val="00036592"/>
    <w:rsid w:val="0006637E"/>
    <w:rsid w:val="00070587"/>
    <w:rsid w:val="000918EF"/>
    <w:rsid w:val="00091E50"/>
    <w:rsid w:val="000B47F9"/>
    <w:rsid w:val="000C1F89"/>
    <w:rsid w:val="000D08F0"/>
    <w:rsid w:val="000D16D2"/>
    <w:rsid w:val="000D18BD"/>
    <w:rsid w:val="000E6CAC"/>
    <w:rsid w:val="000F79DC"/>
    <w:rsid w:val="00101C4D"/>
    <w:rsid w:val="00112F65"/>
    <w:rsid w:val="00140722"/>
    <w:rsid w:val="00142AE7"/>
    <w:rsid w:val="001558DD"/>
    <w:rsid w:val="0017312B"/>
    <w:rsid w:val="001802F6"/>
    <w:rsid w:val="00192A52"/>
    <w:rsid w:val="001D3242"/>
    <w:rsid w:val="001E7306"/>
    <w:rsid w:val="00221310"/>
    <w:rsid w:val="00222BCE"/>
    <w:rsid w:val="0026076E"/>
    <w:rsid w:val="00265229"/>
    <w:rsid w:val="002A747B"/>
    <w:rsid w:val="002B26C3"/>
    <w:rsid w:val="002C3438"/>
    <w:rsid w:val="002D0B01"/>
    <w:rsid w:val="00325046"/>
    <w:rsid w:val="00334684"/>
    <w:rsid w:val="003364B9"/>
    <w:rsid w:val="00344A2D"/>
    <w:rsid w:val="00344C32"/>
    <w:rsid w:val="00374C8F"/>
    <w:rsid w:val="00385212"/>
    <w:rsid w:val="003A02C8"/>
    <w:rsid w:val="003B5C6C"/>
    <w:rsid w:val="003C7D24"/>
    <w:rsid w:val="003D0BAD"/>
    <w:rsid w:val="003E66A1"/>
    <w:rsid w:val="003F50C0"/>
    <w:rsid w:val="00445E08"/>
    <w:rsid w:val="00453247"/>
    <w:rsid w:val="00470C83"/>
    <w:rsid w:val="00475651"/>
    <w:rsid w:val="004A307A"/>
    <w:rsid w:val="004A4981"/>
    <w:rsid w:val="004A5EDE"/>
    <w:rsid w:val="004B3650"/>
    <w:rsid w:val="004D3BAD"/>
    <w:rsid w:val="004F0938"/>
    <w:rsid w:val="0053594D"/>
    <w:rsid w:val="00542C96"/>
    <w:rsid w:val="00561C39"/>
    <w:rsid w:val="00573BFF"/>
    <w:rsid w:val="00582736"/>
    <w:rsid w:val="005842F3"/>
    <w:rsid w:val="005D182F"/>
    <w:rsid w:val="005D62A7"/>
    <w:rsid w:val="005F7999"/>
    <w:rsid w:val="00614DB3"/>
    <w:rsid w:val="00621578"/>
    <w:rsid w:val="006301D4"/>
    <w:rsid w:val="00630700"/>
    <w:rsid w:val="00662F5A"/>
    <w:rsid w:val="006A661F"/>
    <w:rsid w:val="006C4F92"/>
    <w:rsid w:val="006E58CD"/>
    <w:rsid w:val="00712D8B"/>
    <w:rsid w:val="007429CB"/>
    <w:rsid w:val="007518E5"/>
    <w:rsid w:val="007647D3"/>
    <w:rsid w:val="0079437F"/>
    <w:rsid w:val="007B65B6"/>
    <w:rsid w:val="007B6732"/>
    <w:rsid w:val="007C3651"/>
    <w:rsid w:val="007E038D"/>
    <w:rsid w:val="007F2644"/>
    <w:rsid w:val="008277F8"/>
    <w:rsid w:val="00837FC0"/>
    <w:rsid w:val="00847DF7"/>
    <w:rsid w:val="00851312"/>
    <w:rsid w:val="0088272E"/>
    <w:rsid w:val="0088799A"/>
    <w:rsid w:val="0089131F"/>
    <w:rsid w:val="008959F1"/>
    <w:rsid w:val="008C26C6"/>
    <w:rsid w:val="008C310E"/>
    <w:rsid w:val="008D5DE3"/>
    <w:rsid w:val="008E4BC9"/>
    <w:rsid w:val="008E6D15"/>
    <w:rsid w:val="00904332"/>
    <w:rsid w:val="00922F97"/>
    <w:rsid w:val="00951E7A"/>
    <w:rsid w:val="009528D7"/>
    <w:rsid w:val="00965ADE"/>
    <w:rsid w:val="009733DF"/>
    <w:rsid w:val="00977A79"/>
    <w:rsid w:val="00990FA2"/>
    <w:rsid w:val="009942B6"/>
    <w:rsid w:val="009A1ECF"/>
    <w:rsid w:val="009C1B5D"/>
    <w:rsid w:val="009C3689"/>
    <w:rsid w:val="00A11315"/>
    <w:rsid w:val="00A5690C"/>
    <w:rsid w:val="00A77024"/>
    <w:rsid w:val="00A80511"/>
    <w:rsid w:val="00A809CD"/>
    <w:rsid w:val="00AC7B00"/>
    <w:rsid w:val="00AF41C0"/>
    <w:rsid w:val="00B108B0"/>
    <w:rsid w:val="00B222CD"/>
    <w:rsid w:val="00B22813"/>
    <w:rsid w:val="00B36F99"/>
    <w:rsid w:val="00B46B84"/>
    <w:rsid w:val="00B6760C"/>
    <w:rsid w:val="00B711F3"/>
    <w:rsid w:val="00B80687"/>
    <w:rsid w:val="00B83755"/>
    <w:rsid w:val="00BB11D0"/>
    <w:rsid w:val="00BE6F74"/>
    <w:rsid w:val="00BF3C71"/>
    <w:rsid w:val="00C058B5"/>
    <w:rsid w:val="00C163A9"/>
    <w:rsid w:val="00C27320"/>
    <w:rsid w:val="00C3204D"/>
    <w:rsid w:val="00C36148"/>
    <w:rsid w:val="00C40540"/>
    <w:rsid w:val="00C45203"/>
    <w:rsid w:val="00C64032"/>
    <w:rsid w:val="00C94D88"/>
    <w:rsid w:val="00C9508F"/>
    <w:rsid w:val="00CC4257"/>
    <w:rsid w:val="00CC4C16"/>
    <w:rsid w:val="00CD59FE"/>
    <w:rsid w:val="00CD7330"/>
    <w:rsid w:val="00CF10B9"/>
    <w:rsid w:val="00D06951"/>
    <w:rsid w:val="00D2548B"/>
    <w:rsid w:val="00D45819"/>
    <w:rsid w:val="00D53961"/>
    <w:rsid w:val="00D94DE4"/>
    <w:rsid w:val="00DA43B4"/>
    <w:rsid w:val="00DB0950"/>
    <w:rsid w:val="00DB4406"/>
    <w:rsid w:val="00DC268B"/>
    <w:rsid w:val="00DE6501"/>
    <w:rsid w:val="00E02322"/>
    <w:rsid w:val="00E07120"/>
    <w:rsid w:val="00E15E05"/>
    <w:rsid w:val="00E2697D"/>
    <w:rsid w:val="00E312BC"/>
    <w:rsid w:val="00E32FF8"/>
    <w:rsid w:val="00E417FF"/>
    <w:rsid w:val="00E63A3A"/>
    <w:rsid w:val="00E9113C"/>
    <w:rsid w:val="00EC1546"/>
    <w:rsid w:val="00EC45EE"/>
    <w:rsid w:val="00EF6B47"/>
    <w:rsid w:val="00EF756C"/>
    <w:rsid w:val="00F13A7A"/>
    <w:rsid w:val="00F34CCF"/>
    <w:rsid w:val="00F35F93"/>
    <w:rsid w:val="00F4189F"/>
    <w:rsid w:val="00F5363A"/>
    <w:rsid w:val="00F65521"/>
    <w:rsid w:val="00FD7BF1"/>
    <w:rsid w:val="00FF7E5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E8D3C30"/>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312B"/>
    <w:pPr>
      <w:spacing w:after="240" w:line="240" w:lineRule="auto"/>
      <w:ind w:right="-187"/>
    </w:pPr>
  </w:style>
  <w:style w:type="paragraph" w:styleId="Heading1">
    <w:name w:val="heading 1"/>
    <w:basedOn w:val="Normal"/>
    <w:next w:val="Normal"/>
    <w:link w:val="Heading1Char"/>
    <w:uiPriority w:val="9"/>
    <w:qFormat/>
    <w:rsid w:val="000D08F0"/>
    <w:pPr>
      <w:keepNext/>
      <w:keepLines/>
      <w:spacing w:before="12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A809CD"/>
    <w:pPr>
      <w:keepNext/>
      <w:keepLines/>
      <w:spacing w:before="240"/>
      <w:outlineLvl w:val="1"/>
    </w:pPr>
    <w:rPr>
      <w:rFonts w:asciiTheme="majorHAnsi" w:eastAsiaTheme="majorEastAsia" w:hAnsiTheme="majorHAnsi" w:cstheme="majorBidi"/>
      <w:b/>
      <w:color w:val="04526C"/>
      <w:sz w:val="26"/>
      <w:szCs w:val="26"/>
    </w:rPr>
  </w:style>
  <w:style w:type="paragraph" w:styleId="Heading3">
    <w:name w:val="heading 3"/>
    <w:basedOn w:val="Normal"/>
    <w:next w:val="Normal"/>
    <w:link w:val="Heading3Char"/>
    <w:autoRedefine/>
    <w:uiPriority w:val="9"/>
    <w:unhideWhenUsed/>
    <w:qFormat/>
    <w:rsid w:val="00A809CD"/>
    <w:pPr>
      <w:keepNext/>
      <w:keepLines/>
      <w:spacing w:before="40"/>
      <w:outlineLvl w:val="2"/>
    </w:pPr>
    <w:rPr>
      <w:rFonts w:asciiTheme="majorHAnsi" w:eastAsiaTheme="majorEastAsia" w:hAnsiTheme="majorHAnsi" w:cstheme="majorBidi"/>
      <w:b/>
      <w:color w:val="04526C"/>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2Char">
    <w:name w:val="Heading 2 Char"/>
    <w:basedOn w:val="DefaultParagraphFont"/>
    <w:link w:val="Heading2"/>
    <w:uiPriority w:val="9"/>
    <w:rsid w:val="00A809CD"/>
    <w:rPr>
      <w:rFonts w:asciiTheme="majorHAnsi" w:eastAsiaTheme="majorEastAsia" w:hAnsiTheme="majorHAnsi" w:cstheme="majorBidi"/>
      <w:b/>
      <w:color w:val="04526C"/>
      <w:sz w:val="26"/>
      <w:szCs w:val="26"/>
    </w:rPr>
  </w:style>
  <w:style w:type="character" w:customStyle="1" w:styleId="Heading3Char">
    <w:name w:val="Heading 3 Char"/>
    <w:basedOn w:val="DefaultParagraphFont"/>
    <w:link w:val="Heading3"/>
    <w:uiPriority w:val="9"/>
    <w:rsid w:val="00A809CD"/>
    <w:rPr>
      <w:rFonts w:asciiTheme="majorHAnsi" w:eastAsiaTheme="majorEastAsia" w:hAnsiTheme="majorHAnsi" w:cstheme="majorBidi"/>
      <w:b/>
      <w:color w:val="04526C"/>
      <w:sz w:val="24"/>
      <w:szCs w:val="24"/>
    </w:rPr>
  </w:style>
  <w:style w:type="paragraph" w:styleId="NormalWeb">
    <w:name w:val="Normal (Web)"/>
    <w:basedOn w:val="Normal"/>
    <w:uiPriority w:val="99"/>
    <w:unhideWhenUsed/>
    <w:rsid w:val="00453247"/>
    <w:pPr>
      <w:spacing w:before="100" w:beforeAutospacing="1" w:after="100" w:afterAutospacing="1"/>
    </w:pPr>
    <w:rPr>
      <w:rFonts w:ascii="Times New Roman" w:eastAsia="Times New Roman" w:hAnsi="Times New Roman" w:cs="Times New Roman"/>
      <w:sz w:val="24"/>
      <w:szCs w:val="24"/>
      <w:lang w:eastAsia="en-AU"/>
    </w:rPr>
  </w:style>
  <w:style w:type="paragraph" w:styleId="NoSpacing">
    <w:name w:val="No Spacing"/>
    <w:basedOn w:val="Normal"/>
    <w:uiPriority w:val="1"/>
    <w:qFormat/>
    <w:rsid w:val="00CD59FE"/>
    <w:pPr>
      <w:spacing w:after="0"/>
      <w:ind w:right="0"/>
    </w:pPr>
    <w:rPr>
      <w:rFonts w:ascii="Calibri" w:eastAsia="MS PGothic" w:hAnsi="Calibri" w:cs="Calibri"/>
      <w:lang w:eastAsia="ja-JP"/>
    </w:rPr>
  </w:style>
  <w:style w:type="paragraph" w:customStyle="1" w:styleId="Default">
    <w:name w:val="Default"/>
    <w:rsid w:val="00F4189F"/>
    <w:pPr>
      <w:autoSpaceDE w:val="0"/>
      <w:autoSpaceDN w:val="0"/>
      <w:adjustRightInd w:val="0"/>
      <w:spacing w:after="0" w:line="240" w:lineRule="auto"/>
    </w:pPr>
    <w:rPr>
      <w:rFonts w:ascii="Calibri" w:hAnsi="Calibri" w:cs="Calibri"/>
      <w:color w:val="000000"/>
      <w:sz w:val="24"/>
      <w:szCs w:val="24"/>
    </w:rPr>
  </w:style>
  <w:style w:type="character" w:customStyle="1" w:styleId="ui-provider">
    <w:name w:val="ui-provider"/>
    <w:basedOn w:val="DefaultParagraphFont"/>
    <w:rsid w:val="0088799A"/>
  </w:style>
  <w:style w:type="character" w:styleId="CommentReference">
    <w:name w:val="annotation reference"/>
    <w:basedOn w:val="DefaultParagraphFont"/>
    <w:uiPriority w:val="99"/>
    <w:semiHidden/>
    <w:unhideWhenUsed/>
    <w:rsid w:val="00B711F3"/>
    <w:rPr>
      <w:sz w:val="16"/>
      <w:szCs w:val="16"/>
    </w:rPr>
  </w:style>
  <w:style w:type="paragraph" w:styleId="CommentText">
    <w:name w:val="annotation text"/>
    <w:basedOn w:val="Normal"/>
    <w:link w:val="CommentTextChar"/>
    <w:uiPriority w:val="99"/>
    <w:unhideWhenUsed/>
    <w:rsid w:val="00B711F3"/>
    <w:rPr>
      <w:sz w:val="20"/>
      <w:szCs w:val="20"/>
    </w:rPr>
  </w:style>
  <w:style w:type="character" w:customStyle="1" w:styleId="CommentTextChar">
    <w:name w:val="Comment Text Char"/>
    <w:basedOn w:val="DefaultParagraphFont"/>
    <w:link w:val="CommentText"/>
    <w:uiPriority w:val="99"/>
    <w:rsid w:val="00B711F3"/>
    <w:rPr>
      <w:sz w:val="20"/>
      <w:szCs w:val="20"/>
    </w:rPr>
  </w:style>
  <w:style w:type="paragraph" w:styleId="CommentSubject">
    <w:name w:val="annotation subject"/>
    <w:basedOn w:val="CommentText"/>
    <w:next w:val="CommentText"/>
    <w:link w:val="CommentSubjectChar"/>
    <w:uiPriority w:val="99"/>
    <w:semiHidden/>
    <w:unhideWhenUsed/>
    <w:rsid w:val="00B711F3"/>
    <w:rPr>
      <w:b/>
      <w:bCs/>
    </w:rPr>
  </w:style>
  <w:style w:type="character" w:customStyle="1" w:styleId="CommentSubjectChar">
    <w:name w:val="Comment Subject Char"/>
    <w:basedOn w:val="CommentTextChar"/>
    <w:link w:val="CommentSubject"/>
    <w:uiPriority w:val="99"/>
    <w:semiHidden/>
    <w:rsid w:val="00B711F3"/>
    <w:rPr>
      <w:b/>
      <w:bCs/>
      <w:sz w:val="20"/>
      <w:szCs w:val="20"/>
    </w:rPr>
  </w:style>
  <w:style w:type="paragraph" w:styleId="Revision">
    <w:name w:val="Revision"/>
    <w:hidden/>
    <w:uiPriority w:val="99"/>
    <w:semiHidden/>
    <w:rsid w:val="0089131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104424278">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366057250">
      <w:bodyDiv w:val="1"/>
      <w:marLeft w:val="0"/>
      <w:marRight w:val="0"/>
      <w:marTop w:val="0"/>
      <w:marBottom w:val="0"/>
      <w:divBdr>
        <w:top w:val="none" w:sz="0" w:space="0" w:color="auto"/>
        <w:left w:val="none" w:sz="0" w:space="0" w:color="auto"/>
        <w:bottom w:val="none" w:sz="0" w:space="0" w:color="auto"/>
        <w:right w:val="none" w:sz="0" w:space="0" w:color="auto"/>
      </w:divBdr>
    </w:div>
    <w:div w:id="2047679942">
      <w:bodyDiv w:val="1"/>
      <w:marLeft w:val="0"/>
      <w:marRight w:val="0"/>
      <w:marTop w:val="0"/>
      <w:marBottom w:val="0"/>
      <w:divBdr>
        <w:top w:val="none" w:sz="0" w:space="0" w:color="auto"/>
        <w:left w:val="none" w:sz="0" w:space="0" w:color="auto"/>
        <w:bottom w:val="none" w:sz="0" w:space="0" w:color="auto"/>
        <w:right w:val="none" w:sz="0" w:space="0" w:color="auto"/>
      </w:divBdr>
    </w:div>
    <w:div w:id="213929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6718BF-BED4-4C9F-B756-A1B0EEA955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400</Words>
  <Characters>2289</Characters>
  <Application>Microsoft Office Word</Application>
  <DocSecurity>0</DocSecurity>
  <Lines>35</Lines>
  <Paragraphs>14</Paragraphs>
  <ScaleCrop>false</ScaleCrop>
  <HeadingPairs>
    <vt:vector size="2" baseType="variant">
      <vt:variant>
        <vt:lpstr>Title</vt:lpstr>
      </vt:variant>
      <vt:variant>
        <vt:i4>1</vt:i4>
      </vt:variant>
    </vt:vector>
  </HeadingPairs>
  <TitlesOfParts>
    <vt:vector size="1" baseType="lpstr">
      <vt:lpstr>Media Release: Commonwealth Budget provides funding to the Federal Circuit and Family Court of Australia for new judicial appointments and support for migration cases</vt:lpstr>
    </vt:vector>
  </TitlesOfParts>
  <Company>Federal Court of Australia</Company>
  <LinksUpToDate>false</LinksUpToDate>
  <CharactersWithSpaces>2675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Commonwealth Budget provides funding to the Federal Circuit and Family Court of Australia for new judicial appointments and support for migration cases</dc:title>
  <dc:subject/>
  <dc:creator>Federal Circuit and Family Court of Australia</dc:creator>
  <cp:keywords/>
  <dc:description/>
  <cp:lastModifiedBy>Christine Tuff</cp:lastModifiedBy>
  <cp:revision>4</cp:revision>
  <cp:lastPrinted>2024-05-14T08:01:00Z</cp:lastPrinted>
  <dcterms:created xsi:type="dcterms:W3CDTF">2024-05-15T00:03:00Z</dcterms:created>
  <dcterms:modified xsi:type="dcterms:W3CDTF">2024-05-15T01:06:00Z</dcterms:modified>
</cp:coreProperties>
</file>