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1C64C" w14:textId="3656F829" w:rsidR="00621578" w:rsidRDefault="00621578" w:rsidP="00256EFA">
      <w:r>
        <w:rPr>
          <w:noProof/>
        </w:rPr>
        <w:drawing>
          <wp:anchor distT="0" distB="0" distL="114300" distR="114300" simplePos="0" relativeHeight="251659264" behindDoc="1" locked="0" layoutInCell="1" allowOverlap="1" wp14:anchorId="1B4B775F" wp14:editId="5E0F3A4C">
            <wp:simplePos x="0" y="0"/>
            <wp:positionH relativeFrom="page">
              <wp:posOffset>23597</wp:posOffset>
            </wp:positionH>
            <wp:positionV relativeFrom="page">
              <wp:posOffset>45720</wp:posOffset>
            </wp:positionV>
            <wp:extent cx="7538988" cy="1957705"/>
            <wp:effectExtent l="0" t="0" r="5080" b="444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8988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F13185" w14:textId="1FA183CB" w:rsidR="00716AB0" w:rsidRPr="00716AB0" w:rsidRDefault="00D7609D" w:rsidP="00256EFA">
      <w:pPr>
        <w:pStyle w:val="Heading1"/>
        <w:spacing w:before="7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30 </w:t>
      </w:r>
      <w:r w:rsidR="00A148B4">
        <w:rPr>
          <w:sz w:val="24"/>
          <w:szCs w:val="24"/>
        </w:rPr>
        <w:t>October</w:t>
      </w:r>
      <w:r w:rsidR="00B325A9">
        <w:rPr>
          <w:sz w:val="24"/>
          <w:szCs w:val="24"/>
        </w:rPr>
        <w:t xml:space="preserve"> 2023</w:t>
      </w:r>
    </w:p>
    <w:p w14:paraId="330581FA" w14:textId="17D4A443" w:rsidR="00D54EE1" w:rsidRDefault="00D7609D" w:rsidP="002E4DF3">
      <w:pPr>
        <w:pStyle w:val="Heading1"/>
        <w:spacing w:before="480" w:after="360"/>
        <w:jc w:val="center"/>
        <w:rPr>
          <w:noProof/>
        </w:rPr>
      </w:pPr>
      <w:r>
        <w:rPr>
          <w:noProof/>
        </w:rPr>
        <w:t>New approach for family law property disputes saves time, money and stress</w:t>
      </w:r>
      <w:r w:rsidR="002869FD">
        <w:rPr>
          <w:noProof/>
        </w:rPr>
        <w:t xml:space="preserve"> </w:t>
      </w:r>
      <w:r w:rsidR="009253A4">
        <w:rPr>
          <w:noProof/>
        </w:rPr>
        <w:t>for people facing family violence and other risks</w:t>
      </w:r>
    </w:p>
    <w:p w14:paraId="66DDCC09" w14:textId="36C98584" w:rsidR="007D6465" w:rsidRPr="005C38B4" w:rsidRDefault="00133B32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>
        <w:rPr>
          <w:rFonts w:cstheme="minorHAnsi"/>
          <w:bCs/>
        </w:rPr>
        <w:t xml:space="preserve">Today, the </w:t>
      </w:r>
      <w:r w:rsidR="00D7609D">
        <w:rPr>
          <w:rFonts w:cstheme="minorHAnsi"/>
          <w:bCs/>
        </w:rPr>
        <w:t>Federal Circuit and Family Court of Australia</w:t>
      </w:r>
      <w:r w:rsidR="001103D3">
        <w:rPr>
          <w:rFonts w:cstheme="minorHAnsi"/>
          <w:bCs/>
        </w:rPr>
        <w:t xml:space="preserve"> (Division 2)</w:t>
      </w:r>
      <w:r w:rsidR="00D7609D">
        <w:rPr>
          <w:rFonts w:cstheme="minorHAnsi"/>
          <w:bCs/>
        </w:rPr>
        <w:t xml:space="preserve"> </w:t>
      </w:r>
      <w:r w:rsidR="009253A4">
        <w:rPr>
          <w:rFonts w:cstheme="minorHAnsi"/>
          <w:bCs/>
        </w:rPr>
        <w:t>(</w:t>
      </w:r>
      <w:r w:rsidR="001103D3">
        <w:rPr>
          <w:rFonts w:cstheme="minorHAnsi"/>
          <w:bCs/>
        </w:rPr>
        <w:t>the Court</w:t>
      </w:r>
      <w:r w:rsidR="009253A4">
        <w:rPr>
          <w:rFonts w:cstheme="minorHAnsi"/>
        </w:rPr>
        <w:t>)</w:t>
      </w:r>
      <w:r w:rsidR="00A05D78">
        <w:rPr>
          <w:rFonts w:cstheme="minorHAnsi"/>
        </w:rPr>
        <w:t xml:space="preserve"> </w:t>
      </w:r>
      <w:r>
        <w:rPr>
          <w:rFonts w:cstheme="minorHAnsi"/>
        </w:rPr>
        <w:t xml:space="preserve">officially </w:t>
      </w:r>
      <w:r w:rsidR="009253A4">
        <w:rPr>
          <w:rFonts w:cstheme="minorHAnsi"/>
        </w:rPr>
        <w:t xml:space="preserve">commences the national expansion of </w:t>
      </w:r>
      <w:r w:rsidR="00145F11">
        <w:rPr>
          <w:rFonts w:cstheme="minorHAnsi"/>
        </w:rPr>
        <w:t xml:space="preserve">its </w:t>
      </w:r>
      <w:r w:rsidR="009253A4">
        <w:rPr>
          <w:rFonts w:cstheme="minorHAnsi"/>
        </w:rPr>
        <w:t>case management process known as the Priority Property Pool (PPP)</w:t>
      </w:r>
      <w:r w:rsidR="007D6465">
        <w:rPr>
          <w:rFonts w:cstheme="minorHAnsi"/>
        </w:rPr>
        <w:t xml:space="preserve"> which pr</w:t>
      </w:r>
      <w:r w:rsidR="007D6465" w:rsidRPr="005C38B4">
        <w:rPr>
          <w:rFonts w:ascii="Calibri" w:hAnsi="Calibri" w:cs="Calibri"/>
        </w:rPr>
        <w:t>ovid</w:t>
      </w:r>
      <w:r w:rsidR="007D6465">
        <w:rPr>
          <w:rFonts w:ascii="Calibri" w:hAnsi="Calibri" w:cs="Calibri"/>
        </w:rPr>
        <w:t>es a</w:t>
      </w:r>
      <w:r w:rsidR="007D6465" w:rsidRPr="005C38B4">
        <w:rPr>
          <w:rFonts w:ascii="Calibri" w:hAnsi="Calibri" w:cs="Calibri"/>
        </w:rPr>
        <w:t xml:space="preserve"> simplified way of resolving property disputes</w:t>
      </w:r>
      <w:r w:rsidR="007D6465">
        <w:rPr>
          <w:rFonts w:ascii="Calibri" w:hAnsi="Calibri" w:cs="Calibri"/>
        </w:rPr>
        <w:t xml:space="preserve"> and aims to </w:t>
      </w:r>
      <w:r w:rsidR="007D6465" w:rsidRPr="005C38B4">
        <w:rPr>
          <w:rFonts w:ascii="Calibri" w:hAnsi="Calibri" w:cs="Calibri"/>
        </w:rPr>
        <w:t>minimise risk</w:t>
      </w:r>
      <w:r w:rsidR="007D6465">
        <w:rPr>
          <w:rFonts w:ascii="Calibri" w:hAnsi="Calibri" w:cs="Calibri"/>
        </w:rPr>
        <w:t xml:space="preserve">, </w:t>
      </w:r>
      <w:r w:rsidR="007D6465" w:rsidRPr="005C38B4">
        <w:rPr>
          <w:rFonts w:ascii="Calibri" w:hAnsi="Calibri" w:cs="Calibri"/>
        </w:rPr>
        <w:t xml:space="preserve">legal costs, and </w:t>
      </w:r>
      <w:r w:rsidR="001103D3">
        <w:rPr>
          <w:rFonts w:ascii="Calibri" w:hAnsi="Calibri" w:cs="Calibri"/>
        </w:rPr>
        <w:t xml:space="preserve">to </w:t>
      </w:r>
      <w:r w:rsidR="007D6465" w:rsidRPr="005C38B4">
        <w:rPr>
          <w:rFonts w:ascii="Calibri" w:hAnsi="Calibri" w:cs="Calibri"/>
        </w:rPr>
        <w:t>preserve the parties’ assets.</w:t>
      </w:r>
    </w:p>
    <w:p w14:paraId="023608C3" w14:textId="31940F78" w:rsidR="001B5D46" w:rsidRDefault="001B5D46" w:rsidP="00256EFA">
      <w:pPr>
        <w:spacing w:before="24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PPP pilot has been operating since March 2020 in </w:t>
      </w:r>
      <w:r w:rsidRPr="001103D3">
        <w:rPr>
          <w:rFonts w:ascii="Calibri" w:hAnsi="Calibri" w:cs="Calibri"/>
        </w:rPr>
        <w:t xml:space="preserve">Adelaide, Brisbane, </w:t>
      </w:r>
      <w:proofErr w:type="gramStart"/>
      <w:r w:rsidRPr="001103D3">
        <w:rPr>
          <w:rFonts w:ascii="Calibri" w:hAnsi="Calibri" w:cs="Calibri"/>
        </w:rPr>
        <w:t>Melbourne</w:t>
      </w:r>
      <w:proofErr w:type="gramEnd"/>
      <w:r w:rsidRPr="001103D3">
        <w:rPr>
          <w:rFonts w:ascii="Calibri" w:hAnsi="Calibri" w:cs="Calibri"/>
        </w:rPr>
        <w:t xml:space="preserve"> and Parramatta</w:t>
      </w:r>
      <w:r>
        <w:rPr>
          <w:rFonts w:ascii="Calibri" w:hAnsi="Calibri" w:cs="Calibri"/>
        </w:rPr>
        <w:t xml:space="preserve"> in which </w:t>
      </w:r>
      <w:r w:rsidRPr="001103D3">
        <w:rPr>
          <w:rFonts w:ascii="Calibri" w:hAnsi="Calibri" w:cs="Calibri"/>
        </w:rPr>
        <w:t>cases were carefully managed by registrars to ensure they were able to progress quickly to dispute resolution conferences or, if necessary, a timely and streamlined trial</w:t>
      </w:r>
      <w:r w:rsidR="00FA54B7">
        <w:rPr>
          <w:rFonts w:ascii="Calibri" w:hAnsi="Calibri" w:cs="Calibri"/>
        </w:rPr>
        <w:t xml:space="preserve"> before a Judge</w:t>
      </w:r>
      <w:r w:rsidRPr="001103D3">
        <w:rPr>
          <w:rFonts w:ascii="Calibri" w:hAnsi="Calibri" w:cs="Calibri"/>
        </w:rPr>
        <w:t>.</w:t>
      </w:r>
    </w:p>
    <w:p w14:paraId="5A521EBB" w14:textId="34BAF01F" w:rsidR="00F40DF0" w:rsidRDefault="00D67BFF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>
        <w:rPr>
          <w:rFonts w:cstheme="minorHAnsi"/>
        </w:rPr>
        <w:t xml:space="preserve">The PPP generally involves </w:t>
      </w:r>
      <w:r w:rsidRPr="005C38B4">
        <w:rPr>
          <w:rFonts w:ascii="Calibri" w:hAnsi="Calibri" w:cs="Calibri"/>
        </w:rPr>
        <w:t>property disputes</w:t>
      </w:r>
      <w:r>
        <w:rPr>
          <w:rFonts w:ascii="Calibri" w:hAnsi="Calibri" w:cs="Calibri"/>
        </w:rPr>
        <w:t xml:space="preserve"> where the </w:t>
      </w:r>
      <w:r w:rsidR="001B5D46">
        <w:rPr>
          <w:rFonts w:ascii="Calibri" w:hAnsi="Calibri" w:cs="Calibri"/>
        </w:rPr>
        <w:t xml:space="preserve">net </w:t>
      </w:r>
      <w:r>
        <w:rPr>
          <w:rFonts w:ascii="Calibri" w:hAnsi="Calibri" w:cs="Calibri"/>
        </w:rPr>
        <w:t xml:space="preserve">asset pool is valued </w:t>
      </w:r>
      <w:r w:rsidRPr="0095608C">
        <w:rPr>
          <w:rFonts w:ascii="Calibri" w:hAnsi="Calibri" w:cs="Calibri"/>
        </w:rPr>
        <w:t>up to $550,000 (excluding superannuation)</w:t>
      </w:r>
      <w:r>
        <w:rPr>
          <w:rFonts w:ascii="Calibri" w:hAnsi="Calibri" w:cs="Calibri"/>
        </w:rPr>
        <w:t xml:space="preserve">, and for other cases that have been identified as being suitable for the PPP, which may include </w:t>
      </w:r>
      <w:r w:rsidR="00F40DF0">
        <w:rPr>
          <w:rFonts w:ascii="Calibri" w:hAnsi="Calibri" w:cs="Calibri"/>
        </w:rPr>
        <w:t>t</w:t>
      </w:r>
      <w:r>
        <w:rPr>
          <w:rFonts w:ascii="Calibri" w:hAnsi="Calibri" w:cs="Calibri"/>
        </w:rPr>
        <w:t xml:space="preserve">hose that </w:t>
      </w:r>
      <w:r w:rsidR="00F40DF0">
        <w:rPr>
          <w:rFonts w:ascii="Calibri" w:hAnsi="Calibri" w:cs="Calibri"/>
        </w:rPr>
        <w:t xml:space="preserve">are less complex or </w:t>
      </w:r>
      <w:r>
        <w:rPr>
          <w:rFonts w:ascii="Calibri" w:hAnsi="Calibri" w:cs="Calibri"/>
        </w:rPr>
        <w:t xml:space="preserve">feature family violence or other risks </w:t>
      </w:r>
      <w:r w:rsidR="00F40DF0">
        <w:rPr>
          <w:rFonts w:ascii="Calibri" w:hAnsi="Calibri" w:cs="Calibri"/>
        </w:rPr>
        <w:t xml:space="preserve">to the </w:t>
      </w:r>
      <w:r>
        <w:rPr>
          <w:rFonts w:ascii="Calibri" w:hAnsi="Calibri" w:cs="Calibri"/>
        </w:rPr>
        <w:t>parties</w:t>
      </w:r>
      <w:r w:rsidR="00F40DF0">
        <w:rPr>
          <w:rFonts w:ascii="Calibri" w:hAnsi="Calibri" w:cs="Calibri"/>
        </w:rPr>
        <w:t>.</w:t>
      </w:r>
    </w:p>
    <w:p w14:paraId="2083A630" w14:textId="126708DA" w:rsidR="001570B3" w:rsidRDefault="00145F11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Chief Justice </w:t>
      </w:r>
      <w:proofErr w:type="spellStart"/>
      <w:r w:rsidR="00E5419F" w:rsidRPr="00E5419F">
        <w:rPr>
          <w:rFonts w:ascii="Calibri" w:hAnsi="Calibri" w:cs="Calibri"/>
        </w:rPr>
        <w:t>Alstergren</w:t>
      </w:r>
      <w:proofErr w:type="spellEnd"/>
      <w:r w:rsidR="00E5419F" w:rsidRPr="00E5419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AO s</w:t>
      </w:r>
      <w:r w:rsidR="0080408C">
        <w:rPr>
          <w:rFonts w:ascii="Calibri" w:hAnsi="Calibri" w:cs="Calibri"/>
        </w:rPr>
        <w:t>aid that the Court is proud of the success of the pilot</w:t>
      </w:r>
      <w:r w:rsidR="001570B3">
        <w:rPr>
          <w:rFonts w:ascii="Calibri" w:hAnsi="Calibri" w:cs="Calibri"/>
        </w:rPr>
        <w:t xml:space="preserve"> and is pleased that </w:t>
      </w:r>
      <w:r w:rsidR="00B85895">
        <w:rPr>
          <w:rFonts w:ascii="Calibri" w:hAnsi="Calibri" w:cs="Calibri"/>
        </w:rPr>
        <w:t xml:space="preserve">the Commonwealth Government has provided </w:t>
      </w:r>
      <w:r w:rsidR="00FA54B7">
        <w:rPr>
          <w:rFonts w:ascii="Calibri" w:hAnsi="Calibri" w:cs="Calibri"/>
        </w:rPr>
        <w:t xml:space="preserve">ongoing </w:t>
      </w:r>
      <w:r w:rsidR="00B85895" w:rsidRPr="00045333">
        <w:t xml:space="preserve">funding of $7.6 million annually </w:t>
      </w:r>
      <w:r w:rsidR="00B85895">
        <w:t>throu</w:t>
      </w:r>
      <w:r w:rsidR="001570B3" w:rsidRPr="00E5419F">
        <w:rPr>
          <w:rFonts w:ascii="Calibri" w:hAnsi="Calibri" w:cs="Calibri"/>
        </w:rPr>
        <w:t xml:space="preserve">gh the </w:t>
      </w:r>
      <w:hyperlink r:id="rId12" w:history="1">
        <w:r w:rsidR="001570B3" w:rsidRPr="001570B3">
          <w:rPr>
            <w:rStyle w:val="Hyperlink"/>
            <w:rFonts w:ascii="Calibri" w:hAnsi="Calibri" w:cs="Calibri"/>
          </w:rPr>
          <w:t>Women’s Economic Security package</w:t>
        </w:r>
      </w:hyperlink>
      <w:r w:rsidR="001570B3">
        <w:rPr>
          <w:rFonts w:ascii="Calibri" w:hAnsi="Calibri" w:cs="Calibri"/>
        </w:rPr>
        <w:t xml:space="preserve"> to enable the PPP to be expanded to </w:t>
      </w:r>
      <w:r w:rsidR="00B85895">
        <w:rPr>
          <w:rFonts w:ascii="Calibri" w:hAnsi="Calibri" w:cs="Calibri"/>
        </w:rPr>
        <w:t xml:space="preserve">include </w:t>
      </w:r>
      <w:r w:rsidR="005677DF">
        <w:rPr>
          <w:rFonts w:ascii="Calibri" w:hAnsi="Calibri" w:cs="Calibri"/>
        </w:rPr>
        <w:t xml:space="preserve">all </w:t>
      </w:r>
      <w:r w:rsidR="00B85895">
        <w:rPr>
          <w:rFonts w:ascii="Calibri" w:hAnsi="Calibri" w:cs="Calibri"/>
        </w:rPr>
        <w:t xml:space="preserve">(17) </w:t>
      </w:r>
      <w:r w:rsidR="005677DF">
        <w:rPr>
          <w:rFonts w:ascii="Calibri" w:hAnsi="Calibri" w:cs="Calibri"/>
        </w:rPr>
        <w:t>filing</w:t>
      </w:r>
      <w:r w:rsidR="001570B3">
        <w:rPr>
          <w:rFonts w:ascii="Calibri" w:hAnsi="Calibri" w:cs="Calibri"/>
        </w:rPr>
        <w:t xml:space="preserve"> registries throughout Australia which will benefit many more families nationally.</w:t>
      </w:r>
    </w:p>
    <w:p w14:paraId="62DB701D" w14:textId="21B37491" w:rsidR="001B5D46" w:rsidRPr="005C38B4" w:rsidRDefault="001B5D46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“</w:t>
      </w:r>
      <w:r w:rsidRPr="005C38B4">
        <w:rPr>
          <w:rFonts w:ascii="Calibri" w:hAnsi="Calibri" w:cs="Calibri"/>
        </w:rPr>
        <w:t>It is well known that litigation in the courts can be very costly and time</w:t>
      </w:r>
      <w:r>
        <w:rPr>
          <w:rFonts w:ascii="Calibri" w:hAnsi="Calibri" w:cs="Calibri"/>
        </w:rPr>
        <w:t>-</w:t>
      </w:r>
      <w:r w:rsidRPr="005C38B4">
        <w:rPr>
          <w:rFonts w:ascii="Calibri" w:hAnsi="Calibri" w:cs="Calibri"/>
        </w:rPr>
        <w:t xml:space="preserve">consuming and can lead to long-term acrimony between the parties. Many people, particularly those who have been victims of family violence, are also very reluctant to engage in court action due to the cost and </w:t>
      </w:r>
      <w:r w:rsidR="00FA54B7">
        <w:rPr>
          <w:rFonts w:ascii="Calibri" w:hAnsi="Calibri" w:cs="Calibri"/>
        </w:rPr>
        <w:t xml:space="preserve">the </w:t>
      </w:r>
      <w:r w:rsidRPr="005C38B4">
        <w:rPr>
          <w:rFonts w:ascii="Calibri" w:hAnsi="Calibri" w:cs="Calibri"/>
        </w:rPr>
        <w:t>ongoing conflict with the perpetrator.</w:t>
      </w:r>
    </w:p>
    <w:p w14:paraId="30CFCC51" w14:textId="4E655D27" w:rsidR="001B5D46" w:rsidRDefault="001B5D46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“Research also shows that many women are reluctant to leave an abusive relationship because they have no money, nowhere to live, and no access to resources. The PPP process </w:t>
      </w:r>
      <w:r w:rsidR="00FA54B7">
        <w:rPr>
          <w:rFonts w:ascii="Calibri" w:hAnsi="Calibri" w:cs="Calibri"/>
        </w:rPr>
        <w:t xml:space="preserve">aims to </w:t>
      </w:r>
      <w:r>
        <w:rPr>
          <w:rFonts w:ascii="Calibri" w:hAnsi="Calibri" w:cs="Calibri"/>
        </w:rPr>
        <w:t>provide a simple and safe solution.</w:t>
      </w:r>
    </w:p>
    <w:p w14:paraId="3B475AE0" w14:textId="2E7C6466" w:rsidR="00E5419F" w:rsidRPr="00E5419F" w:rsidRDefault="00E5419F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 w:rsidRPr="00E5419F">
        <w:rPr>
          <w:rFonts w:ascii="Calibri" w:hAnsi="Calibri" w:cs="Calibri"/>
        </w:rPr>
        <w:t>“Th</w:t>
      </w:r>
      <w:r w:rsidR="0080408C">
        <w:rPr>
          <w:rFonts w:ascii="Calibri" w:hAnsi="Calibri" w:cs="Calibri"/>
        </w:rPr>
        <w:t>e PPP</w:t>
      </w:r>
      <w:r w:rsidRPr="00E5419F">
        <w:rPr>
          <w:rFonts w:ascii="Calibri" w:hAnsi="Calibri" w:cs="Calibri"/>
        </w:rPr>
        <w:t xml:space="preserve"> has been developed for parties who are </w:t>
      </w:r>
      <w:r w:rsidR="005677DF">
        <w:rPr>
          <w:rFonts w:ascii="Calibri" w:hAnsi="Calibri" w:cs="Calibri"/>
        </w:rPr>
        <w:t>at risk</w:t>
      </w:r>
      <w:r w:rsidRPr="00E5419F">
        <w:rPr>
          <w:rFonts w:ascii="Calibri" w:hAnsi="Calibri" w:cs="Calibri"/>
        </w:rPr>
        <w:t xml:space="preserve"> and </w:t>
      </w:r>
      <w:r w:rsidR="005677DF">
        <w:rPr>
          <w:rFonts w:ascii="Calibri" w:hAnsi="Calibri" w:cs="Calibri"/>
        </w:rPr>
        <w:t>may be</w:t>
      </w:r>
      <w:r w:rsidRPr="00E5419F">
        <w:rPr>
          <w:rFonts w:ascii="Calibri" w:hAnsi="Calibri" w:cs="Calibri"/>
        </w:rPr>
        <w:t xml:space="preserve"> reluctant to engage with the court system by making the process easier to navigate, reducing costs and importantly, minimising acrimony between parties.</w:t>
      </w:r>
    </w:p>
    <w:p w14:paraId="6C40D209" w14:textId="74A96E5C" w:rsidR="008F6BFC" w:rsidRDefault="001570B3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“The PPP is </w:t>
      </w:r>
      <w:r w:rsidRPr="00E5419F">
        <w:rPr>
          <w:rFonts w:ascii="Calibri" w:hAnsi="Calibri" w:cs="Calibri"/>
        </w:rPr>
        <w:t>one of many initiatives that have</w:t>
      </w:r>
      <w:r w:rsidR="00FA54B7">
        <w:rPr>
          <w:rFonts w:ascii="Calibri" w:hAnsi="Calibri" w:cs="Calibri"/>
        </w:rPr>
        <w:t xml:space="preserve"> been</w:t>
      </w:r>
      <w:r w:rsidRPr="00E5419F">
        <w:rPr>
          <w:rFonts w:ascii="Calibri" w:hAnsi="Calibri" w:cs="Calibri"/>
        </w:rPr>
        <w:t xml:space="preserve"> implemented </w:t>
      </w:r>
      <w:r w:rsidR="001B5D46">
        <w:rPr>
          <w:rFonts w:ascii="Calibri" w:hAnsi="Calibri" w:cs="Calibri"/>
        </w:rPr>
        <w:t xml:space="preserve">by the Court </w:t>
      </w:r>
      <w:r>
        <w:rPr>
          <w:rFonts w:ascii="Calibri" w:hAnsi="Calibri" w:cs="Calibri"/>
        </w:rPr>
        <w:t xml:space="preserve">in recent years </w:t>
      </w:r>
      <w:r w:rsidRPr="00E5419F">
        <w:rPr>
          <w:rFonts w:ascii="Calibri" w:hAnsi="Calibri" w:cs="Calibri"/>
        </w:rPr>
        <w:t>to improve access to justice</w:t>
      </w:r>
      <w:r>
        <w:rPr>
          <w:rFonts w:ascii="Calibri" w:hAnsi="Calibri" w:cs="Calibri"/>
        </w:rPr>
        <w:t>, and to keep families safe</w:t>
      </w:r>
      <w:r w:rsidRPr="00E5419F">
        <w:rPr>
          <w:rFonts w:ascii="Calibri" w:hAnsi="Calibri" w:cs="Calibri"/>
        </w:rPr>
        <w:t>.</w:t>
      </w:r>
    </w:p>
    <w:p w14:paraId="3B76041D" w14:textId="2A97E10D" w:rsidR="00E5419F" w:rsidRDefault="00E5419F" w:rsidP="00256EFA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 w:rsidRPr="00E5419F">
        <w:rPr>
          <w:rFonts w:ascii="Calibri" w:hAnsi="Calibri" w:cs="Calibri"/>
        </w:rPr>
        <w:t>“The Court acknowledge</w:t>
      </w:r>
      <w:r w:rsidR="00FC06CC">
        <w:rPr>
          <w:rFonts w:ascii="Calibri" w:hAnsi="Calibri" w:cs="Calibri"/>
        </w:rPr>
        <w:t>s</w:t>
      </w:r>
      <w:r w:rsidRPr="00E5419F">
        <w:rPr>
          <w:rFonts w:ascii="Calibri" w:hAnsi="Calibri" w:cs="Calibri"/>
        </w:rPr>
        <w:t xml:space="preserve"> the work that has been achieved by the Women’s Legal Services in this area and we look forward to working collaboratively with them and the state-based legal aid bodies, law societies and Bar associations to </w:t>
      </w:r>
      <w:r w:rsidR="00FA54B7">
        <w:rPr>
          <w:rFonts w:ascii="Calibri" w:hAnsi="Calibri" w:cs="Calibri"/>
        </w:rPr>
        <w:t xml:space="preserve">continue to </w:t>
      </w:r>
      <w:r w:rsidRPr="00E5419F">
        <w:rPr>
          <w:rFonts w:ascii="Calibri" w:hAnsi="Calibri" w:cs="Calibri"/>
        </w:rPr>
        <w:t xml:space="preserve">help families in need,” Chief Justice </w:t>
      </w:r>
      <w:proofErr w:type="spellStart"/>
      <w:r w:rsidRPr="00E5419F">
        <w:rPr>
          <w:rFonts w:ascii="Calibri" w:hAnsi="Calibri" w:cs="Calibri"/>
        </w:rPr>
        <w:t>Alstergren</w:t>
      </w:r>
      <w:proofErr w:type="spellEnd"/>
      <w:r w:rsidRPr="00E5419F">
        <w:rPr>
          <w:rFonts w:ascii="Calibri" w:hAnsi="Calibri" w:cs="Calibri"/>
        </w:rPr>
        <w:t xml:space="preserve"> said.</w:t>
      </w:r>
    </w:p>
    <w:p w14:paraId="4A2EACFF" w14:textId="22384411" w:rsidR="002C6C4D" w:rsidRPr="00B4366D" w:rsidRDefault="002C6C4D" w:rsidP="005F44E0">
      <w:pPr>
        <w:pStyle w:val="Heading2"/>
        <w:spacing w:before="240" w:after="240"/>
      </w:pPr>
      <w:r w:rsidRPr="00B4366D">
        <w:t>M</w:t>
      </w:r>
      <w:r w:rsidR="00256EFA">
        <w:t>ore information</w:t>
      </w:r>
    </w:p>
    <w:p w14:paraId="54D1DC6D" w14:textId="7CDC2151" w:rsidR="0095608C" w:rsidRPr="0095608C" w:rsidRDefault="0095608C" w:rsidP="00256EFA">
      <w:pPr>
        <w:tabs>
          <w:tab w:val="left" w:pos="2663"/>
        </w:tabs>
        <w:spacing w:line="276" w:lineRule="auto"/>
        <w:rPr>
          <w:rFonts w:ascii="Calibri" w:hAnsi="Calibri" w:cs="Calibri"/>
        </w:rPr>
      </w:pPr>
      <w:r w:rsidRPr="0095608C">
        <w:rPr>
          <w:rFonts w:ascii="Calibri" w:hAnsi="Calibri" w:cs="Calibri"/>
        </w:rPr>
        <w:t xml:space="preserve">The </w:t>
      </w:r>
      <w:r w:rsidR="00B4366D">
        <w:rPr>
          <w:rFonts w:ascii="Calibri" w:hAnsi="Calibri" w:cs="Calibri"/>
        </w:rPr>
        <w:t xml:space="preserve">PPP </w:t>
      </w:r>
      <w:r w:rsidRPr="0095608C">
        <w:rPr>
          <w:rFonts w:ascii="Calibri" w:hAnsi="Calibri" w:cs="Calibri"/>
        </w:rPr>
        <w:t xml:space="preserve">pilot </w:t>
      </w:r>
      <w:r w:rsidR="00F40DF0">
        <w:rPr>
          <w:rFonts w:ascii="Calibri" w:hAnsi="Calibri" w:cs="Calibri"/>
        </w:rPr>
        <w:t xml:space="preserve">was </w:t>
      </w:r>
      <w:r w:rsidRPr="0095608C">
        <w:rPr>
          <w:rFonts w:ascii="Calibri" w:hAnsi="Calibri" w:cs="Calibri"/>
        </w:rPr>
        <w:t xml:space="preserve">positively evaluated by the </w:t>
      </w:r>
      <w:hyperlink r:id="rId13" w:history="1">
        <w:r w:rsidRPr="00FA54B7">
          <w:rPr>
            <w:rStyle w:val="Hyperlink"/>
            <w:rFonts w:ascii="Calibri" w:hAnsi="Calibri" w:cs="Calibri"/>
          </w:rPr>
          <w:t>Australian Institute of Family Studies</w:t>
        </w:r>
      </w:hyperlink>
      <w:r w:rsidRPr="0095608C">
        <w:rPr>
          <w:rFonts w:ascii="Calibri" w:hAnsi="Calibri" w:cs="Calibri"/>
        </w:rPr>
        <w:t xml:space="preserve"> which noted:</w:t>
      </w:r>
    </w:p>
    <w:p w14:paraId="796A00BF" w14:textId="502D6136" w:rsidR="0095608C" w:rsidRPr="00F40DF0" w:rsidRDefault="0095608C" w:rsidP="005F44E0">
      <w:pPr>
        <w:pStyle w:val="ListParagraph"/>
        <w:numPr>
          <w:ilvl w:val="0"/>
          <w:numId w:val="17"/>
        </w:numPr>
        <w:tabs>
          <w:tab w:val="left" w:pos="2663"/>
        </w:tabs>
        <w:spacing w:before="240"/>
        <w:rPr>
          <w:rFonts w:ascii="Calibri" w:hAnsi="Calibri" w:cs="Calibri"/>
        </w:rPr>
      </w:pPr>
      <w:r w:rsidRPr="00F40DF0">
        <w:rPr>
          <w:rFonts w:ascii="Calibri" w:hAnsi="Calibri" w:cs="Calibri"/>
        </w:rPr>
        <w:t xml:space="preserve">the model was a quicker and more efficient way to assist parties with modest pools </w:t>
      </w:r>
      <w:r w:rsidR="00FA54B7">
        <w:rPr>
          <w:rFonts w:ascii="Calibri" w:hAnsi="Calibri" w:cs="Calibri"/>
        </w:rPr>
        <w:t xml:space="preserve">to </w:t>
      </w:r>
      <w:r w:rsidRPr="00F40DF0">
        <w:rPr>
          <w:rFonts w:ascii="Calibri" w:hAnsi="Calibri" w:cs="Calibri"/>
        </w:rPr>
        <w:t xml:space="preserve">resolve financial </w:t>
      </w:r>
      <w:proofErr w:type="gramStart"/>
      <w:r w:rsidRPr="00F40DF0">
        <w:rPr>
          <w:rFonts w:ascii="Calibri" w:hAnsi="Calibri" w:cs="Calibri"/>
        </w:rPr>
        <w:t>matters;</w:t>
      </w:r>
      <w:proofErr w:type="gramEnd"/>
    </w:p>
    <w:p w14:paraId="72ABA97A" w14:textId="69D9DB9A" w:rsidR="0095608C" w:rsidRPr="00F40DF0" w:rsidRDefault="0095608C" w:rsidP="00256EFA">
      <w:pPr>
        <w:pStyle w:val="ListParagraph"/>
        <w:numPr>
          <w:ilvl w:val="0"/>
          <w:numId w:val="17"/>
        </w:numPr>
        <w:tabs>
          <w:tab w:val="left" w:pos="2663"/>
        </w:tabs>
        <w:rPr>
          <w:rFonts w:ascii="Calibri" w:hAnsi="Calibri" w:cs="Calibri"/>
        </w:rPr>
      </w:pPr>
      <w:r w:rsidRPr="00F40DF0">
        <w:rPr>
          <w:rFonts w:ascii="Calibri" w:hAnsi="Calibri" w:cs="Calibri"/>
        </w:rPr>
        <w:t xml:space="preserve">over the period of the pilot approximately 78% of cases were managed and finalised by registrars within approximately 5 months of </w:t>
      </w:r>
      <w:proofErr w:type="gramStart"/>
      <w:r w:rsidRPr="00F40DF0">
        <w:rPr>
          <w:rFonts w:ascii="Calibri" w:hAnsi="Calibri" w:cs="Calibri"/>
        </w:rPr>
        <w:t>filing;</w:t>
      </w:r>
      <w:proofErr w:type="gramEnd"/>
    </w:p>
    <w:p w14:paraId="3E91A488" w14:textId="38C91834" w:rsidR="0095608C" w:rsidRPr="00F40DF0" w:rsidRDefault="0095608C" w:rsidP="00256EFA">
      <w:pPr>
        <w:pStyle w:val="ListParagraph"/>
        <w:numPr>
          <w:ilvl w:val="0"/>
          <w:numId w:val="17"/>
        </w:numPr>
        <w:tabs>
          <w:tab w:val="left" w:pos="2663"/>
        </w:tabs>
        <w:rPr>
          <w:rFonts w:ascii="Calibri" w:hAnsi="Calibri" w:cs="Calibri"/>
        </w:rPr>
      </w:pPr>
      <w:r w:rsidRPr="00F40DF0">
        <w:rPr>
          <w:rFonts w:ascii="Calibri" w:hAnsi="Calibri" w:cs="Calibri"/>
        </w:rPr>
        <w:t>the model yielded favourable social return on investment and social value outcomes for parties including improvements in their financial wellbeing;</w:t>
      </w:r>
      <w:r w:rsidR="00D64A61">
        <w:rPr>
          <w:rFonts w:ascii="Calibri" w:hAnsi="Calibri" w:cs="Calibri"/>
        </w:rPr>
        <w:t xml:space="preserve"> and</w:t>
      </w:r>
    </w:p>
    <w:p w14:paraId="7461CEF1" w14:textId="77777777" w:rsidR="0095608C" w:rsidRPr="00F40DF0" w:rsidRDefault="0095608C" w:rsidP="00256EFA">
      <w:pPr>
        <w:pStyle w:val="ListParagraph"/>
        <w:numPr>
          <w:ilvl w:val="0"/>
          <w:numId w:val="17"/>
        </w:numPr>
        <w:tabs>
          <w:tab w:val="left" w:pos="2663"/>
        </w:tabs>
        <w:rPr>
          <w:rFonts w:ascii="Calibri" w:hAnsi="Calibri" w:cs="Calibri"/>
        </w:rPr>
      </w:pPr>
      <w:r w:rsidRPr="00F40DF0">
        <w:rPr>
          <w:rFonts w:ascii="Calibri" w:hAnsi="Calibri" w:cs="Calibri"/>
        </w:rPr>
        <w:t>vulnerable parties including those with allegations or evidence of family violence accessed quick settlement outcomes, or pathways to judicial determination where required.</w:t>
      </w:r>
    </w:p>
    <w:p w14:paraId="0E8920EE" w14:textId="48AE5E98" w:rsidR="0095608C" w:rsidRPr="0095608C" w:rsidRDefault="0095608C" w:rsidP="005F44E0">
      <w:pPr>
        <w:tabs>
          <w:tab w:val="left" w:pos="2663"/>
        </w:tabs>
        <w:rPr>
          <w:rFonts w:ascii="Calibri" w:hAnsi="Calibri" w:cs="Calibri"/>
        </w:rPr>
      </w:pPr>
      <w:r w:rsidRPr="00FA54B7">
        <w:rPr>
          <w:rFonts w:ascii="Calibri" w:hAnsi="Calibri" w:cs="Calibri"/>
        </w:rPr>
        <w:t>As a result of the sustained success of this focussed, cost-effective case management by Judicial Registrars, the Court ha</w:t>
      </w:r>
      <w:r w:rsidR="00D64A61">
        <w:rPr>
          <w:rFonts w:ascii="Calibri" w:hAnsi="Calibri" w:cs="Calibri"/>
        </w:rPr>
        <w:t>s</w:t>
      </w:r>
      <w:r w:rsidRPr="00FA54B7">
        <w:rPr>
          <w:rFonts w:ascii="Calibri" w:hAnsi="Calibri" w:cs="Calibri"/>
        </w:rPr>
        <w:t xml:space="preserve"> received funding to expand the initiative to all filing registries</w:t>
      </w:r>
      <w:r w:rsidR="00FA54B7">
        <w:rPr>
          <w:rFonts w:ascii="Calibri" w:hAnsi="Calibri" w:cs="Calibri"/>
        </w:rPr>
        <w:t>, and t</w:t>
      </w:r>
      <w:r w:rsidRPr="00FA54B7">
        <w:rPr>
          <w:rFonts w:ascii="Calibri" w:hAnsi="Calibri" w:cs="Calibri"/>
        </w:rPr>
        <w:t>he criteria for inclusion as a PPP Case has been expanded to afford a greater number of parties access to this case management model.</w:t>
      </w:r>
    </w:p>
    <w:p w14:paraId="3DC0FEC3" w14:textId="77777777" w:rsidR="0095608C" w:rsidRPr="0095608C" w:rsidRDefault="0095608C" w:rsidP="005F44E0">
      <w:pPr>
        <w:tabs>
          <w:tab w:val="left" w:pos="2663"/>
        </w:tabs>
        <w:spacing w:before="240" w:line="276" w:lineRule="auto"/>
        <w:rPr>
          <w:rFonts w:ascii="Calibri" w:hAnsi="Calibri" w:cs="Calibri"/>
        </w:rPr>
      </w:pPr>
      <w:r w:rsidRPr="0095608C">
        <w:rPr>
          <w:rFonts w:ascii="Calibri" w:hAnsi="Calibri" w:cs="Calibri"/>
        </w:rPr>
        <w:t>From 30 October 2023 a matter will be eligible to be designated a Priority Property Pool Case (PPP Case) where:</w:t>
      </w:r>
    </w:p>
    <w:p w14:paraId="30ECAB1C" w14:textId="192C4038" w:rsidR="0095608C" w:rsidRPr="002C6C4D" w:rsidRDefault="0095608C" w:rsidP="00256EFA">
      <w:pPr>
        <w:pStyle w:val="ListParagraph"/>
        <w:numPr>
          <w:ilvl w:val="0"/>
          <w:numId w:val="18"/>
        </w:numPr>
        <w:tabs>
          <w:tab w:val="left" w:pos="2663"/>
        </w:tabs>
        <w:rPr>
          <w:rFonts w:ascii="Calibri" w:hAnsi="Calibri" w:cs="Calibri"/>
        </w:rPr>
      </w:pPr>
      <w:r w:rsidRPr="002C6C4D">
        <w:rPr>
          <w:rFonts w:ascii="Calibri" w:hAnsi="Calibri" w:cs="Calibri"/>
        </w:rPr>
        <w:t>the Initiating Application seeks only financial relief (</w:t>
      </w:r>
      <w:proofErr w:type="spellStart"/>
      <w:proofErr w:type="gramStart"/>
      <w:r w:rsidRPr="002C6C4D">
        <w:rPr>
          <w:rFonts w:ascii="Calibri" w:hAnsi="Calibri" w:cs="Calibri"/>
        </w:rPr>
        <w:t>ie</w:t>
      </w:r>
      <w:proofErr w:type="spellEnd"/>
      <w:proofErr w:type="gramEnd"/>
      <w:r w:rsidRPr="002C6C4D">
        <w:rPr>
          <w:rFonts w:ascii="Calibri" w:hAnsi="Calibri" w:cs="Calibri"/>
        </w:rPr>
        <w:t xml:space="preserve"> alteration of property interests and/or spous</w:t>
      </w:r>
      <w:r w:rsidR="00630862">
        <w:rPr>
          <w:rFonts w:ascii="Calibri" w:hAnsi="Calibri" w:cs="Calibri"/>
        </w:rPr>
        <w:t>al</w:t>
      </w:r>
      <w:r w:rsidRPr="002C6C4D">
        <w:rPr>
          <w:rFonts w:ascii="Calibri" w:hAnsi="Calibri" w:cs="Calibri"/>
        </w:rPr>
        <w:t xml:space="preserve"> maintenance only); and</w:t>
      </w:r>
    </w:p>
    <w:p w14:paraId="026D2386" w14:textId="77777777" w:rsidR="0095608C" w:rsidRPr="002C6C4D" w:rsidRDefault="0095608C" w:rsidP="00256EFA">
      <w:pPr>
        <w:pStyle w:val="ListParagraph"/>
        <w:numPr>
          <w:ilvl w:val="0"/>
          <w:numId w:val="18"/>
        </w:numPr>
        <w:tabs>
          <w:tab w:val="left" w:pos="2663"/>
        </w:tabs>
        <w:rPr>
          <w:rFonts w:ascii="Calibri" w:hAnsi="Calibri" w:cs="Calibri"/>
        </w:rPr>
      </w:pPr>
      <w:r w:rsidRPr="002C6C4D">
        <w:rPr>
          <w:rFonts w:ascii="Calibri" w:hAnsi="Calibri" w:cs="Calibri"/>
        </w:rPr>
        <w:t>involves either:</w:t>
      </w:r>
    </w:p>
    <w:p w14:paraId="2FF870B2" w14:textId="6A339219" w:rsidR="0095608C" w:rsidRPr="002C6C4D" w:rsidRDefault="0095608C" w:rsidP="00256EFA">
      <w:pPr>
        <w:pStyle w:val="ListParagraph"/>
        <w:numPr>
          <w:ilvl w:val="0"/>
          <w:numId w:val="18"/>
        </w:numPr>
        <w:tabs>
          <w:tab w:val="left" w:pos="2663"/>
        </w:tabs>
        <w:rPr>
          <w:rFonts w:ascii="Calibri" w:hAnsi="Calibri" w:cs="Calibri"/>
        </w:rPr>
      </w:pPr>
      <w:r w:rsidRPr="002C6C4D">
        <w:rPr>
          <w:rFonts w:ascii="Calibri" w:hAnsi="Calibri" w:cs="Calibri"/>
        </w:rPr>
        <w:t xml:space="preserve">an asset pool with a total </w:t>
      </w:r>
      <w:r w:rsidR="00006B6F">
        <w:rPr>
          <w:rFonts w:ascii="Calibri" w:hAnsi="Calibri" w:cs="Calibri"/>
        </w:rPr>
        <w:t xml:space="preserve">net </w:t>
      </w:r>
      <w:r w:rsidRPr="002C6C4D">
        <w:rPr>
          <w:rFonts w:ascii="Calibri" w:hAnsi="Calibri" w:cs="Calibri"/>
        </w:rPr>
        <w:t>value of up to $550,000 (excluding superannuation) or</w:t>
      </w:r>
    </w:p>
    <w:p w14:paraId="328C1871" w14:textId="0F5C04B4" w:rsidR="009253A4" w:rsidRPr="002C6C4D" w:rsidRDefault="0095608C" w:rsidP="00256EFA">
      <w:pPr>
        <w:pStyle w:val="ListParagraph"/>
        <w:numPr>
          <w:ilvl w:val="0"/>
          <w:numId w:val="18"/>
        </w:numPr>
        <w:tabs>
          <w:tab w:val="left" w:pos="2663"/>
        </w:tabs>
        <w:rPr>
          <w:rFonts w:ascii="Calibri" w:hAnsi="Calibri" w:cs="Calibri"/>
        </w:rPr>
      </w:pPr>
      <w:r w:rsidRPr="002C6C4D">
        <w:rPr>
          <w:rFonts w:ascii="Calibri" w:hAnsi="Calibri" w:cs="Calibri"/>
        </w:rPr>
        <w:t xml:space="preserve">a </w:t>
      </w:r>
      <w:r w:rsidR="00006B6F">
        <w:rPr>
          <w:rFonts w:ascii="Calibri" w:hAnsi="Calibri" w:cs="Calibri"/>
        </w:rPr>
        <w:t xml:space="preserve">net </w:t>
      </w:r>
      <w:r w:rsidRPr="002C6C4D">
        <w:rPr>
          <w:rFonts w:ascii="Calibri" w:hAnsi="Calibri" w:cs="Calibri"/>
        </w:rPr>
        <w:t>asset pool which has a value greater than $550,000 (excluding superannuation) but the Court, in its discretion, designates the matter as a PPP Case having regard to relevant features including family violence, limited complexity and/or risk of disproportionate costs or delay.</w:t>
      </w:r>
    </w:p>
    <w:p w14:paraId="7BE07579" w14:textId="5B306E6C" w:rsidR="0095608C" w:rsidRDefault="00B4366D" w:rsidP="00256EFA">
      <w:pPr>
        <w:tabs>
          <w:tab w:val="left" w:pos="2663"/>
        </w:tabs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More information, including </w:t>
      </w:r>
      <w:hyperlink r:id="rId14" w:history="1">
        <w:r w:rsidRPr="00B4366D">
          <w:rPr>
            <w:rStyle w:val="Hyperlink"/>
            <w:rFonts w:ascii="Calibri" w:hAnsi="Calibri" w:cs="Calibri"/>
          </w:rPr>
          <w:t>Updates to the Profession</w:t>
        </w:r>
      </w:hyperlink>
      <w:r>
        <w:rPr>
          <w:rFonts w:ascii="Calibri" w:hAnsi="Calibri" w:cs="Calibri"/>
        </w:rPr>
        <w:t xml:space="preserve">, is available from the Courts’ </w:t>
      </w:r>
      <w:hyperlink r:id="rId15" w:history="1">
        <w:r w:rsidRPr="00B4366D">
          <w:rPr>
            <w:rStyle w:val="Hyperlink"/>
            <w:rFonts w:ascii="Calibri" w:hAnsi="Calibri" w:cs="Calibri"/>
          </w:rPr>
          <w:t>website</w:t>
        </w:r>
      </w:hyperlink>
      <w:r>
        <w:rPr>
          <w:rFonts w:ascii="Calibri" w:hAnsi="Calibri" w:cs="Calibri"/>
        </w:rPr>
        <w:t>.</w:t>
      </w:r>
    </w:p>
    <w:sectPr w:rsidR="0095608C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D2537" w14:textId="77777777" w:rsidR="00567EA0" w:rsidRDefault="00567EA0" w:rsidP="00965ADE">
      <w:r>
        <w:separator/>
      </w:r>
    </w:p>
  </w:endnote>
  <w:endnote w:type="continuationSeparator" w:id="0">
    <w:p w14:paraId="15ADFFDC" w14:textId="77777777" w:rsidR="00567EA0" w:rsidRDefault="00567EA0" w:rsidP="0096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">
    <w:altName w:val="Cambria Math"/>
    <w:panose1 w:val="020B0502030000000004"/>
    <w:charset w:val="00"/>
    <w:family w:val="modern"/>
    <w:notTrueType/>
    <w:pitch w:val="variable"/>
    <w:sig w:usb0="00000001" w:usb1="5200A1FF" w:usb2="00000021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87AE7" w14:textId="77777777" w:rsidR="005F3902" w:rsidRDefault="005F39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BC30F9" w14:textId="24A6B821"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FE3ED6" w:rsidRPr="00FE3ED6">
          <w:rPr>
            <w:b/>
            <w:bCs/>
            <w:noProof/>
            <w:sz w:val="16"/>
            <w:szCs w:val="16"/>
          </w:rPr>
          <w:t>2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14:paraId="71E3E7D4" w14:textId="77777777" w:rsidR="00577A48" w:rsidRDefault="00577A48" w:rsidP="00577A48">
    <w:pPr>
      <w:autoSpaceDE w:val="0"/>
      <w:autoSpaceDN w:val="0"/>
      <w:rPr>
        <w:rFonts w:ascii="Calibri Light" w:eastAsiaTheme="minorEastAsia" w:hAnsi="Calibri Light" w:cs="Calibri Light"/>
        <w:noProof/>
        <w:color w:val="666666"/>
        <w:lang w:eastAsia="en-AU"/>
      </w:rPr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Denise Healy,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Director – Media &amp; Public Affairs, Federal Circuit and Family Court of Australia </w:t>
    </w:r>
  </w:p>
  <w:p w14:paraId="7FAFB7E4" w14:textId="4F41A8A7" w:rsidR="00965ADE" w:rsidRDefault="00577A48" w:rsidP="00577A48">
    <w:pPr>
      <w:pStyle w:val="Footer"/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0409743 695 </w:t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>
        <w:rPr>
          <w:rStyle w:val="Hyperlink"/>
          <w:rFonts w:ascii="Calibri Light" w:eastAsiaTheme="minorEastAsia" w:hAnsi="Calibri Light" w:cs="Calibri Light"/>
          <w:noProof/>
        </w:rPr>
        <w:t>denise.healy@fcfcoa.gov.au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EE559" w14:textId="77777777" w:rsidR="005F3902" w:rsidRDefault="005F39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F09A1" w14:textId="77777777" w:rsidR="00567EA0" w:rsidRDefault="00567EA0" w:rsidP="00965ADE">
      <w:r>
        <w:separator/>
      </w:r>
    </w:p>
  </w:footnote>
  <w:footnote w:type="continuationSeparator" w:id="0">
    <w:p w14:paraId="5F9F42E9" w14:textId="77777777" w:rsidR="00567EA0" w:rsidRDefault="00567EA0" w:rsidP="0096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F586B" w14:textId="77777777" w:rsidR="005F3902" w:rsidRDefault="005F39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3595D" w14:textId="568C4B72" w:rsidR="005F3902" w:rsidRDefault="005F39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648C5" w14:textId="77777777" w:rsidR="005F3902" w:rsidRDefault="005F39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476A"/>
    <w:multiLevelType w:val="hybridMultilevel"/>
    <w:tmpl w:val="D04C94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F530A"/>
    <w:multiLevelType w:val="hybridMultilevel"/>
    <w:tmpl w:val="A82C130E"/>
    <w:lvl w:ilvl="0" w:tplc="D1461D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7CB0D0C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6F26A7"/>
    <w:multiLevelType w:val="hybridMultilevel"/>
    <w:tmpl w:val="269ECDFC"/>
    <w:lvl w:ilvl="0" w:tplc="35FC5200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71196A"/>
    <w:multiLevelType w:val="hybridMultilevel"/>
    <w:tmpl w:val="3C4692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FD13A5"/>
    <w:multiLevelType w:val="hybridMultilevel"/>
    <w:tmpl w:val="C72C78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6E4748"/>
    <w:multiLevelType w:val="hybridMultilevel"/>
    <w:tmpl w:val="D354F9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9B60A2"/>
    <w:multiLevelType w:val="hybridMultilevel"/>
    <w:tmpl w:val="0EA679A0"/>
    <w:lvl w:ilvl="0" w:tplc="7E12E614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7B41BF"/>
    <w:multiLevelType w:val="hybridMultilevel"/>
    <w:tmpl w:val="F28ED7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9926CF"/>
    <w:multiLevelType w:val="hybridMultilevel"/>
    <w:tmpl w:val="5C6026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8A0E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DF57CE"/>
    <w:multiLevelType w:val="hybridMultilevel"/>
    <w:tmpl w:val="960241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682A87"/>
    <w:multiLevelType w:val="hybridMultilevel"/>
    <w:tmpl w:val="A3022FE0"/>
    <w:lvl w:ilvl="0" w:tplc="B91E414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540402"/>
    <w:multiLevelType w:val="hybridMultilevel"/>
    <w:tmpl w:val="D89A1E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E8018E"/>
    <w:multiLevelType w:val="multilevel"/>
    <w:tmpl w:val="C09A6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B40804"/>
    <w:multiLevelType w:val="hybridMultilevel"/>
    <w:tmpl w:val="7A185D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687084"/>
    <w:multiLevelType w:val="hybridMultilevel"/>
    <w:tmpl w:val="89F27F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DD76CA"/>
    <w:multiLevelType w:val="hybridMultilevel"/>
    <w:tmpl w:val="E190D3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7574036">
    <w:abstractNumId w:val="1"/>
  </w:num>
  <w:num w:numId="2" w16cid:durableId="6911887">
    <w:abstractNumId w:val="6"/>
  </w:num>
  <w:num w:numId="3" w16cid:durableId="1395470269">
    <w:abstractNumId w:val="5"/>
  </w:num>
  <w:num w:numId="4" w16cid:durableId="881404942">
    <w:abstractNumId w:val="4"/>
  </w:num>
  <w:num w:numId="5" w16cid:durableId="725566169">
    <w:abstractNumId w:val="3"/>
  </w:num>
  <w:num w:numId="6" w16cid:durableId="840851355">
    <w:abstractNumId w:val="15"/>
  </w:num>
  <w:num w:numId="7" w16cid:durableId="1498153598">
    <w:abstractNumId w:val="14"/>
  </w:num>
  <w:num w:numId="8" w16cid:durableId="1721437023">
    <w:abstractNumId w:val="13"/>
  </w:num>
  <w:num w:numId="9" w16cid:durableId="1731684641">
    <w:abstractNumId w:val="9"/>
  </w:num>
  <w:num w:numId="10" w16cid:durableId="1609659009">
    <w:abstractNumId w:val="16"/>
  </w:num>
  <w:num w:numId="11" w16cid:durableId="247541509">
    <w:abstractNumId w:val="8"/>
  </w:num>
  <w:num w:numId="12" w16cid:durableId="1577520794">
    <w:abstractNumId w:val="12"/>
  </w:num>
  <w:num w:numId="13" w16cid:durableId="955403039">
    <w:abstractNumId w:val="7"/>
  </w:num>
  <w:num w:numId="14" w16cid:durableId="690035743">
    <w:abstractNumId w:val="0"/>
  </w:num>
  <w:num w:numId="15" w16cid:durableId="122307875">
    <w:abstractNumId w:val="2"/>
  </w:num>
  <w:num w:numId="16" w16cid:durableId="697193797">
    <w:abstractNumId w:val="10"/>
  </w:num>
  <w:num w:numId="17" w16cid:durableId="689188062">
    <w:abstractNumId w:val="17"/>
  </w:num>
  <w:num w:numId="18" w16cid:durableId="23875730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4D95FD01-FBD6-4CA8-B04F-2653B8C51203}"/>
    <w:docVar w:name="dgnword-eventsink" w:val="436870288"/>
  </w:docVars>
  <w:rsids>
    <w:rsidRoot w:val="000D08F0"/>
    <w:rsid w:val="00006B6F"/>
    <w:rsid w:val="000176EE"/>
    <w:rsid w:val="00023675"/>
    <w:rsid w:val="00025B6F"/>
    <w:rsid w:val="0003151A"/>
    <w:rsid w:val="00047F1F"/>
    <w:rsid w:val="00051035"/>
    <w:rsid w:val="0006637E"/>
    <w:rsid w:val="00067FF3"/>
    <w:rsid w:val="00095578"/>
    <w:rsid w:val="00097E18"/>
    <w:rsid w:val="000A0C20"/>
    <w:rsid w:val="000A1D32"/>
    <w:rsid w:val="000A4A2B"/>
    <w:rsid w:val="000A78DB"/>
    <w:rsid w:val="000B26A8"/>
    <w:rsid w:val="000B41D0"/>
    <w:rsid w:val="000B760A"/>
    <w:rsid w:val="000C2763"/>
    <w:rsid w:val="000D08F0"/>
    <w:rsid w:val="000D111D"/>
    <w:rsid w:val="000D18BD"/>
    <w:rsid w:val="000E2FC8"/>
    <w:rsid w:val="000E3098"/>
    <w:rsid w:val="000E7BB7"/>
    <w:rsid w:val="000F3BEB"/>
    <w:rsid w:val="000F5326"/>
    <w:rsid w:val="000F66F8"/>
    <w:rsid w:val="000F6914"/>
    <w:rsid w:val="001103D3"/>
    <w:rsid w:val="00112F65"/>
    <w:rsid w:val="00113F1D"/>
    <w:rsid w:val="00115AAA"/>
    <w:rsid w:val="00121AF8"/>
    <w:rsid w:val="00123F44"/>
    <w:rsid w:val="00125891"/>
    <w:rsid w:val="0013363D"/>
    <w:rsid w:val="00133B32"/>
    <w:rsid w:val="00145F11"/>
    <w:rsid w:val="00150CDB"/>
    <w:rsid w:val="001570B3"/>
    <w:rsid w:val="00157845"/>
    <w:rsid w:val="00162A7E"/>
    <w:rsid w:val="00164206"/>
    <w:rsid w:val="00173D06"/>
    <w:rsid w:val="00176D19"/>
    <w:rsid w:val="001806E0"/>
    <w:rsid w:val="0018554B"/>
    <w:rsid w:val="001934A5"/>
    <w:rsid w:val="001953C0"/>
    <w:rsid w:val="001A651C"/>
    <w:rsid w:val="001B4E98"/>
    <w:rsid w:val="001B5D46"/>
    <w:rsid w:val="001C3EA8"/>
    <w:rsid w:val="001E644A"/>
    <w:rsid w:val="001E7306"/>
    <w:rsid w:val="001F0805"/>
    <w:rsid w:val="001F3567"/>
    <w:rsid w:val="001F4BA4"/>
    <w:rsid w:val="00202717"/>
    <w:rsid w:val="002035D1"/>
    <w:rsid w:val="00204A34"/>
    <w:rsid w:val="0021054B"/>
    <w:rsid w:val="002131EB"/>
    <w:rsid w:val="002138F6"/>
    <w:rsid w:val="00214A90"/>
    <w:rsid w:val="00227F7A"/>
    <w:rsid w:val="00234C3E"/>
    <w:rsid w:val="002441F0"/>
    <w:rsid w:val="0024593D"/>
    <w:rsid w:val="00256EFA"/>
    <w:rsid w:val="0026099A"/>
    <w:rsid w:val="00263810"/>
    <w:rsid w:val="00266BBD"/>
    <w:rsid w:val="0026779C"/>
    <w:rsid w:val="002703F9"/>
    <w:rsid w:val="00271AAF"/>
    <w:rsid w:val="0027508E"/>
    <w:rsid w:val="002869FD"/>
    <w:rsid w:val="002908E3"/>
    <w:rsid w:val="002951BB"/>
    <w:rsid w:val="00297C97"/>
    <w:rsid w:val="002A36E3"/>
    <w:rsid w:val="002B44FA"/>
    <w:rsid w:val="002B45D3"/>
    <w:rsid w:val="002C2BFD"/>
    <w:rsid w:val="002C6B47"/>
    <w:rsid w:val="002C6C4D"/>
    <w:rsid w:val="002D62B5"/>
    <w:rsid w:val="002E07BE"/>
    <w:rsid w:val="002E4DF3"/>
    <w:rsid w:val="002E70CE"/>
    <w:rsid w:val="002F3E65"/>
    <w:rsid w:val="002F6E93"/>
    <w:rsid w:val="00304655"/>
    <w:rsid w:val="00316C09"/>
    <w:rsid w:val="003238AB"/>
    <w:rsid w:val="00326E51"/>
    <w:rsid w:val="003316B1"/>
    <w:rsid w:val="00335F15"/>
    <w:rsid w:val="00344A2D"/>
    <w:rsid w:val="00344C32"/>
    <w:rsid w:val="003466A4"/>
    <w:rsid w:val="00347601"/>
    <w:rsid w:val="00362D01"/>
    <w:rsid w:val="0038575B"/>
    <w:rsid w:val="00390C1D"/>
    <w:rsid w:val="00396A6A"/>
    <w:rsid w:val="003A02C8"/>
    <w:rsid w:val="003A6B9B"/>
    <w:rsid w:val="003B0A3D"/>
    <w:rsid w:val="003D01AA"/>
    <w:rsid w:val="003E0964"/>
    <w:rsid w:val="003E326E"/>
    <w:rsid w:val="003E594B"/>
    <w:rsid w:val="003F4B6C"/>
    <w:rsid w:val="003F50C0"/>
    <w:rsid w:val="0040441A"/>
    <w:rsid w:val="00406B81"/>
    <w:rsid w:val="0041509F"/>
    <w:rsid w:val="00455393"/>
    <w:rsid w:val="004559D5"/>
    <w:rsid w:val="004619DB"/>
    <w:rsid w:val="004676D6"/>
    <w:rsid w:val="004870ED"/>
    <w:rsid w:val="00490C2D"/>
    <w:rsid w:val="00490E74"/>
    <w:rsid w:val="00492798"/>
    <w:rsid w:val="00492DD8"/>
    <w:rsid w:val="004A18BE"/>
    <w:rsid w:val="004A4040"/>
    <w:rsid w:val="004A4A34"/>
    <w:rsid w:val="004A7487"/>
    <w:rsid w:val="004B1747"/>
    <w:rsid w:val="004C0A79"/>
    <w:rsid w:val="004C333F"/>
    <w:rsid w:val="004D2EC7"/>
    <w:rsid w:val="004D4EBA"/>
    <w:rsid w:val="004E786D"/>
    <w:rsid w:val="004F0938"/>
    <w:rsid w:val="004F61B5"/>
    <w:rsid w:val="00500679"/>
    <w:rsid w:val="00505495"/>
    <w:rsid w:val="0051002E"/>
    <w:rsid w:val="00521BAF"/>
    <w:rsid w:val="00523333"/>
    <w:rsid w:val="00523ACD"/>
    <w:rsid w:val="00530223"/>
    <w:rsid w:val="00550759"/>
    <w:rsid w:val="00553A65"/>
    <w:rsid w:val="00562AF2"/>
    <w:rsid w:val="005677DF"/>
    <w:rsid w:val="00567EA0"/>
    <w:rsid w:val="00571556"/>
    <w:rsid w:val="00577A48"/>
    <w:rsid w:val="005842F3"/>
    <w:rsid w:val="00584E7A"/>
    <w:rsid w:val="005858CF"/>
    <w:rsid w:val="00587267"/>
    <w:rsid w:val="00597A82"/>
    <w:rsid w:val="005A53CF"/>
    <w:rsid w:val="005A5FEB"/>
    <w:rsid w:val="005C6106"/>
    <w:rsid w:val="005E69CF"/>
    <w:rsid w:val="005E6D54"/>
    <w:rsid w:val="005E76C3"/>
    <w:rsid w:val="005F28BF"/>
    <w:rsid w:val="005F3902"/>
    <w:rsid w:val="005F44E0"/>
    <w:rsid w:val="005F619C"/>
    <w:rsid w:val="00603169"/>
    <w:rsid w:val="00615C7D"/>
    <w:rsid w:val="00621578"/>
    <w:rsid w:val="006301D4"/>
    <w:rsid w:val="00630862"/>
    <w:rsid w:val="00635897"/>
    <w:rsid w:val="00650F04"/>
    <w:rsid w:val="006533CF"/>
    <w:rsid w:val="00660137"/>
    <w:rsid w:val="00673856"/>
    <w:rsid w:val="00675C47"/>
    <w:rsid w:val="006772E7"/>
    <w:rsid w:val="00695CD9"/>
    <w:rsid w:val="006A661F"/>
    <w:rsid w:val="006B15B1"/>
    <w:rsid w:val="006C2BBD"/>
    <w:rsid w:val="006C7792"/>
    <w:rsid w:val="006E0BE9"/>
    <w:rsid w:val="006F4759"/>
    <w:rsid w:val="006F5596"/>
    <w:rsid w:val="00701AFE"/>
    <w:rsid w:val="00716AB0"/>
    <w:rsid w:val="00721A04"/>
    <w:rsid w:val="007502FD"/>
    <w:rsid w:val="007518E5"/>
    <w:rsid w:val="00752C1E"/>
    <w:rsid w:val="00753293"/>
    <w:rsid w:val="00754B17"/>
    <w:rsid w:val="00760A09"/>
    <w:rsid w:val="007647D3"/>
    <w:rsid w:val="00766965"/>
    <w:rsid w:val="00776B61"/>
    <w:rsid w:val="007800AE"/>
    <w:rsid w:val="0078353E"/>
    <w:rsid w:val="00791799"/>
    <w:rsid w:val="007A0072"/>
    <w:rsid w:val="007A47D5"/>
    <w:rsid w:val="007C3C69"/>
    <w:rsid w:val="007D1005"/>
    <w:rsid w:val="007D475C"/>
    <w:rsid w:val="007D6465"/>
    <w:rsid w:val="007E27C8"/>
    <w:rsid w:val="007F2644"/>
    <w:rsid w:val="007F30F7"/>
    <w:rsid w:val="0080408C"/>
    <w:rsid w:val="0081401E"/>
    <w:rsid w:val="008276C3"/>
    <w:rsid w:val="0083161A"/>
    <w:rsid w:val="00832497"/>
    <w:rsid w:val="00835F90"/>
    <w:rsid w:val="0084040A"/>
    <w:rsid w:val="008436EE"/>
    <w:rsid w:val="00846655"/>
    <w:rsid w:val="00851312"/>
    <w:rsid w:val="00851349"/>
    <w:rsid w:val="00871643"/>
    <w:rsid w:val="00897CAE"/>
    <w:rsid w:val="008C2E80"/>
    <w:rsid w:val="008D2F6B"/>
    <w:rsid w:val="008D5B53"/>
    <w:rsid w:val="008D7AB0"/>
    <w:rsid w:val="008E5EF9"/>
    <w:rsid w:val="008F0A43"/>
    <w:rsid w:val="008F17F8"/>
    <w:rsid w:val="008F6BFC"/>
    <w:rsid w:val="009054CF"/>
    <w:rsid w:val="00907163"/>
    <w:rsid w:val="00921C2C"/>
    <w:rsid w:val="009223C0"/>
    <w:rsid w:val="009253A4"/>
    <w:rsid w:val="00936AC7"/>
    <w:rsid w:val="00936CEA"/>
    <w:rsid w:val="00937D76"/>
    <w:rsid w:val="00937DEC"/>
    <w:rsid w:val="00944BAA"/>
    <w:rsid w:val="00945863"/>
    <w:rsid w:val="00947C21"/>
    <w:rsid w:val="009555AD"/>
    <w:rsid w:val="0095608C"/>
    <w:rsid w:val="00957DFF"/>
    <w:rsid w:val="00965ADE"/>
    <w:rsid w:val="009742F7"/>
    <w:rsid w:val="0097484B"/>
    <w:rsid w:val="00984547"/>
    <w:rsid w:val="009934C6"/>
    <w:rsid w:val="00997715"/>
    <w:rsid w:val="009B0DEB"/>
    <w:rsid w:val="009B6426"/>
    <w:rsid w:val="009C67F1"/>
    <w:rsid w:val="009D1515"/>
    <w:rsid w:val="009D3B9D"/>
    <w:rsid w:val="009F3CDC"/>
    <w:rsid w:val="009F3F9B"/>
    <w:rsid w:val="00A05D78"/>
    <w:rsid w:val="00A148B4"/>
    <w:rsid w:val="00A2534A"/>
    <w:rsid w:val="00A341FA"/>
    <w:rsid w:val="00A374F7"/>
    <w:rsid w:val="00A4498B"/>
    <w:rsid w:val="00A5405F"/>
    <w:rsid w:val="00A5504E"/>
    <w:rsid w:val="00A62AB6"/>
    <w:rsid w:val="00A70D97"/>
    <w:rsid w:val="00A75ED8"/>
    <w:rsid w:val="00A80AF6"/>
    <w:rsid w:val="00A96CAF"/>
    <w:rsid w:val="00AB533D"/>
    <w:rsid w:val="00AC4C02"/>
    <w:rsid w:val="00AD2EB3"/>
    <w:rsid w:val="00AE39DF"/>
    <w:rsid w:val="00AF6BDD"/>
    <w:rsid w:val="00B00DDF"/>
    <w:rsid w:val="00B108B0"/>
    <w:rsid w:val="00B14404"/>
    <w:rsid w:val="00B1645E"/>
    <w:rsid w:val="00B22579"/>
    <w:rsid w:val="00B27E57"/>
    <w:rsid w:val="00B325A9"/>
    <w:rsid w:val="00B41180"/>
    <w:rsid w:val="00B4149D"/>
    <w:rsid w:val="00B424FD"/>
    <w:rsid w:val="00B4366D"/>
    <w:rsid w:val="00B4747A"/>
    <w:rsid w:val="00B5182F"/>
    <w:rsid w:val="00B51916"/>
    <w:rsid w:val="00B553AB"/>
    <w:rsid w:val="00B55756"/>
    <w:rsid w:val="00B605A8"/>
    <w:rsid w:val="00B6188C"/>
    <w:rsid w:val="00B6524F"/>
    <w:rsid w:val="00B80414"/>
    <w:rsid w:val="00B85895"/>
    <w:rsid w:val="00B93E15"/>
    <w:rsid w:val="00B97E43"/>
    <w:rsid w:val="00BA652B"/>
    <w:rsid w:val="00BB6D83"/>
    <w:rsid w:val="00BC1DEC"/>
    <w:rsid w:val="00BD0E0E"/>
    <w:rsid w:val="00BD2C98"/>
    <w:rsid w:val="00BE0E26"/>
    <w:rsid w:val="00BE6F74"/>
    <w:rsid w:val="00C141CA"/>
    <w:rsid w:val="00C27320"/>
    <w:rsid w:val="00C27766"/>
    <w:rsid w:val="00C34156"/>
    <w:rsid w:val="00C45A4D"/>
    <w:rsid w:val="00C946C9"/>
    <w:rsid w:val="00CA02BE"/>
    <w:rsid w:val="00CB32AC"/>
    <w:rsid w:val="00CB38FD"/>
    <w:rsid w:val="00CC67F9"/>
    <w:rsid w:val="00CD2886"/>
    <w:rsid w:val="00CE5625"/>
    <w:rsid w:val="00CF2234"/>
    <w:rsid w:val="00CF7E38"/>
    <w:rsid w:val="00D022FC"/>
    <w:rsid w:val="00D0376E"/>
    <w:rsid w:val="00D10706"/>
    <w:rsid w:val="00D21529"/>
    <w:rsid w:val="00D21C12"/>
    <w:rsid w:val="00D22C35"/>
    <w:rsid w:val="00D2548B"/>
    <w:rsid w:val="00D26ECE"/>
    <w:rsid w:val="00D30D9E"/>
    <w:rsid w:val="00D34546"/>
    <w:rsid w:val="00D34A7E"/>
    <w:rsid w:val="00D362E6"/>
    <w:rsid w:val="00D54EE1"/>
    <w:rsid w:val="00D64A61"/>
    <w:rsid w:val="00D66CEA"/>
    <w:rsid w:val="00D67BFF"/>
    <w:rsid w:val="00D67C17"/>
    <w:rsid w:val="00D755C3"/>
    <w:rsid w:val="00D7609D"/>
    <w:rsid w:val="00D829E4"/>
    <w:rsid w:val="00D82AAA"/>
    <w:rsid w:val="00D8648A"/>
    <w:rsid w:val="00D919BE"/>
    <w:rsid w:val="00D94B05"/>
    <w:rsid w:val="00D94B8C"/>
    <w:rsid w:val="00D97966"/>
    <w:rsid w:val="00DA1B37"/>
    <w:rsid w:val="00DA351C"/>
    <w:rsid w:val="00DA43B4"/>
    <w:rsid w:val="00DB4DBC"/>
    <w:rsid w:val="00DB7DE2"/>
    <w:rsid w:val="00DC15FF"/>
    <w:rsid w:val="00DC2131"/>
    <w:rsid w:val="00DC268B"/>
    <w:rsid w:val="00DC438D"/>
    <w:rsid w:val="00DC4CAC"/>
    <w:rsid w:val="00DC4F10"/>
    <w:rsid w:val="00DD092D"/>
    <w:rsid w:val="00DF6989"/>
    <w:rsid w:val="00E06861"/>
    <w:rsid w:val="00E11E33"/>
    <w:rsid w:val="00E15E05"/>
    <w:rsid w:val="00E32FF8"/>
    <w:rsid w:val="00E3739E"/>
    <w:rsid w:val="00E5419F"/>
    <w:rsid w:val="00E54BE0"/>
    <w:rsid w:val="00E57A20"/>
    <w:rsid w:val="00E57FB2"/>
    <w:rsid w:val="00E63A3A"/>
    <w:rsid w:val="00E9113C"/>
    <w:rsid w:val="00E97FCB"/>
    <w:rsid w:val="00EA0BAC"/>
    <w:rsid w:val="00EA160F"/>
    <w:rsid w:val="00EA5967"/>
    <w:rsid w:val="00EB3CED"/>
    <w:rsid w:val="00EC23B2"/>
    <w:rsid w:val="00EC3674"/>
    <w:rsid w:val="00ED7A40"/>
    <w:rsid w:val="00F013A6"/>
    <w:rsid w:val="00F14BBD"/>
    <w:rsid w:val="00F217DE"/>
    <w:rsid w:val="00F26B00"/>
    <w:rsid w:val="00F40DF0"/>
    <w:rsid w:val="00F447B6"/>
    <w:rsid w:val="00F57850"/>
    <w:rsid w:val="00F6348B"/>
    <w:rsid w:val="00F63BF9"/>
    <w:rsid w:val="00F650D9"/>
    <w:rsid w:val="00F665D8"/>
    <w:rsid w:val="00F7102A"/>
    <w:rsid w:val="00F7773C"/>
    <w:rsid w:val="00F8757B"/>
    <w:rsid w:val="00F938E1"/>
    <w:rsid w:val="00FA4F9F"/>
    <w:rsid w:val="00FA54B7"/>
    <w:rsid w:val="00FB37AB"/>
    <w:rsid w:val="00FB5EF6"/>
    <w:rsid w:val="00FB6508"/>
    <w:rsid w:val="00FC06CC"/>
    <w:rsid w:val="00FC4414"/>
    <w:rsid w:val="00FE17E8"/>
    <w:rsid w:val="00FE3ED6"/>
    <w:rsid w:val="00FE4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CF54C52"/>
  <w15:chartTrackingRefBased/>
  <w15:docId w15:val="{CC5095F6-E7CE-4E2F-AF2E-30655A3C2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56EF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34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FC44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41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97484B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7484B"/>
    <w:rPr>
      <w:rFonts w:ascii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rsid w:val="00271AA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271AAF"/>
    <w:rPr>
      <w:b/>
      <w:bCs/>
    </w:rPr>
  </w:style>
  <w:style w:type="paragraph" w:styleId="FootnoteText">
    <w:name w:val="footnote text"/>
    <w:aliases w:val=" Char,Char"/>
    <w:basedOn w:val="Normal"/>
    <w:link w:val="FootnoteTextChar"/>
    <w:uiPriority w:val="99"/>
    <w:unhideWhenUsed/>
    <w:qFormat/>
    <w:rsid w:val="006F5596"/>
    <w:rPr>
      <w:sz w:val="20"/>
      <w:szCs w:val="20"/>
    </w:rPr>
  </w:style>
  <w:style w:type="character" w:customStyle="1" w:styleId="FootnoteTextChar">
    <w:name w:val="Footnote Text Char"/>
    <w:aliases w:val=" Char Char,Char Char"/>
    <w:basedOn w:val="DefaultParagraphFont"/>
    <w:link w:val="FootnoteText"/>
    <w:uiPriority w:val="99"/>
    <w:rsid w:val="006F559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F559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297C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7C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7C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C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C97"/>
    <w:rPr>
      <w:b/>
      <w:bCs/>
      <w:sz w:val="20"/>
      <w:szCs w:val="20"/>
    </w:rPr>
  </w:style>
  <w:style w:type="paragraph" w:customStyle="1" w:styleId="Default">
    <w:name w:val="Default"/>
    <w:rsid w:val="00701AFE"/>
    <w:pPr>
      <w:autoSpaceDE w:val="0"/>
      <w:autoSpaceDN w:val="0"/>
      <w:adjustRightInd w:val="0"/>
      <w:spacing w:after="0" w:line="240" w:lineRule="auto"/>
    </w:pPr>
    <w:rPr>
      <w:rFonts w:ascii="Inter" w:hAnsi="Inter" w:cs="Inter"/>
      <w:color w:val="000000"/>
      <w:sz w:val="24"/>
      <w:szCs w:val="24"/>
    </w:rPr>
  </w:style>
  <w:style w:type="paragraph" w:customStyle="1" w:styleId="ydpdd40b6fayiv1703367528msonormal">
    <w:name w:val="ydpdd40b6fayiv1703367528msonormal"/>
    <w:basedOn w:val="Normal"/>
    <w:rsid w:val="00DC4F10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AU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C2131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2131"/>
    <w:rPr>
      <w:rFonts w:ascii="Calibri" w:hAnsi="Calibri"/>
      <w:szCs w:val="21"/>
    </w:rPr>
  </w:style>
  <w:style w:type="character" w:customStyle="1" w:styleId="ui-provider">
    <w:name w:val="ui-provider"/>
    <w:basedOn w:val="DefaultParagraphFont"/>
    <w:rsid w:val="00FB5EF6"/>
  </w:style>
  <w:style w:type="character" w:styleId="FollowedHyperlink">
    <w:name w:val="FollowedHyperlink"/>
    <w:basedOn w:val="DefaultParagraphFont"/>
    <w:uiPriority w:val="99"/>
    <w:semiHidden/>
    <w:unhideWhenUsed/>
    <w:rsid w:val="00F447B6"/>
    <w:rPr>
      <w:color w:val="954F72" w:themeColor="followedHyperlink"/>
      <w:u w:val="single"/>
    </w:rPr>
  </w:style>
  <w:style w:type="paragraph" w:styleId="NoSpacing">
    <w:name w:val="No Spacing"/>
    <w:basedOn w:val="Normal"/>
    <w:uiPriority w:val="1"/>
    <w:qFormat/>
    <w:rsid w:val="00947C21"/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1570B3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256EF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aifs.gov.au/research/research-reports/evaluation-small-claims-property-pilot-priority-property-pools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yperlink" Target="https://www.ag.gov.au/families-and-marriage/families/supporting-women-recover-financially-after-separation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yperlink" Target="https://www.fcfcoa.gov.au/fl/ppp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cfcoa.gov.au/news-and-media-centre/updates-profession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c40b40e-c2ad-4b51-b6b2-afd2eda3d6e9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203C626D9ADB428CD382C36B142E90" ma:contentTypeVersion="14" ma:contentTypeDescription="Create a new document." ma:contentTypeScope="" ma:versionID="8afb84c7369020f398b834b86a981deb">
  <xsd:schema xmlns:xsd="http://www.w3.org/2001/XMLSchema" xmlns:xs="http://www.w3.org/2001/XMLSchema" xmlns:p="http://schemas.microsoft.com/office/2006/metadata/properties" xmlns:ns3="0316bc5f-15d2-460f-844c-df765593db15" xmlns:ns4="1c40b40e-c2ad-4b51-b6b2-afd2eda3d6e9" targetNamespace="http://schemas.microsoft.com/office/2006/metadata/properties" ma:root="true" ma:fieldsID="c1e3120ab51a9fcdb595e6bc92f7b0f5" ns3:_="" ns4:_="">
    <xsd:import namespace="0316bc5f-15d2-460f-844c-df765593db15"/>
    <xsd:import namespace="1c40b40e-c2ad-4b51-b6b2-afd2eda3d6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Location" minOccurs="0"/>
                <xsd:element ref="ns4:MediaServiceOCR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16bc5f-15d2-460f-844c-df765593db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40b40e-c2ad-4b51-b6b2-afd2eda3d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917052-971E-4F7E-8B56-FA2A0FDD88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236AA7B-9D95-4191-8A2E-7558812ED4AF}">
  <ds:schemaRefs>
    <ds:schemaRef ds:uri="0316bc5f-15d2-460f-844c-df765593db15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1c40b40e-c2ad-4b51-b6b2-afd2eda3d6e9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09656BCB-FB16-4B3C-96E5-3019606E2A0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11EE3E1-A90F-400B-B5A7-CD3A1E45C7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16bc5f-15d2-460f-844c-df765593db15"/>
    <ds:schemaRef ds:uri="1c40b40e-c2ad-4b51-b6b2-afd2eda3d6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757</Words>
  <Characters>4031</Characters>
  <Application>Microsoft Office Word</Application>
  <DocSecurity>0</DocSecurity>
  <Lines>67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New approach for family law property disputes saves time, money and stress for people facing family violence and other risks</dc:title>
  <dc:subject/>
  <dc:creator>Federal Circuit and Family Court of Australia</dc:creator>
  <cp:keywords/>
  <dc:description/>
  <cp:lastModifiedBy>Christine Tuff</cp:lastModifiedBy>
  <cp:revision>3</cp:revision>
  <cp:lastPrinted>2023-10-24T22:27:00Z</cp:lastPrinted>
  <dcterms:created xsi:type="dcterms:W3CDTF">2023-10-27T03:48:00Z</dcterms:created>
  <dcterms:modified xsi:type="dcterms:W3CDTF">2023-10-27T03:51:00Z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0x010100C8203C626D9ADB428CD382C36B142E90</vt:lpwstr>
  </property>
</Properties>
</file>