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380" w:rsidRDefault="00743380" w:rsidP="00FE70D1">
      <w:pPr>
        <w:jc w:val="center"/>
      </w:pPr>
      <w:r>
        <w:rPr>
          <w:noProof/>
          <w:lang w:eastAsia="en-AU"/>
        </w:rPr>
        <w:drawing>
          <wp:inline distT="0" distB="0" distL="0" distR="0">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rsidR="00734378" w:rsidRDefault="001A5C20" w:rsidP="00FE70D1">
      <w:pPr>
        <w:pStyle w:val="Heading1"/>
        <w:numPr>
          <w:ilvl w:val="0"/>
          <w:numId w:val="0"/>
        </w:numPr>
      </w:pPr>
      <w:r>
        <w:t>Pron</w:t>
      </w:r>
      <w:r w:rsidR="00C8799D">
        <w:t>unciation of names</w:t>
      </w:r>
      <w:r w:rsidR="00734378">
        <w:t xml:space="preserve"> </w:t>
      </w:r>
      <w:r w:rsidR="00C8799D">
        <w:t xml:space="preserve">&amp; Forms of ADDRESS </w:t>
      </w:r>
      <w:r w:rsidR="00734378">
        <w:t>(</w:t>
      </w:r>
      <w:r w:rsidR="002F5B17">
        <w:t>IN</w:t>
      </w:r>
      <w:r w:rsidR="00734378">
        <w:t>-</w:t>
      </w:r>
      <w:r w:rsidR="00C8799D">
        <w:t>PFA</w:t>
      </w:r>
      <w:r w:rsidR="00734378">
        <w:t>)</w:t>
      </w:r>
    </w:p>
    <w:p w:rsidR="00734378" w:rsidRPr="00FE70D1" w:rsidRDefault="00C8799D" w:rsidP="00FE70D1">
      <w:pPr>
        <w:jc w:val="center"/>
        <w:rPr>
          <w:sz w:val="36"/>
        </w:rPr>
      </w:pPr>
      <w:r>
        <w:rPr>
          <w:sz w:val="36"/>
        </w:rPr>
        <w:t>FCFCOA</w:t>
      </w:r>
      <w:r w:rsidR="00734378" w:rsidRPr="00FE70D1">
        <w:rPr>
          <w:sz w:val="36"/>
        </w:rPr>
        <w:t xml:space="preserve"> </w:t>
      </w:r>
      <w:r w:rsidR="002F5B17">
        <w:rPr>
          <w:sz w:val="36"/>
        </w:rPr>
        <w:t>Information Notice</w:t>
      </w:r>
    </w:p>
    <w:p w:rsidR="00C8799D" w:rsidRPr="00C8799D" w:rsidRDefault="00C8799D" w:rsidP="00C8799D">
      <w:pPr>
        <w:pStyle w:val="Heading2"/>
        <w:rPr>
          <w:lang w:val="en-US"/>
        </w:rPr>
      </w:pPr>
      <w:bookmarkStart w:id="0" w:name="1._OBJECTIVE"/>
      <w:bookmarkEnd w:id="0"/>
      <w:r w:rsidRPr="00C8799D">
        <w:rPr>
          <w:lang w:val="en-US"/>
        </w:rPr>
        <w:t>INTRODUCTION AND OBJECTIVE</w:t>
      </w:r>
    </w:p>
    <w:p w:rsidR="00C8799D" w:rsidRPr="00C8799D" w:rsidRDefault="00C8799D" w:rsidP="00C8799D">
      <w:pPr>
        <w:pStyle w:val="11style"/>
        <w:rPr>
          <w:lang w:val="en-US"/>
        </w:rPr>
      </w:pPr>
      <w:r w:rsidRPr="00C8799D">
        <w:rPr>
          <w:lang w:val="en-US"/>
        </w:rPr>
        <w:t xml:space="preserve">This </w:t>
      </w:r>
      <w:r w:rsidR="002F5B17">
        <w:rPr>
          <w:lang w:val="en-US"/>
        </w:rPr>
        <w:t>Information Notice</w:t>
      </w:r>
      <w:r w:rsidRPr="00C8799D">
        <w:rPr>
          <w:lang w:val="en-US"/>
        </w:rPr>
        <w:t xml:space="preserve"> applies to all proceedings filed in the Federal Circuit and Family Court of Australia (Division 1) and (Division 2) (Courts) in the Courts’ family law, migration and general federal law jurisdictions.</w:t>
      </w:r>
    </w:p>
    <w:p w:rsidR="00C8799D" w:rsidRPr="00C8799D" w:rsidRDefault="00C8799D" w:rsidP="00C8799D">
      <w:pPr>
        <w:pStyle w:val="11style"/>
        <w:rPr>
          <w:lang w:val="en-US"/>
        </w:rPr>
      </w:pPr>
      <w:r>
        <w:rPr>
          <w:lang w:val="en-US"/>
        </w:rPr>
        <w:t xml:space="preserve">The </w:t>
      </w:r>
      <w:r w:rsidRPr="00C8799D">
        <w:rPr>
          <w:lang w:val="en-US"/>
        </w:rPr>
        <w:t xml:space="preserve">Courts </w:t>
      </w:r>
      <w:proofErr w:type="spellStart"/>
      <w:r w:rsidRPr="00C8799D">
        <w:rPr>
          <w:lang w:val="en-US"/>
        </w:rPr>
        <w:t>recognise</w:t>
      </w:r>
      <w:proofErr w:type="spellEnd"/>
      <w:r w:rsidRPr="00C8799D">
        <w:rPr>
          <w:lang w:val="en-US"/>
        </w:rPr>
        <w:t xml:space="preserve"> that the correct pronunciation of names and use of the appropriate gender pronoun is a matter of respect and is an important component of ensuring public confidence in the proper administration of justice.</w:t>
      </w:r>
      <w:r>
        <w:rPr>
          <w:lang w:val="en-US"/>
        </w:rPr>
        <w:t xml:space="preserve"> </w:t>
      </w:r>
      <w:r w:rsidRPr="00C8799D">
        <w:rPr>
          <w:lang w:val="en-US"/>
        </w:rPr>
        <w:t xml:space="preserve">As such, the Courts seek to facilitate a simple process by which legal practitioners can provide, and the Courts can </w:t>
      </w:r>
      <w:proofErr w:type="gramStart"/>
      <w:r w:rsidRPr="00C8799D">
        <w:rPr>
          <w:lang w:val="en-US"/>
        </w:rPr>
        <w:t>seek,</w:t>
      </w:r>
      <w:proofErr w:type="gramEnd"/>
      <w:r w:rsidRPr="00C8799D">
        <w:rPr>
          <w:lang w:val="en-US"/>
        </w:rPr>
        <w:t xml:space="preserve"> guidance and clarification.</w:t>
      </w:r>
    </w:p>
    <w:p w:rsidR="00C8799D" w:rsidRPr="001E1CBF" w:rsidRDefault="00C8799D" w:rsidP="00C8799D">
      <w:pPr>
        <w:pStyle w:val="11style"/>
        <w:rPr>
          <w:lang w:val="en-US"/>
        </w:rPr>
      </w:pPr>
      <w:r w:rsidRPr="00C8799D">
        <w:rPr>
          <w:lang w:val="en-US"/>
        </w:rPr>
        <w:t xml:space="preserve">This </w:t>
      </w:r>
      <w:r w:rsidR="002F5B17">
        <w:rPr>
          <w:lang w:val="en-US"/>
        </w:rPr>
        <w:t>Information Notice</w:t>
      </w:r>
      <w:r w:rsidRPr="00C8799D">
        <w:rPr>
          <w:lang w:val="en-US"/>
        </w:rPr>
        <w:t xml:space="preserve"> takes effect from the date it </w:t>
      </w:r>
      <w:proofErr w:type="gramStart"/>
      <w:r w:rsidRPr="00C8799D">
        <w:rPr>
          <w:lang w:val="en-US"/>
        </w:rPr>
        <w:t>is issued</w:t>
      </w:r>
      <w:proofErr w:type="gramEnd"/>
      <w:r w:rsidRPr="00C8799D">
        <w:rPr>
          <w:lang w:val="en-US"/>
        </w:rPr>
        <w:t xml:space="preserve"> and, to the extent practicable, applies to proceedings whether filed before or after that date.</w:t>
      </w:r>
    </w:p>
    <w:p w:rsidR="00C8799D" w:rsidRPr="00C8799D" w:rsidRDefault="00C8799D" w:rsidP="00C8799D">
      <w:pPr>
        <w:pStyle w:val="Heading2"/>
        <w:rPr>
          <w:lang w:val="en-US"/>
        </w:rPr>
      </w:pPr>
      <w:bookmarkStart w:id="1" w:name="3._RESPONSIBILITY_OF_LEGAL_PRACTITIONERS"/>
      <w:bookmarkEnd w:id="1"/>
      <w:r w:rsidRPr="00C8799D">
        <w:rPr>
          <w:lang w:val="en-US"/>
        </w:rPr>
        <w:t>RESPONSIBILITY OF LEGAL PRACTITIONERS AND LITIGANTS</w:t>
      </w:r>
    </w:p>
    <w:p w:rsidR="00C8799D" w:rsidRPr="00C8799D" w:rsidRDefault="00C8799D" w:rsidP="00C8799D">
      <w:pPr>
        <w:pStyle w:val="11style"/>
        <w:rPr>
          <w:lang w:val="en-US"/>
        </w:rPr>
      </w:pPr>
      <w:r w:rsidRPr="00C8799D">
        <w:rPr>
          <w:lang w:val="en-US"/>
        </w:rPr>
        <w:t xml:space="preserve">Where reasonably practicable prior to any hearing, legal practitioners, or if unrepresented, litigants, should consider whether any names associated with the case may be difficult to pronounce and provide the Court with the correct phonetic pronunciation for those names. </w:t>
      </w:r>
    </w:p>
    <w:p w:rsidR="00C8799D" w:rsidRPr="00C8799D" w:rsidRDefault="00C8799D" w:rsidP="00C8799D">
      <w:pPr>
        <w:pStyle w:val="11style"/>
        <w:rPr>
          <w:lang w:val="en-US"/>
        </w:rPr>
      </w:pPr>
      <w:r w:rsidRPr="00C8799D">
        <w:rPr>
          <w:lang w:val="en-US"/>
        </w:rPr>
        <w:t xml:space="preserve">Legal practitioners or litigants should also consider the gender pronouns of a person and provide the Court with information as to the appropriate gender pronouns. </w:t>
      </w:r>
    </w:p>
    <w:p w:rsidR="00C8799D" w:rsidRPr="00C8799D" w:rsidRDefault="00C8799D" w:rsidP="00C8799D">
      <w:pPr>
        <w:pStyle w:val="11style"/>
        <w:rPr>
          <w:lang w:val="en-US"/>
        </w:rPr>
      </w:pPr>
      <w:r w:rsidRPr="00C8799D">
        <w:rPr>
          <w:lang w:val="en-US"/>
        </w:rPr>
        <w:t>This includes, but is not limited to, counsel, parties, children, witnesses, interpreters, solicitors, and entities.</w:t>
      </w:r>
      <w:bookmarkStart w:id="2" w:name="_GoBack"/>
      <w:bookmarkEnd w:id="2"/>
    </w:p>
    <w:p w:rsidR="00C8799D" w:rsidRPr="00C8799D" w:rsidRDefault="00C8799D" w:rsidP="001E1CBF">
      <w:pPr>
        <w:pStyle w:val="11style"/>
        <w:keepNext/>
        <w:rPr>
          <w:lang w:val="en-US"/>
        </w:rPr>
      </w:pPr>
      <w:r w:rsidRPr="00C8799D">
        <w:lastRenderedPageBreak/>
        <w:t>Guidance may be provided:</w:t>
      </w:r>
    </w:p>
    <w:p w:rsidR="00C8799D" w:rsidRPr="00C8799D" w:rsidRDefault="00C8799D" w:rsidP="00C8799D">
      <w:pPr>
        <w:pStyle w:val="astyle"/>
      </w:pPr>
      <w:r w:rsidRPr="00C8799D">
        <w:t xml:space="preserve">by email to the Chambers of the presiding judicial officer, in close proximity to the date of the hearing or court event, and may form part of other permissible correspondence that is generally addressed to Chambers prior to a hearing, in accordance with the protocol on </w:t>
      </w:r>
      <w:hyperlink r:id="rId8" w:history="1">
        <w:r w:rsidRPr="00C8799D">
          <w:rPr>
            <w:u w:val="single"/>
          </w:rPr>
          <w:t>communicating with Chambers</w:t>
        </w:r>
      </w:hyperlink>
      <w:r w:rsidRPr="00C8799D">
        <w:t>;</w:t>
      </w:r>
    </w:p>
    <w:p w:rsidR="00C8799D" w:rsidRPr="00C8799D" w:rsidRDefault="00C8799D" w:rsidP="00C8799D">
      <w:pPr>
        <w:pStyle w:val="astyle"/>
        <w:rPr>
          <w:lang w:val="en-US"/>
        </w:rPr>
      </w:pPr>
      <w:r w:rsidRPr="00C8799D">
        <w:t>in a case outline, summary document or written submissions, where the name of a party, counsel, witness or other relevant person appears;</w:t>
      </w:r>
    </w:p>
    <w:p w:rsidR="00C8799D" w:rsidRPr="00C8799D" w:rsidRDefault="00C8799D" w:rsidP="00C8799D">
      <w:pPr>
        <w:pStyle w:val="astyle"/>
        <w:rPr>
          <w:lang w:val="en-US"/>
        </w:rPr>
      </w:pPr>
      <w:proofErr w:type="gramStart"/>
      <w:r w:rsidRPr="00C8799D">
        <w:t>when</w:t>
      </w:r>
      <w:proofErr w:type="gramEnd"/>
      <w:r w:rsidRPr="00C8799D">
        <w:t xml:space="preserve"> entering an appearance with the Associate or Court Officer prior to a hearing or court event commencing. </w:t>
      </w:r>
    </w:p>
    <w:p w:rsidR="00C8799D" w:rsidRPr="00C8799D" w:rsidRDefault="00C8799D" w:rsidP="00C8799D">
      <w:pPr>
        <w:pStyle w:val="11style"/>
        <w:rPr>
          <w:lang w:val="en-US"/>
        </w:rPr>
      </w:pPr>
      <w:r w:rsidRPr="00C8799D">
        <w:rPr>
          <w:lang w:val="en-US"/>
        </w:rPr>
        <w:t>Guidance may be provided as to:</w:t>
      </w:r>
    </w:p>
    <w:p w:rsidR="00C8799D" w:rsidRPr="00C8799D" w:rsidRDefault="00C8799D" w:rsidP="00C8799D">
      <w:pPr>
        <w:pStyle w:val="astyle"/>
        <w:rPr>
          <w:i/>
          <w:lang w:val="en-US"/>
        </w:rPr>
      </w:pPr>
      <w:proofErr w:type="gramStart"/>
      <w:r w:rsidRPr="00C8799D">
        <w:rPr>
          <w:lang w:val="en-US"/>
        </w:rPr>
        <w:t>the</w:t>
      </w:r>
      <w:proofErr w:type="gramEnd"/>
      <w:r w:rsidRPr="00C8799D">
        <w:rPr>
          <w:lang w:val="en-US"/>
        </w:rPr>
        <w:t xml:space="preserve"> pronunciation of names by inserting the phonetic spelling of the name in square brackets directly after the name. For example: “</w:t>
      </w:r>
      <w:r w:rsidRPr="00C8799D">
        <w:rPr>
          <w:i/>
          <w:lang w:val="en-US"/>
        </w:rPr>
        <w:t xml:space="preserve">The Applicant intends to call </w:t>
      </w:r>
      <w:proofErr w:type="spellStart"/>
      <w:r w:rsidRPr="00C8799D">
        <w:rPr>
          <w:i/>
          <w:lang w:val="en-US"/>
        </w:rPr>
        <w:t>Mr</w:t>
      </w:r>
      <w:proofErr w:type="spellEnd"/>
      <w:r w:rsidRPr="00C8799D">
        <w:rPr>
          <w:i/>
          <w:lang w:val="en-US"/>
        </w:rPr>
        <w:t xml:space="preserve"> Tim </w:t>
      </w:r>
      <w:proofErr w:type="spellStart"/>
      <w:r w:rsidRPr="00C8799D">
        <w:rPr>
          <w:i/>
          <w:lang w:val="en-US"/>
        </w:rPr>
        <w:t>Soutphommasane</w:t>
      </w:r>
      <w:proofErr w:type="spellEnd"/>
      <w:r w:rsidRPr="00C8799D">
        <w:rPr>
          <w:i/>
          <w:lang w:val="en-US"/>
        </w:rPr>
        <w:t xml:space="preserve"> [Soot-</w:t>
      </w:r>
      <w:proofErr w:type="spellStart"/>
      <w:r w:rsidRPr="00C8799D">
        <w:rPr>
          <w:i/>
          <w:lang w:val="en-US"/>
        </w:rPr>
        <w:t>pom</w:t>
      </w:r>
      <w:proofErr w:type="spellEnd"/>
      <w:r w:rsidRPr="00C8799D">
        <w:rPr>
          <w:i/>
          <w:lang w:val="en-US"/>
        </w:rPr>
        <w:t>-ma-</w:t>
      </w:r>
      <w:proofErr w:type="spellStart"/>
      <w:r w:rsidRPr="00C8799D">
        <w:rPr>
          <w:i/>
          <w:lang w:val="en-US"/>
        </w:rPr>
        <w:t>sarn</w:t>
      </w:r>
      <w:proofErr w:type="spellEnd"/>
      <w:r w:rsidRPr="00C8799D">
        <w:rPr>
          <w:i/>
          <w:lang w:val="en-US"/>
        </w:rPr>
        <w:t>] as an expert witness”</w:t>
      </w:r>
      <w:r w:rsidRPr="00C8799D">
        <w:rPr>
          <w:lang w:val="en-US"/>
        </w:rPr>
        <w:t>;</w:t>
      </w:r>
    </w:p>
    <w:p w:rsidR="00C8799D" w:rsidRPr="00C8799D" w:rsidRDefault="00C8799D" w:rsidP="00C8799D">
      <w:pPr>
        <w:pStyle w:val="astyle"/>
        <w:rPr>
          <w:i/>
          <w:lang w:val="en-US"/>
        </w:rPr>
      </w:pPr>
      <w:proofErr w:type="gramStart"/>
      <w:r w:rsidRPr="00C8799D">
        <w:rPr>
          <w:lang w:val="en-US"/>
        </w:rPr>
        <w:t>the</w:t>
      </w:r>
      <w:proofErr w:type="gramEnd"/>
      <w:r w:rsidRPr="00C8799D">
        <w:rPr>
          <w:lang w:val="en-US"/>
        </w:rPr>
        <w:t xml:space="preserve"> gender pronouns of a person in square brackets directly after the name by inserting the appropriate pronoun. For </w:t>
      </w:r>
      <w:proofErr w:type="gramStart"/>
      <w:r w:rsidRPr="00C8799D">
        <w:rPr>
          <w:lang w:val="en-US"/>
        </w:rPr>
        <w:t>example:</w:t>
      </w:r>
      <w:proofErr w:type="gramEnd"/>
      <w:r w:rsidRPr="00C8799D">
        <w:rPr>
          <w:lang w:val="en-US"/>
        </w:rPr>
        <w:t xml:space="preserve"> </w:t>
      </w:r>
      <w:r w:rsidRPr="00C8799D">
        <w:rPr>
          <w:i/>
          <w:lang w:val="en-US"/>
        </w:rPr>
        <w:t xml:space="preserve">“The Respondent [they/them]…” </w:t>
      </w:r>
      <w:r w:rsidRPr="00C8799D">
        <w:rPr>
          <w:lang w:val="en-US"/>
        </w:rPr>
        <w:t>or</w:t>
      </w:r>
      <w:r w:rsidRPr="00C8799D">
        <w:rPr>
          <w:i/>
          <w:lang w:val="en-US"/>
        </w:rPr>
        <w:t xml:space="preserve"> “The Respondent uses the pronouns ‘they/them’”</w:t>
      </w:r>
      <w:r w:rsidR="004B21A0">
        <w:rPr>
          <w:lang w:val="en-US"/>
        </w:rPr>
        <w:t>.</w:t>
      </w:r>
    </w:p>
    <w:p w:rsidR="00C8799D" w:rsidRPr="00C8799D" w:rsidRDefault="00C8799D" w:rsidP="00C8799D">
      <w:pPr>
        <w:pStyle w:val="11style"/>
        <w:rPr>
          <w:lang w:val="en-US"/>
        </w:rPr>
      </w:pPr>
      <w:r w:rsidRPr="00C8799D">
        <w:rPr>
          <w:lang w:val="en-US"/>
        </w:rPr>
        <w:t>Prior to a hearing or court event, if the Court asks parties for appearances and other preliminary information, legal practitioners or litigants should, where appropriate, provide the Court with the correct pronunciation of names and gender pronouns.</w:t>
      </w:r>
    </w:p>
    <w:p w:rsidR="00C8799D" w:rsidRPr="00C8799D" w:rsidRDefault="00C8799D" w:rsidP="00C8799D">
      <w:pPr>
        <w:pStyle w:val="Heading2"/>
        <w:rPr>
          <w:lang w:val="en-US"/>
        </w:rPr>
      </w:pPr>
      <w:bookmarkStart w:id="3" w:name="4._SELF-REPRESENTED_LITIGANTS"/>
      <w:bookmarkStart w:id="4" w:name="5._CLARIFICATION_BY_THE_COURT"/>
      <w:bookmarkEnd w:id="3"/>
      <w:bookmarkEnd w:id="4"/>
      <w:r w:rsidRPr="00C8799D">
        <w:rPr>
          <w:lang w:val="en-US"/>
        </w:rPr>
        <w:t>CLARIFICATION BY THE COURT</w:t>
      </w:r>
    </w:p>
    <w:p w:rsidR="001E1CBF" w:rsidRPr="001E1CBF" w:rsidRDefault="00C8799D" w:rsidP="001E1CBF">
      <w:pPr>
        <w:pStyle w:val="11style"/>
        <w:rPr>
          <w:lang w:val="en-US"/>
        </w:rPr>
      </w:pPr>
      <w:r w:rsidRPr="00C8799D">
        <w:rPr>
          <w:lang w:val="en-US"/>
        </w:rPr>
        <w:t xml:space="preserve">Should the Court wish to clarify the correct pronunciation of any name or the appropriate gender pronoun to </w:t>
      </w:r>
      <w:proofErr w:type="gramStart"/>
      <w:r w:rsidRPr="00C8799D">
        <w:rPr>
          <w:lang w:val="en-US"/>
        </w:rPr>
        <w:t>be used</w:t>
      </w:r>
      <w:proofErr w:type="gramEnd"/>
      <w:r w:rsidRPr="00C8799D">
        <w:rPr>
          <w:lang w:val="en-US"/>
        </w:rPr>
        <w:t xml:space="preserve">, the Court may contact the parties. A judicial officer may also seek clarification during the proceedings by asking for clarification. Practitioners must therefore know the correct pronunciation of all names and the appropriate pronouns </w:t>
      </w:r>
      <w:r>
        <w:rPr>
          <w:lang w:val="en-US"/>
        </w:rPr>
        <w:t>for those involved in the case.</w:t>
      </w:r>
      <w:r w:rsidR="001E1CBF">
        <w:br w:type="page"/>
      </w:r>
    </w:p>
    <w:p w:rsidR="007138EE" w:rsidRDefault="007138EE" w:rsidP="008A4735">
      <w:pPr>
        <w:spacing w:line="240" w:lineRule="auto"/>
        <w:jc w:val="right"/>
      </w:pPr>
      <w:r>
        <w:lastRenderedPageBreak/>
        <w:t xml:space="preserve">The Honourable Justice William </w:t>
      </w:r>
      <w:proofErr w:type="spellStart"/>
      <w:r>
        <w:t>Alstergren</w:t>
      </w:r>
      <w:proofErr w:type="spellEnd"/>
      <w:r w:rsidR="00C8799D">
        <w:t xml:space="preserve"> AO</w:t>
      </w:r>
    </w:p>
    <w:p w:rsidR="007138EE" w:rsidRDefault="007138EE" w:rsidP="008A4735">
      <w:pPr>
        <w:spacing w:line="240" w:lineRule="auto"/>
        <w:jc w:val="right"/>
      </w:pPr>
      <w:r>
        <w:t>Chief Justice (Division 1) | Chief Judge (Division 2)</w:t>
      </w:r>
    </w:p>
    <w:p w:rsidR="007138EE" w:rsidRDefault="007138EE" w:rsidP="008A4735">
      <w:pPr>
        <w:spacing w:line="240" w:lineRule="auto"/>
        <w:jc w:val="right"/>
      </w:pPr>
      <w:r>
        <w:t>Federal Circuit and Family Court of Australia</w:t>
      </w:r>
    </w:p>
    <w:p w:rsidR="007138EE" w:rsidRPr="007138EE" w:rsidRDefault="007138EE" w:rsidP="002F5B17">
      <w:pPr>
        <w:spacing w:line="240" w:lineRule="auto"/>
        <w:jc w:val="right"/>
      </w:pPr>
      <w:r>
        <w:t xml:space="preserve">Date: </w:t>
      </w:r>
      <w:r w:rsidR="006948F2">
        <w:t>4 August</w:t>
      </w:r>
      <w:r w:rsidR="002F5B17">
        <w:t xml:space="preserve"> 2023</w:t>
      </w:r>
    </w:p>
    <w:sectPr w:rsidR="007138EE" w:rsidRPr="007138EE" w:rsidSect="00904C01">
      <w:footerReference w:type="default" r:id="rId9"/>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DFA" w:rsidRDefault="009E4DFA" w:rsidP="00904C01">
      <w:pPr>
        <w:spacing w:before="0" w:after="0" w:line="240" w:lineRule="auto"/>
      </w:pPr>
      <w:r>
        <w:separator/>
      </w:r>
    </w:p>
  </w:endnote>
  <w:endnote w:type="continuationSeparator" w:id="0">
    <w:p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rsidR="00904C01" w:rsidRDefault="00904C01" w:rsidP="000E4C96">
        <w:pPr>
          <w:pStyle w:val="Footer"/>
          <w:jc w:val="right"/>
        </w:pPr>
        <w:r>
          <w:fldChar w:fldCharType="begin"/>
        </w:r>
        <w:r>
          <w:instrText xml:space="preserve"> PAGE   \* MERGEFORMAT </w:instrText>
        </w:r>
        <w:r>
          <w:fldChar w:fldCharType="separate"/>
        </w:r>
        <w:r w:rsidR="008F5DAE">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DFA" w:rsidRDefault="009E4DFA" w:rsidP="00904C01">
      <w:pPr>
        <w:spacing w:before="0" w:after="0" w:line="240" w:lineRule="auto"/>
      </w:pPr>
      <w:r>
        <w:separator/>
      </w:r>
    </w:p>
  </w:footnote>
  <w:footnote w:type="continuationSeparator" w:id="0">
    <w:p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94B9E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5C0DC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21C35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2ACE6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BB8E33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D861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90FC4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13820E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31EABB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788A6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939689AC"/>
    <w:lvl w:ilvl="0">
      <w:start w:val="1"/>
      <w:numFmt w:val="decimal"/>
      <w:pStyle w:val="Heading2"/>
      <w:lvlText w:val="%1."/>
      <w:lvlJc w:val="left"/>
      <w:pPr>
        <w:ind w:left="567" w:hanging="567"/>
      </w:pPr>
      <w:rPr>
        <w:rFonts w:ascii="Arial" w:hAnsi="Arial" w:hint="default"/>
        <w:b/>
        <w:i w:val="0"/>
        <w:sz w:val="28"/>
      </w:rPr>
    </w:lvl>
    <w:lvl w:ilvl="1">
      <w:start w:val="1"/>
      <w:numFmt w:val="decimal"/>
      <w:pStyle w:val="11style"/>
      <w:lvlText w:val="%1.%2"/>
      <w:lvlJc w:val="left"/>
      <w:pPr>
        <w:ind w:left="567" w:hanging="567"/>
      </w:pPr>
      <w:rPr>
        <w:rFonts w:ascii="Arial" w:hAnsi="Arial" w:hint="default"/>
        <w:b w:val="0"/>
        <w:i w:val="0"/>
        <w:sz w:val="24"/>
      </w:rPr>
    </w:lvl>
    <w:lvl w:ilvl="2">
      <w:start w:val="1"/>
      <w:numFmt w:val="lowerLetter"/>
      <w:pStyle w:val="astyle"/>
      <w:lvlText w:val="(%3)"/>
      <w:lvlJc w:val="left"/>
      <w:pPr>
        <w:ind w:left="1134" w:hanging="567"/>
      </w:pPr>
      <w:rPr>
        <w:rFonts w:ascii="Arial" w:hAnsi="Arial" w:hint="default"/>
        <w:b w:val="0"/>
        <w:i w:val="0"/>
        <w:sz w:val="24"/>
      </w:rPr>
    </w:lvl>
    <w:lvl w:ilvl="3">
      <w:start w:val="1"/>
      <w:numFmt w:val="lowerRoman"/>
      <w:pStyle w:val="istyle"/>
      <w:lvlText w:val="(%4)"/>
      <w:lvlJc w:val="left"/>
      <w:pPr>
        <w:ind w:left="1701" w:hanging="567"/>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6543788"/>
    <w:multiLevelType w:val="multilevel"/>
    <w:tmpl w:val="406268B0"/>
    <w:lvl w:ilvl="0">
      <w:start w:val="1"/>
      <w:numFmt w:val="decimal"/>
      <w:lvlText w:val="%1."/>
      <w:lvlJc w:val="left"/>
      <w:pPr>
        <w:ind w:left="741" w:hanging="626"/>
      </w:pPr>
      <w:rPr>
        <w:rFonts w:ascii="Calibri" w:eastAsia="Calibri" w:hAnsi="Calibri" w:cs="Calibri" w:hint="default"/>
        <w:b/>
        <w:bCs/>
        <w:i w:val="0"/>
        <w:iCs w:val="0"/>
        <w:spacing w:val="-2"/>
        <w:w w:val="100"/>
        <w:sz w:val="24"/>
        <w:szCs w:val="24"/>
        <w:lang w:val="en-US" w:eastAsia="en-US" w:bidi="ar-SA"/>
      </w:rPr>
    </w:lvl>
    <w:lvl w:ilvl="1">
      <w:start w:val="1"/>
      <w:numFmt w:val="decimal"/>
      <w:lvlText w:val="%1.%2"/>
      <w:lvlJc w:val="left"/>
      <w:pPr>
        <w:ind w:left="741" w:hanging="626"/>
      </w:pPr>
      <w:rPr>
        <w:rFonts w:ascii="Calibri" w:eastAsia="Calibri" w:hAnsi="Calibri" w:cs="Calibri" w:hint="default"/>
        <w:b w:val="0"/>
        <w:bCs w:val="0"/>
        <w:i w:val="0"/>
        <w:iCs w:val="0"/>
        <w:spacing w:val="-2"/>
        <w:w w:val="100"/>
        <w:sz w:val="24"/>
        <w:szCs w:val="24"/>
        <w:lang w:val="en-US" w:eastAsia="en-US" w:bidi="ar-SA"/>
      </w:rPr>
    </w:lvl>
    <w:lvl w:ilvl="2">
      <w:numFmt w:val="bullet"/>
      <w:lvlText w:val="•"/>
      <w:lvlJc w:val="left"/>
      <w:pPr>
        <w:ind w:left="2565" w:hanging="626"/>
      </w:pPr>
      <w:rPr>
        <w:rFonts w:hint="default"/>
        <w:lang w:val="en-US" w:eastAsia="en-US" w:bidi="ar-SA"/>
      </w:rPr>
    </w:lvl>
    <w:lvl w:ilvl="3">
      <w:numFmt w:val="bullet"/>
      <w:lvlText w:val="•"/>
      <w:lvlJc w:val="left"/>
      <w:pPr>
        <w:ind w:left="3477" w:hanging="626"/>
      </w:pPr>
      <w:rPr>
        <w:rFonts w:hint="default"/>
        <w:lang w:val="en-US" w:eastAsia="en-US" w:bidi="ar-SA"/>
      </w:rPr>
    </w:lvl>
    <w:lvl w:ilvl="4">
      <w:numFmt w:val="bullet"/>
      <w:lvlText w:val="•"/>
      <w:lvlJc w:val="left"/>
      <w:pPr>
        <w:ind w:left="4390" w:hanging="626"/>
      </w:pPr>
      <w:rPr>
        <w:rFonts w:hint="default"/>
        <w:lang w:val="en-US" w:eastAsia="en-US" w:bidi="ar-SA"/>
      </w:rPr>
    </w:lvl>
    <w:lvl w:ilvl="5">
      <w:numFmt w:val="bullet"/>
      <w:lvlText w:val="•"/>
      <w:lvlJc w:val="left"/>
      <w:pPr>
        <w:ind w:left="5302" w:hanging="626"/>
      </w:pPr>
      <w:rPr>
        <w:rFonts w:hint="default"/>
        <w:lang w:val="en-US" w:eastAsia="en-US" w:bidi="ar-SA"/>
      </w:rPr>
    </w:lvl>
    <w:lvl w:ilvl="6">
      <w:numFmt w:val="bullet"/>
      <w:lvlText w:val="•"/>
      <w:lvlJc w:val="left"/>
      <w:pPr>
        <w:ind w:left="6215" w:hanging="626"/>
      </w:pPr>
      <w:rPr>
        <w:rFonts w:hint="default"/>
        <w:lang w:val="en-US" w:eastAsia="en-US" w:bidi="ar-SA"/>
      </w:rPr>
    </w:lvl>
    <w:lvl w:ilvl="7">
      <w:numFmt w:val="bullet"/>
      <w:lvlText w:val="•"/>
      <w:lvlJc w:val="left"/>
      <w:pPr>
        <w:ind w:left="7127" w:hanging="626"/>
      </w:pPr>
      <w:rPr>
        <w:rFonts w:hint="default"/>
        <w:lang w:val="en-US" w:eastAsia="en-US" w:bidi="ar-SA"/>
      </w:rPr>
    </w:lvl>
    <w:lvl w:ilvl="8">
      <w:numFmt w:val="bullet"/>
      <w:lvlText w:val="•"/>
      <w:lvlJc w:val="left"/>
      <w:pPr>
        <w:ind w:left="8040" w:hanging="626"/>
      </w:pPr>
      <w:rPr>
        <w:rFonts w:hint="default"/>
        <w:lang w:val="en-US" w:eastAsia="en-US" w:bidi="ar-SA"/>
      </w:rPr>
    </w:lvl>
  </w:abstractNum>
  <w:abstractNum w:abstractNumId="27"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8FB0B09"/>
    <w:multiLevelType w:val="multilevel"/>
    <w:tmpl w:val="8826AA84"/>
    <w:lvl w:ilvl="0">
      <w:start w:val="1"/>
      <w:numFmt w:val="decimal"/>
      <w:pStyle w:val="Heading1"/>
      <w:lvlText w:val="%1."/>
      <w:lvlJc w:val="left"/>
      <w:pPr>
        <w:ind w:left="360" w:hanging="360"/>
      </w:pPr>
      <w:rPr>
        <w:rFonts w:ascii="Arial" w:hAnsi="Arial" w:hint="default"/>
        <w:b/>
        <w:i w:val="0"/>
        <w:sz w:val="28"/>
      </w:rPr>
    </w:lvl>
    <w:lvl w:ilvl="1">
      <w:start w:val="1"/>
      <w:numFmt w:val="decimal"/>
      <w:lvlText w:val="%1.%2."/>
      <w:lvlJc w:val="left"/>
      <w:pPr>
        <w:ind w:left="567" w:hanging="567"/>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tabs>
          <w:tab w:val="num" w:pos="1247"/>
        </w:tabs>
        <w:ind w:left="1134" w:hanging="567"/>
      </w:pPr>
      <w:rPr>
        <w:rFonts w:ascii="Arial" w:hAnsi="Arial" w:hint="default"/>
        <w:b w:val="0"/>
        <w:i w:val="0"/>
        <w:sz w:val="24"/>
      </w:rPr>
    </w:lvl>
    <w:lvl w:ilvl="3">
      <w:start w:val="1"/>
      <w:numFmt w:val="lowerRoman"/>
      <w:lvlText w:val="(%4)"/>
      <w:lvlJc w:val="left"/>
      <w:pPr>
        <w:ind w:left="1701" w:hanging="454"/>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8"/>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30"/>
  </w:num>
  <w:num w:numId="27">
    <w:abstractNumId w:val="19"/>
  </w:num>
  <w:num w:numId="28">
    <w:abstractNumId w:val="24"/>
  </w:num>
  <w:num w:numId="29">
    <w:abstractNumId w:val="19"/>
  </w:num>
  <w:num w:numId="30">
    <w:abstractNumId w:val="23"/>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num>
  <w:num w:numId="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0A368E"/>
    <w:rsid w:val="000D0609"/>
    <w:rsid w:val="000E4C96"/>
    <w:rsid w:val="001213C2"/>
    <w:rsid w:val="00121B29"/>
    <w:rsid w:val="001A5C20"/>
    <w:rsid w:val="001E1CBF"/>
    <w:rsid w:val="001E4814"/>
    <w:rsid w:val="00216368"/>
    <w:rsid w:val="00231762"/>
    <w:rsid w:val="002770A9"/>
    <w:rsid w:val="002C3B0F"/>
    <w:rsid w:val="002F5B17"/>
    <w:rsid w:val="0033761D"/>
    <w:rsid w:val="003B2DA2"/>
    <w:rsid w:val="003D5C9C"/>
    <w:rsid w:val="004B21A0"/>
    <w:rsid w:val="004B2631"/>
    <w:rsid w:val="004F36D9"/>
    <w:rsid w:val="004F7C4F"/>
    <w:rsid w:val="005B1791"/>
    <w:rsid w:val="006948F2"/>
    <w:rsid w:val="006A4613"/>
    <w:rsid w:val="006A652A"/>
    <w:rsid w:val="006B4279"/>
    <w:rsid w:val="007138EE"/>
    <w:rsid w:val="00734378"/>
    <w:rsid w:val="00743380"/>
    <w:rsid w:val="007A24E2"/>
    <w:rsid w:val="007A2D45"/>
    <w:rsid w:val="007A5C76"/>
    <w:rsid w:val="008A4735"/>
    <w:rsid w:val="008F5DAE"/>
    <w:rsid w:val="00904C01"/>
    <w:rsid w:val="0097766C"/>
    <w:rsid w:val="0098768F"/>
    <w:rsid w:val="009C4016"/>
    <w:rsid w:val="009E4DFA"/>
    <w:rsid w:val="00B42E14"/>
    <w:rsid w:val="00B700F7"/>
    <w:rsid w:val="00B70972"/>
    <w:rsid w:val="00B83B32"/>
    <w:rsid w:val="00C2764D"/>
    <w:rsid w:val="00C85AD3"/>
    <w:rsid w:val="00C8799D"/>
    <w:rsid w:val="00DC4837"/>
    <w:rsid w:val="00E110B8"/>
    <w:rsid w:val="00E327F2"/>
    <w:rsid w:val="00E833AB"/>
    <w:rsid w:val="00E918EE"/>
    <w:rsid w:val="00EA6ABC"/>
    <w:rsid w:val="00EC3FB7"/>
    <w:rsid w:val="00EE64D1"/>
    <w:rsid w:val="00F33852"/>
    <w:rsid w:val="00F464DC"/>
    <w:rsid w:val="00F570A8"/>
    <w:rsid w:val="00F618D0"/>
    <w:rsid w:val="00F81C49"/>
    <w:rsid w:val="00F92135"/>
    <w:rsid w:val="00FA3944"/>
    <w:rsid w:val="00FA66DF"/>
    <w:rsid w:val="00FE6709"/>
    <w:rsid w:val="00FE70D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2620EE7F"/>
  <w15:chartTrackingRefBased/>
  <w15:docId w15:val="{0D9B8123-58FE-476A-A4FB-2254CD33F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numPr>
        <w:numId w:val="32"/>
      </w:numPr>
      <w:jc w:val="center"/>
      <w:outlineLvl w:val="0"/>
    </w:pPr>
    <w:rPr>
      <w:rFonts w:eastAsiaTheme="majorEastAsia" w:cstheme="majorBidi"/>
      <w:b/>
      <w:caps/>
      <w:sz w:val="40"/>
      <w:szCs w:val="32"/>
    </w:rPr>
  </w:style>
  <w:style w:type="paragraph" w:styleId="Heading2">
    <w:name w:val="heading 2"/>
    <w:basedOn w:val="Normal"/>
    <w:next w:val="Normal"/>
    <w:link w:val="Heading2Char"/>
    <w:uiPriority w:val="9"/>
    <w:unhideWhenUsed/>
    <w:qFormat/>
    <w:rsid w:val="00EC3FB7"/>
    <w:pPr>
      <w:keepNext/>
      <w:keepLines/>
      <w:numPr>
        <w:numId w:val="29"/>
      </w:numPr>
      <w:outlineLvl w:val="1"/>
    </w:pPr>
    <w:rPr>
      <w:rFonts w:eastAsiaTheme="majorEastAsia" w:cstheme="majorBidi"/>
      <w:b/>
      <w:caps/>
      <w:sz w:val="28"/>
      <w:szCs w:val="24"/>
    </w:rPr>
  </w:style>
  <w:style w:type="paragraph" w:styleId="Heading3">
    <w:name w:val="heading 3"/>
    <w:basedOn w:val="Normal"/>
    <w:next w:val="Normal"/>
    <w:link w:val="Heading3Char"/>
    <w:uiPriority w:val="9"/>
    <w:unhideWhenUsed/>
    <w:qFormat/>
    <w:rsid w:val="00EC3FB7"/>
    <w:pPr>
      <w:outlineLvl w:val="2"/>
    </w:pPr>
    <w:rPr>
      <w:b/>
      <w:i/>
    </w:rPr>
  </w:style>
  <w:style w:type="paragraph" w:styleId="Heading4">
    <w:name w:val="heading 4"/>
    <w:basedOn w:val="Heading5"/>
    <w:next w:val="Normal"/>
    <w:link w:val="Heading4Char"/>
    <w:uiPriority w:val="9"/>
    <w:unhideWhenUsed/>
    <w:qFormat/>
    <w:rsid w:val="007A24E2"/>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E327F2"/>
    <w:p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E327F2"/>
    <w:pPr>
      <w:outlineLvl w:val="6"/>
    </w:pPr>
    <w:rPr>
      <w:rFonts w:eastAsiaTheme="majorEastAsia" w:cstheme="majorBidi"/>
      <w:iCs/>
    </w:rPr>
  </w:style>
  <w:style w:type="paragraph" w:styleId="Heading8">
    <w:name w:val="heading 8"/>
    <w:basedOn w:val="Normal"/>
    <w:next w:val="Normal"/>
    <w:link w:val="Heading8Char"/>
    <w:uiPriority w:val="9"/>
    <w:unhideWhenUsed/>
    <w:qFormat/>
    <w:rsid w:val="00E327F2"/>
    <w:p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EC3FB7"/>
    <w:rPr>
      <w:rFonts w:ascii="Arial" w:eastAsiaTheme="majorEastAsia" w:hAnsi="Arial" w:cstheme="majorBidi"/>
      <w:b/>
      <w:caps/>
      <w:sz w:val="28"/>
      <w:szCs w:val="24"/>
    </w:rPr>
  </w:style>
  <w:style w:type="character" w:customStyle="1" w:styleId="Heading4Char">
    <w:name w:val="Heading 4 Char"/>
    <w:basedOn w:val="DefaultParagraphFont"/>
    <w:link w:val="Heading4"/>
    <w:uiPriority w:val="9"/>
    <w:rsid w:val="007A24E2"/>
    <w:rPr>
      <w:rFonts w:ascii="Arial" w:eastAsiaTheme="majorEastAsia" w:hAnsi="Arial" w:cstheme="majorBidi"/>
      <w:i/>
      <w:sz w:val="24"/>
    </w:rPr>
  </w:style>
  <w:style w:type="character" w:customStyle="1" w:styleId="Heading3Char">
    <w:name w:val="Heading 3 Char"/>
    <w:basedOn w:val="DefaultParagraphFont"/>
    <w:link w:val="Heading3"/>
    <w:uiPriority w:val="9"/>
    <w:rsid w:val="00EC3FB7"/>
    <w:rPr>
      <w:rFonts w:ascii="Arial" w:hAnsi="Arial"/>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E327F2"/>
    <w:rPr>
      <w:rFonts w:ascii="Arial" w:eastAsiaTheme="majorEastAsia" w:hAnsi="Arial" w:cstheme="majorBidi"/>
      <w:sz w:val="24"/>
    </w:rPr>
  </w:style>
  <w:style w:type="character" w:customStyle="1" w:styleId="Heading7Char">
    <w:name w:val="Heading 7 Char"/>
    <w:basedOn w:val="DefaultParagraphFont"/>
    <w:link w:val="Heading7"/>
    <w:uiPriority w:val="9"/>
    <w:rsid w:val="00E327F2"/>
    <w:rPr>
      <w:rFonts w:ascii="Arial" w:eastAsiaTheme="majorEastAsia" w:hAnsi="Arial" w:cstheme="majorBidi"/>
      <w:iCs/>
      <w:sz w:val="24"/>
    </w:rPr>
  </w:style>
  <w:style w:type="character" w:customStyle="1" w:styleId="Heading8Char">
    <w:name w:val="Heading 8 Char"/>
    <w:basedOn w:val="DefaultParagraphFont"/>
    <w:link w:val="Heading8"/>
    <w:uiPriority w:val="9"/>
    <w:rsid w:val="00E327F2"/>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Normal"/>
    <w:next w:val="Normal"/>
    <w:autoRedefine/>
    <w:qFormat/>
    <w:rsid w:val="00FA66DF"/>
    <w:pPr>
      <w:numPr>
        <w:ilvl w:val="1"/>
        <w:numId w:val="29"/>
      </w:numPr>
    </w:pPr>
  </w:style>
  <w:style w:type="paragraph" w:customStyle="1" w:styleId="astyle">
    <w:name w:val="(a) style"/>
    <w:basedOn w:val="Normal"/>
    <w:autoRedefine/>
    <w:qFormat/>
    <w:rsid w:val="001213C2"/>
    <w:pPr>
      <w:numPr>
        <w:ilvl w:val="2"/>
        <w:numId w:val="29"/>
      </w:numPr>
    </w:pPr>
  </w:style>
  <w:style w:type="paragraph" w:customStyle="1" w:styleId="istyle">
    <w:name w:val="(i) style"/>
    <w:basedOn w:val="Normal"/>
    <w:autoRedefine/>
    <w:qFormat/>
    <w:rsid w:val="00FE70D1"/>
    <w:pPr>
      <w:numPr>
        <w:ilvl w:val="3"/>
        <w:numId w:val="29"/>
      </w:numPr>
    </w:pPr>
  </w:style>
  <w:style w:type="paragraph" w:customStyle="1" w:styleId="Astyle0">
    <w:name w:val="A style"/>
    <w:basedOn w:val="Normal"/>
    <w:qFormat/>
    <w:rsid w:val="008A4735"/>
    <w:pPr>
      <w:ind w:left="2268" w:hanging="567"/>
    </w:pPr>
  </w:style>
  <w:style w:type="paragraph" w:styleId="BalloonText">
    <w:name w:val="Balloon Text"/>
    <w:basedOn w:val="Normal"/>
    <w:link w:val="BalloonTextChar"/>
    <w:uiPriority w:val="99"/>
    <w:semiHidden/>
    <w:unhideWhenUsed/>
    <w:rsid w:val="00FE6709"/>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670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363847">
      <w:bodyDiv w:val="1"/>
      <w:marLeft w:val="0"/>
      <w:marRight w:val="0"/>
      <w:marTop w:val="0"/>
      <w:marBottom w:val="0"/>
      <w:divBdr>
        <w:top w:val="none" w:sz="0" w:space="0" w:color="auto"/>
        <w:left w:val="none" w:sz="0" w:space="0" w:color="auto"/>
        <w:bottom w:val="none" w:sz="0" w:space="0" w:color="auto"/>
        <w:right w:val="none" w:sz="0" w:space="0" w:color="auto"/>
      </w:divBdr>
    </w:div>
    <w:div w:id="1491140760">
      <w:bodyDiv w:val="1"/>
      <w:marLeft w:val="0"/>
      <w:marRight w:val="0"/>
      <w:marTop w:val="0"/>
      <w:marBottom w:val="0"/>
      <w:divBdr>
        <w:top w:val="none" w:sz="0" w:space="0" w:color="auto"/>
        <w:left w:val="none" w:sz="0" w:space="0" w:color="auto"/>
        <w:bottom w:val="none" w:sz="0" w:space="0" w:color="auto"/>
        <w:right w:val="none" w:sz="0" w:space="0" w:color="auto"/>
      </w:divBdr>
    </w:div>
    <w:div w:id="205692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family-law/attending-court/communicating-chambers"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512</Words>
  <Characters>2925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Family Law Practice Direction - Child support and child maintenance proceedings</vt:lpstr>
    </vt:vector>
  </TitlesOfParts>
  <Company/>
  <LinksUpToDate>false</LinksUpToDate>
  <CharactersWithSpaces>3431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FCFCOA Information Notice: Pronunciation of names &amp; forms of address</dc:title>
  <dc:subject>Child support</dc:subject>
  <dc:creator>Federal Circuit and Family Court of Australia</dc:creator>
  <cp:keywords/>
  <dc:description/>
  <cp:lastModifiedBy>Christine Tuff</cp:lastModifiedBy>
  <cp:revision>4</cp:revision>
  <dcterms:created xsi:type="dcterms:W3CDTF">2023-08-03T23:46:00Z</dcterms:created>
  <dcterms:modified xsi:type="dcterms:W3CDTF">2023-08-04T00:10:00Z</dcterms:modified>
</cp:coreProperties>
</file>