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6C3" w:rsidRPr="0017312B" w:rsidRDefault="00621578" w:rsidP="00DB4406">
      <w:pPr>
        <w:spacing w:before="120" w:after="840"/>
        <w:ind w:right="-330"/>
        <w:jc w:val="right"/>
        <w:rPr>
          <w:b/>
          <w:color w:val="04526C"/>
        </w:rPr>
      </w:pPr>
      <w:r w:rsidRPr="00B6760C">
        <w:rPr>
          <w:noProof/>
          <w:lang w:eastAsia="en-AU"/>
        </w:rPr>
        <w:drawing>
          <wp:anchor distT="0" distB="0" distL="114300" distR="114300" simplePos="0" relativeHeight="251659264" behindDoc="1" locked="0" layoutInCell="1" allowOverlap="1" wp14:anchorId="5EFF399C" wp14:editId="0051F1B0">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bookmarkStart w:id="0" w:name="_GoBack"/>
      <w:bookmarkEnd w:id="0"/>
      <w:r w:rsidR="000163E0">
        <w:rPr>
          <w:b/>
          <w:color w:val="04526C"/>
        </w:rPr>
        <w:t>4</w:t>
      </w:r>
      <w:r w:rsidR="00662F5A">
        <w:rPr>
          <w:b/>
          <w:color w:val="04526C"/>
        </w:rPr>
        <w:t xml:space="preserve"> July</w:t>
      </w:r>
      <w:r w:rsidR="00F4189F">
        <w:rPr>
          <w:b/>
          <w:color w:val="04526C"/>
        </w:rPr>
        <w:t xml:space="preserve"> 2</w:t>
      </w:r>
      <w:r w:rsidR="00904332" w:rsidRPr="0017312B">
        <w:rPr>
          <w:b/>
          <w:color w:val="04526C"/>
        </w:rPr>
        <w:t>02</w:t>
      </w:r>
      <w:r w:rsidR="00DB4406">
        <w:rPr>
          <w:b/>
          <w:color w:val="04526C"/>
        </w:rPr>
        <w:t>3</w:t>
      </w:r>
    </w:p>
    <w:p w:rsidR="000D08F0" w:rsidRDefault="000D08F0" w:rsidP="0017312B">
      <w:pPr>
        <w:pStyle w:val="Heading1"/>
      </w:pPr>
      <w:r>
        <w:t xml:space="preserve">Media Release: </w:t>
      </w:r>
      <w:r w:rsidR="00F5363A">
        <w:t xml:space="preserve">Federal Circuit and Family Court of Australia </w:t>
      </w:r>
      <w:r w:rsidR="00662F5A">
        <w:t>secures</w:t>
      </w:r>
      <w:r w:rsidR="00B46B84">
        <w:t xml:space="preserve"> court premises in Burnie</w:t>
      </w:r>
    </w:p>
    <w:p w:rsidR="00F4189F" w:rsidRPr="00271D74" w:rsidRDefault="00EC45EE" w:rsidP="00C058B5">
      <w:pPr>
        <w:spacing w:after="0"/>
        <w:ind w:right="0"/>
        <w:jc w:val="both"/>
        <w:rPr>
          <w:rFonts w:asciiTheme="majorHAnsi" w:eastAsiaTheme="majorEastAsia" w:hAnsiTheme="majorHAnsi" w:cstheme="majorBidi"/>
          <w:b/>
          <w:color w:val="04526C"/>
        </w:rPr>
      </w:pPr>
      <w:r>
        <w:rPr>
          <w:rFonts w:asciiTheme="majorHAnsi" w:eastAsiaTheme="majorEastAsia" w:hAnsiTheme="majorHAnsi" w:cstheme="majorBidi"/>
          <w:b/>
          <w:color w:val="04526C"/>
        </w:rPr>
        <w:t>T</w:t>
      </w:r>
      <w:r w:rsidR="00F4189F" w:rsidRPr="00712D8B">
        <w:rPr>
          <w:rFonts w:asciiTheme="majorHAnsi" w:eastAsiaTheme="majorEastAsia" w:hAnsiTheme="majorHAnsi" w:cstheme="majorBidi"/>
          <w:b/>
          <w:color w:val="04526C"/>
        </w:rPr>
        <w:t xml:space="preserve">he </w:t>
      </w:r>
      <w:r w:rsidR="00CD59FE" w:rsidRPr="00712D8B">
        <w:rPr>
          <w:rFonts w:asciiTheme="majorHAnsi" w:eastAsiaTheme="majorEastAsia" w:hAnsiTheme="majorHAnsi" w:cstheme="majorBidi"/>
          <w:b/>
          <w:color w:val="04526C"/>
        </w:rPr>
        <w:t xml:space="preserve">Federal Circuit and Family Court of Australia </w:t>
      </w:r>
      <w:r w:rsidR="008E4BC9">
        <w:rPr>
          <w:rFonts w:asciiTheme="majorHAnsi" w:eastAsiaTheme="majorEastAsia" w:hAnsiTheme="majorHAnsi" w:cstheme="majorBidi"/>
          <w:b/>
          <w:color w:val="04526C"/>
        </w:rPr>
        <w:t>(FCFC</w:t>
      </w:r>
      <w:r>
        <w:rPr>
          <w:rFonts w:asciiTheme="majorHAnsi" w:eastAsiaTheme="majorEastAsia" w:hAnsiTheme="majorHAnsi" w:cstheme="majorBidi"/>
          <w:b/>
          <w:color w:val="04526C"/>
        </w:rPr>
        <w:t>O</w:t>
      </w:r>
      <w:r w:rsidR="008E4BC9">
        <w:rPr>
          <w:rFonts w:asciiTheme="majorHAnsi" w:eastAsiaTheme="majorEastAsia" w:hAnsiTheme="majorHAnsi" w:cstheme="majorBidi"/>
          <w:b/>
          <w:color w:val="04526C"/>
        </w:rPr>
        <w:t xml:space="preserve">A) </w:t>
      </w:r>
      <w:r w:rsidR="00C45203">
        <w:rPr>
          <w:rFonts w:asciiTheme="majorHAnsi" w:eastAsiaTheme="majorEastAsia" w:hAnsiTheme="majorHAnsi" w:cstheme="majorBidi"/>
          <w:b/>
          <w:color w:val="04526C"/>
        </w:rPr>
        <w:t xml:space="preserve">secures </w:t>
      </w:r>
      <w:r w:rsidR="008E4BC9">
        <w:rPr>
          <w:rFonts w:asciiTheme="majorHAnsi" w:eastAsiaTheme="majorEastAsia" w:hAnsiTheme="majorHAnsi" w:cstheme="majorBidi"/>
          <w:b/>
          <w:color w:val="04526C"/>
        </w:rPr>
        <w:t xml:space="preserve">temporary </w:t>
      </w:r>
      <w:r w:rsidR="00CD59FE" w:rsidRPr="00712D8B">
        <w:rPr>
          <w:rFonts w:asciiTheme="majorHAnsi" w:eastAsiaTheme="majorEastAsia" w:hAnsiTheme="majorHAnsi" w:cstheme="majorBidi"/>
          <w:b/>
          <w:color w:val="04526C"/>
        </w:rPr>
        <w:t xml:space="preserve">court facilities </w:t>
      </w:r>
      <w:r>
        <w:rPr>
          <w:rFonts w:asciiTheme="majorHAnsi" w:eastAsiaTheme="majorEastAsia" w:hAnsiTheme="majorHAnsi" w:cstheme="majorBidi"/>
          <w:b/>
          <w:color w:val="04526C"/>
        </w:rPr>
        <w:t xml:space="preserve">at the Supreme Court of Tasmania </w:t>
      </w:r>
      <w:r w:rsidR="00C45203">
        <w:rPr>
          <w:rFonts w:asciiTheme="majorHAnsi" w:eastAsiaTheme="majorEastAsia" w:hAnsiTheme="majorHAnsi" w:cstheme="majorBidi"/>
          <w:b/>
          <w:color w:val="04526C"/>
        </w:rPr>
        <w:t>in Burnie</w:t>
      </w:r>
      <w:r w:rsidR="00271D74">
        <w:rPr>
          <w:rFonts w:asciiTheme="majorHAnsi" w:eastAsiaTheme="majorEastAsia" w:hAnsiTheme="majorHAnsi" w:cstheme="majorBidi"/>
          <w:b/>
          <w:color w:val="04526C"/>
        </w:rPr>
        <w:t>.</w:t>
      </w:r>
    </w:p>
    <w:p w:rsidR="008E4BC9" w:rsidRDefault="00C94D88" w:rsidP="00271D74">
      <w:pPr>
        <w:spacing w:before="240" w:after="0"/>
        <w:ind w:right="425"/>
        <w:rPr>
          <w:rFonts w:ascii="Calibri" w:hAnsi="Calibri" w:cs="Calibri"/>
          <w:color w:val="212121"/>
        </w:rPr>
      </w:pPr>
      <w:r w:rsidRPr="00B36F99">
        <w:rPr>
          <w:rFonts w:eastAsia="Times New Roman" w:cstheme="minorHAnsi"/>
          <w:bCs/>
          <w:lang w:eastAsia="zh-CN"/>
        </w:rPr>
        <w:t xml:space="preserve">Chief Justice Alstergren said </w:t>
      </w:r>
      <w:r w:rsidR="00F34CCF">
        <w:rPr>
          <w:rFonts w:eastAsia="Times New Roman" w:cstheme="minorHAnsi"/>
          <w:bCs/>
          <w:lang w:eastAsia="zh-CN"/>
        </w:rPr>
        <w:t xml:space="preserve">that he is </w:t>
      </w:r>
      <w:r w:rsidR="008E4BC9">
        <w:rPr>
          <w:rFonts w:ascii="Calibri" w:hAnsi="Calibri" w:cs="Calibri"/>
          <w:color w:val="212121"/>
        </w:rPr>
        <w:t xml:space="preserve">delighted to confirm that the Courts have reached an agreement with the Chief Justice of the Supreme Court of Tasmania, the Hon Alan Blow AO, enabling the Federal Circuit and Family Court of Australia to hold hearings in the Burnie </w:t>
      </w:r>
      <w:r w:rsidR="00EC45EE">
        <w:rPr>
          <w:rFonts w:ascii="Calibri" w:hAnsi="Calibri" w:cs="Calibri"/>
          <w:color w:val="212121"/>
        </w:rPr>
        <w:t>c</w:t>
      </w:r>
      <w:r w:rsidR="008E4BC9">
        <w:rPr>
          <w:rFonts w:ascii="Calibri" w:hAnsi="Calibri" w:cs="Calibri"/>
          <w:color w:val="212121"/>
        </w:rPr>
        <w:t>ourt</w:t>
      </w:r>
      <w:r w:rsidR="00EC45EE">
        <w:rPr>
          <w:rFonts w:ascii="Calibri" w:hAnsi="Calibri" w:cs="Calibri"/>
          <w:color w:val="212121"/>
        </w:rPr>
        <w:t>h</w:t>
      </w:r>
      <w:r w:rsidR="008E4BC9">
        <w:rPr>
          <w:rFonts w:ascii="Calibri" w:hAnsi="Calibri" w:cs="Calibri"/>
          <w:color w:val="212121"/>
        </w:rPr>
        <w:t>ouse as an interim measure</w:t>
      </w:r>
      <w:r w:rsidR="00EF756C">
        <w:rPr>
          <w:rFonts w:ascii="Calibri" w:hAnsi="Calibri" w:cs="Calibri"/>
          <w:color w:val="212121"/>
        </w:rPr>
        <w:t xml:space="preserve">. The Courts are hopeful that a permanent solution will be made available when </w:t>
      </w:r>
      <w:r w:rsidR="008E4BC9">
        <w:rPr>
          <w:rFonts w:ascii="Calibri" w:hAnsi="Calibri" w:cs="Calibri"/>
          <w:color w:val="212121"/>
        </w:rPr>
        <w:t>the new Burnie Court facility is built in a few years’ time.</w:t>
      </w:r>
    </w:p>
    <w:p w:rsidR="008E4BC9" w:rsidRDefault="008E4BC9" w:rsidP="00271D74">
      <w:pPr>
        <w:pStyle w:val="NormalWeb"/>
        <w:spacing w:before="240" w:beforeAutospacing="0" w:after="0" w:afterAutospacing="0"/>
        <w:rPr>
          <w:rFonts w:ascii="Calibri" w:hAnsi="Calibri" w:cs="Calibri"/>
          <w:color w:val="212121"/>
          <w:sz w:val="22"/>
          <w:szCs w:val="22"/>
        </w:rPr>
      </w:pPr>
      <w:r>
        <w:rPr>
          <w:rFonts w:ascii="Calibri" w:hAnsi="Calibri" w:cs="Calibri"/>
          <w:color w:val="212121"/>
          <w:sz w:val="22"/>
          <w:szCs w:val="22"/>
        </w:rPr>
        <w:t>“</w:t>
      </w:r>
      <w:r w:rsidR="00EF756C">
        <w:rPr>
          <w:rFonts w:ascii="Calibri" w:hAnsi="Calibri" w:cs="Calibri"/>
          <w:color w:val="212121"/>
          <w:sz w:val="22"/>
          <w:szCs w:val="22"/>
        </w:rPr>
        <w:t xml:space="preserve">The </w:t>
      </w:r>
      <w:r w:rsidR="00EC45EE">
        <w:rPr>
          <w:rFonts w:ascii="Calibri" w:hAnsi="Calibri" w:cs="Calibri"/>
          <w:color w:val="212121"/>
          <w:sz w:val="22"/>
          <w:szCs w:val="22"/>
        </w:rPr>
        <w:t>Supreme Court of Tasmania in</w:t>
      </w:r>
      <w:r w:rsidR="00EF756C">
        <w:rPr>
          <w:rFonts w:ascii="Calibri" w:hAnsi="Calibri" w:cs="Calibri"/>
          <w:color w:val="212121"/>
          <w:sz w:val="22"/>
          <w:szCs w:val="22"/>
        </w:rPr>
        <w:t xml:space="preserve"> Burnie</w:t>
      </w:r>
      <w:r>
        <w:rPr>
          <w:rFonts w:ascii="Calibri" w:hAnsi="Calibri" w:cs="Calibri"/>
          <w:color w:val="212121"/>
          <w:sz w:val="22"/>
          <w:szCs w:val="22"/>
        </w:rPr>
        <w:t xml:space="preserve"> provides a safe and appropriate facility for the people of Northern Tasmania in which to have their family law cases heard. </w:t>
      </w:r>
    </w:p>
    <w:p w:rsidR="00F34CCF" w:rsidRDefault="008E4BC9" w:rsidP="00271D74">
      <w:pPr>
        <w:pStyle w:val="NormalWeb"/>
        <w:spacing w:before="240" w:beforeAutospacing="0" w:after="0" w:afterAutospacing="0"/>
        <w:rPr>
          <w:rFonts w:ascii="Calibri" w:hAnsi="Calibri" w:cs="Calibri"/>
          <w:color w:val="212121"/>
          <w:sz w:val="22"/>
          <w:szCs w:val="22"/>
        </w:rPr>
      </w:pPr>
      <w:r>
        <w:rPr>
          <w:rFonts w:ascii="Calibri" w:hAnsi="Calibri" w:cs="Calibri"/>
          <w:color w:val="212121"/>
          <w:sz w:val="22"/>
          <w:szCs w:val="22"/>
        </w:rPr>
        <w:t xml:space="preserve">“Our courts are grateful to the Hon Chief Justice Blow and </w:t>
      </w:r>
      <w:r w:rsidR="00EF756C">
        <w:rPr>
          <w:rFonts w:ascii="Calibri" w:hAnsi="Calibri" w:cs="Calibri"/>
          <w:color w:val="212121"/>
          <w:sz w:val="22"/>
          <w:szCs w:val="22"/>
        </w:rPr>
        <w:t xml:space="preserve">the Hon </w:t>
      </w:r>
      <w:r>
        <w:rPr>
          <w:rFonts w:ascii="Calibri" w:hAnsi="Calibri" w:cs="Calibri"/>
          <w:color w:val="212121"/>
          <w:sz w:val="22"/>
          <w:szCs w:val="22"/>
        </w:rPr>
        <w:t xml:space="preserve">Justice </w:t>
      </w:r>
      <w:proofErr w:type="spellStart"/>
      <w:r>
        <w:rPr>
          <w:rFonts w:ascii="Calibri" w:hAnsi="Calibri" w:cs="Calibri"/>
          <w:color w:val="212121"/>
          <w:sz w:val="22"/>
          <w:szCs w:val="22"/>
        </w:rPr>
        <w:t>Jago</w:t>
      </w:r>
      <w:proofErr w:type="spellEnd"/>
      <w:r>
        <w:rPr>
          <w:rFonts w:ascii="Calibri" w:hAnsi="Calibri" w:cs="Calibri"/>
          <w:color w:val="212121"/>
          <w:sz w:val="22"/>
          <w:szCs w:val="22"/>
        </w:rPr>
        <w:t xml:space="preserve"> for their understanding and cooperation to address the situation. We look forward to continuing to work with them, together with the Commonwealth and Tasmanian Attorney</w:t>
      </w:r>
      <w:r w:rsidR="00EF756C">
        <w:rPr>
          <w:rFonts w:ascii="Calibri" w:hAnsi="Calibri" w:cs="Calibri"/>
          <w:color w:val="212121"/>
          <w:sz w:val="22"/>
          <w:szCs w:val="22"/>
        </w:rPr>
        <w:t>s</w:t>
      </w:r>
      <w:r>
        <w:rPr>
          <w:rFonts w:ascii="Calibri" w:hAnsi="Calibri" w:cs="Calibri"/>
          <w:color w:val="212121"/>
          <w:sz w:val="22"/>
          <w:szCs w:val="22"/>
        </w:rPr>
        <w:t>-General</w:t>
      </w:r>
      <w:r w:rsidR="00EF756C">
        <w:rPr>
          <w:rFonts w:ascii="Calibri" w:hAnsi="Calibri" w:cs="Calibri"/>
          <w:color w:val="212121"/>
          <w:sz w:val="22"/>
          <w:szCs w:val="22"/>
        </w:rPr>
        <w:t>,</w:t>
      </w:r>
      <w:r>
        <w:rPr>
          <w:rFonts w:ascii="Calibri" w:hAnsi="Calibri" w:cs="Calibri"/>
          <w:color w:val="212121"/>
          <w:sz w:val="22"/>
          <w:szCs w:val="22"/>
        </w:rPr>
        <w:t xml:space="preserve"> to provide adequate space </w:t>
      </w:r>
      <w:r w:rsidR="00EF756C">
        <w:rPr>
          <w:rFonts w:ascii="Calibri" w:hAnsi="Calibri" w:cs="Calibri"/>
          <w:color w:val="212121"/>
          <w:sz w:val="22"/>
          <w:szCs w:val="22"/>
        </w:rPr>
        <w:t xml:space="preserve">for </w:t>
      </w:r>
      <w:r>
        <w:rPr>
          <w:rFonts w:ascii="Calibri" w:hAnsi="Calibri" w:cs="Calibri"/>
          <w:color w:val="212121"/>
          <w:sz w:val="22"/>
          <w:szCs w:val="22"/>
        </w:rPr>
        <w:t>the FCFC</w:t>
      </w:r>
      <w:r w:rsidR="00EF756C">
        <w:rPr>
          <w:rFonts w:ascii="Calibri" w:hAnsi="Calibri" w:cs="Calibri"/>
          <w:color w:val="212121"/>
          <w:sz w:val="22"/>
          <w:szCs w:val="22"/>
        </w:rPr>
        <w:t>O</w:t>
      </w:r>
      <w:r>
        <w:rPr>
          <w:rFonts w:ascii="Calibri" w:hAnsi="Calibri" w:cs="Calibri"/>
          <w:color w:val="212121"/>
          <w:sz w:val="22"/>
          <w:szCs w:val="22"/>
        </w:rPr>
        <w:t>A in the planning and development of the new court premises in Burnie.</w:t>
      </w:r>
    </w:p>
    <w:p w:rsidR="008E4BC9" w:rsidRDefault="00F34CCF" w:rsidP="00271D74">
      <w:pPr>
        <w:pStyle w:val="NormalWeb"/>
        <w:spacing w:before="240" w:beforeAutospacing="0" w:after="0" w:afterAutospacing="0"/>
        <w:rPr>
          <w:rFonts w:ascii="Calibri" w:hAnsi="Calibri" w:cs="Calibri"/>
          <w:color w:val="212121"/>
          <w:sz w:val="22"/>
          <w:szCs w:val="22"/>
        </w:rPr>
      </w:pPr>
      <w:r>
        <w:rPr>
          <w:rFonts w:ascii="Calibri" w:hAnsi="Calibri" w:cs="Calibri"/>
          <w:color w:val="212121"/>
          <w:sz w:val="22"/>
          <w:szCs w:val="22"/>
        </w:rPr>
        <w:t>Importantly, t</w:t>
      </w:r>
      <w:r w:rsidR="008E4BC9">
        <w:rPr>
          <w:rFonts w:ascii="Calibri" w:hAnsi="Calibri" w:cs="Calibri"/>
          <w:color w:val="212121"/>
          <w:sz w:val="22"/>
          <w:szCs w:val="22"/>
        </w:rPr>
        <w:t>he Courts would also like to thank the Senators</w:t>
      </w:r>
      <w:r w:rsidR="00EF756C">
        <w:rPr>
          <w:rFonts w:ascii="Calibri" w:hAnsi="Calibri" w:cs="Calibri"/>
          <w:color w:val="212121"/>
          <w:sz w:val="22"/>
          <w:szCs w:val="22"/>
        </w:rPr>
        <w:t xml:space="preserve"> and MPs</w:t>
      </w:r>
      <w:r w:rsidR="008E4BC9">
        <w:rPr>
          <w:rFonts w:ascii="Calibri" w:hAnsi="Calibri" w:cs="Calibri"/>
          <w:color w:val="212121"/>
          <w:sz w:val="22"/>
          <w:szCs w:val="22"/>
        </w:rPr>
        <w:t xml:space="preserve"> both State and Federal, the </w:t>
      </w:r>
      <w:r w:rsidR="00EC45EE">
        <w:rPr>
          <w:rFonts w:ascii="Calibri" w:hAnsi="Calibri" w:cs="Calibri"/>
          <w:color w:val="212121"/>
          <w:sz w:val="22"/>
          <w:szCs w:val="22"/>
        </w:rPr>
        <w:t>Burnie City Council Mayor</w:t>
      </w:r>
      <w:r w:rsidR="00EC45EE">
        <w:rPr>
          <w:rFonts w:asciiTheme="minorHAnsi" w:hAnsiTheme="minorHAnsi" w:cstheme="minorHAnsi"/>
          <w:bCs/>
          <w:sz w:val="22"/>
          <w:szCs w:val="22"/>
          <w:lang w:eastAsia="zh-CN"/>
        </w:rPr>
        <w:t>, the Central Coast Council Mayor,</w:t>
      </w:r>
      <w:r w:rsidRPr="000F79DC">
        <w:rPr>
          <w:rFonts w:asciiTheme="minorHAnsi" w:hAnsiTheme="minorHAnsi" w:cstheme="minorHAnsi"/>
          <w:bCs/>
          <w:sz w:val="22"/>
          <w:szCs w:val="22"/>
          <w:lang w:eastAsia="zh-CN"/>
        </w:rPr>
        <w:t xml:space="preserve"> </w:t>
      </w:r>
      <w:r w:rsidR="008E4BC9">
        <w:rPr>
          <w:rFonts w:ascii="Calibri" w:hAnsi="Calibri" w:cs="Calibri"/>
          <w:color w:val="212121"/>
          <w:sz w:val="22"/>
          <w:szCs w:val="22"/>
        </w:rPr>
        <w:t>council</w:t>
      </w:r>
      <w:r>
        <w:rPr>
          <w:rFonts w:ascii="Calibri" w:hAnsi="Calibri" w:cs="Calibri"/>
          <w:color w:val="212121"/>
          <w:sz w:val="22"/>
          <w:szCs w:val="22"/>
        </w:rPr>
        <w:t xml:space="preserve"> staff</w:t>
      </w:r>
      <w:r w:rsidR="008E4BC9">
        <w:rPr>
          <w:rFonts w:ascii="Calibri" w:hAnsi="Calibri" w:cs="Calibri"/>
          <w:color w:val="212121"/>
          <w:sz w:val="22"/>
          <w:szCs w:val="22"/>
        </w:rPr>
        <w:t xml:space="preserve">, </w:t>
      </w:r>
      <w:r>
        <w:rPr>
          <w:rFonts w:ascii="Calibri" w:hAnsi="Calibri" w:cs="Calibri"/>
          <w:color w:val="212121"/>
          <w:sz w:val="22"/>
          <w:szCs w:val="22"/>
        </w:rPr>
        <w:t xml:space="preserve">the </w:t>
      </w:r>
      <w:r w:rsidR="008E4BC9">
        <w:rPr>
          <w:rFonts w:ascii="Calibri" w:hAnsi="Calibri" w:cs="Calibri"/>
          <w:color w:val="212121"/>
          <w:sz w:val="22"/>
          <w:szCs w:val="22"/>
        </w:rPr>
        <w:t xml:space="preserve">Law Society, Bar, </w:t>
      </w:r>
      <w:r w:rsidR="00EF756C">
        <w:rPr>
          <w:rFonts w:ascii="Calibri" w:hAnsi="Calibri" w:cs="Calibri"/>
          <w:color w:val="212121"/>
          <w:sz w:val="22"/>
          <w:szCs w:val="22"/>
        </w:rPr>
        <w:t>W</w:t>
      </w:r>
      <w:r w:rsidR="008E4BC9">
        <w:rPr>
          <w:rFonts w:ascii="Calibri" w:hAnsi="Calibri" w:cs="Calibri"/>
          <w:color w:val="212121"/>
          <w:sz w:val="22"/>
          <w:szCs w:val="22"/>
        </w:rPr>
        <w:t xml:space="preserve">omen’s </w:t>
      </w:r>
      <w:r w:rsidR="00EF756C">
        <w:rPr>
          <w:rFonts w:ascii="Calibri" w:hAnsi="Calibri" w:cs="Calibri"/>
          <w:color w:val="212121"/>
          <w:sz w:val="22"/>
          <w:szCs w:val="22"/>
        </w:rPr>
        <w:t>L</w:t>
      </w:r>
      <w:r w:rsidR="008E4BC9">
        <w:rPr>
          <w:rFonts w:ascii="Calibri" w:hAnsi="Calibri" w:cs="Calibri"/>
          <w:color w:val="212121"/>
          <w:sz w:val="22"/>
          <w:szCs w:val="22"/>
        </w:rPr>
        <w:t xml:space="preserve">egal </w:t>
      </w:r>
      <w:r w:rsidR="00EF756C">
        <w:rPr>
          <w:rFonts w:ascii="Calibri" w:hAnsi="Calibri" w:cs="Calibri"/>
          <w:color w:val="212121"/>
          <w:sz w:val="22"/>
          <w:szCs w:val="22"/>
        </w:rPr>
        <w:t xml:space="preserve">Service </w:t>
      </w:r>
      <w:r w:rsidR="008E4BC9">
        <w:rPr>
          <w:rFonts w:ascii="Calibri" w:hAnsi="Calibri" w:cs="Calibri"/>
          <w:color w:val="212121"/>
          <w:sz w:val="22"/>
          <w:szCs w:val="22"/>
        </w:rPr>
        <w:t>and Legal </w:t>
      </w:r>
      <w:r w:rsidR="008E4BC9" w:rsidRPr="008E4BC9">
        <w:rPr>
          <w:rFonts w:ascii="Calibri" w:hAnsi="Calibri" w:cs="Calibri"/>
          <w:color w:val="212121"/>
          <w:sz w:val="22"/>
          <w:szCs w:val="22"/>
        </w:rPr>
        <w:t>Aid for their support and assistance.</w:t>
      </w:r>
      <w:r w:rsidRPr="00F34CCF">
        <w:rPr>
          <w:rFonts w:ascii="Calibri" w:hAnsi="Calibri" w:cs="Calibri"/>
          <w:color w:val="212121"/>
          <w:sz w:val="22"/>
          <w:szCs w:val="22"/>
        </w:rPr>
        <w:t xml:space="preserve"> Extensive consultation also included a number of community members who offered premises for consideration.</w:t>
      </w:r>
    </w:p>
    <w:p w:rsidR="008E4BC9" w:rsidRPr="008E4BC9" w:rsidRDefault="008E4BC9" w:rsidP="00271D74">
      <w:pPr>
        <w:spacing w:before="240" w:after="0"/>
        <w:rPr>
          <w:rFonts w:ascii="Calibri" w:eastAsia="Times New Roman" w:hAnsi="Calibri" w:cs="Calibri"/>
          <w:color w:val="212121"/>
          <w:lang w:eastAsia="en-AU"/>
        </w:rPr>
      </w:pPr>
      <w:r>
        <w:rPr>
          <w:rFonts w:ascii="Calibri" w:eastAsia="Times New Roman" w:hAnsi="Calibri" w:cs="Calibri"/>
          <w:color w:val="212121"/>
          <w:lang w:eastAsia="en-AU"/>
        </w:rPr>
        <w:t>“</w:t>
      </w:r>
      <w:r w:rsidRPr="008E4BC9">
        <w:rPr>
          <w:rFonts w:ascii="Calibri" w:eastAsia="Times New Roman" w:hAnsi="Calibri" w:cs="Calibri"/>
          <w:color w:val="212121"/>
          <w:lang w:eastAsia="en-AU"/>
        </w:rPr>
        <w:t xml:space="preserve">The provision of legal services including </w:t>
      </w:r>
      <w:r w:rsidR="00EC45EE">
        <w:rPr>
          <w:rFonts w:ascii="Calibri" w:eastAsia="Times New Roman" w:hAnsi="Calibri" w:cs="Calibri"/>
          <w:color w:val="212121"/>
          <w:lang w:eastAsia="en-AU"/>
        </w:rPr>
        <w:t>c</w:t>
      </w:r>
      <w:r w:rsidRPr="008E4BC9">
        <w:rPr>
          <w:rFonts w:ascii="Calibri" w:eastAsia="Times New Roman" w:hAnsi="Calibri" w:cs="Calibri"/>
          <w:color w:val="212121"/>
          <w:lang w:eastAsia="en-AU"/>
        </w:rPr>
        <w:t>ourt facilities is vital for access to justice for all Australians</w:t>
      </w:r>
      <w:r>
        <w:rPr>
          <w:rFonts w:ascii="Calibri" w:eastAsia="Times New Roman" w:hAnsi="Calibri" w:cs="Calibri"/>
          <w:color w:val="212121"/>
          <w:lang w:eastAsia="en-AU"/>
        </w:rPr>
        <w:t xml:space="preserve">,” Chief Justice </w:t>
      </w:r>
      <w:proofErr w:type="spellStart"/>
      <w:r>
        <w:rPr>
          <w:rFonts w:ascii="Calibri" w:eastAsia="Times New Roman" w:hAnsi="Calibri" w:cs="Calibri"/>
          <w:color w:val="212121"/>
          <w:lang w:eastAsia="en-AU"/>
        </w:rPr>
        <w:t>Alstergren</w:t>
      </w:r>
      <w:proofErr w:type="spellEnd"/>
      <w:r>
        <w:rPr>
          <w:rFonts w:ascii="Calibri" w:eastAsia="Times New Roman" w:hAnsi="Calibri" w:cs="Calibri"/>
          <w:color w:val="212121"/>
          <w:lang w:eastAsia="en-AU"/>
        </w:rPr>
        <w:t xml:space="preserve"> said</w:t>
      </w:r>
      <w:r w:rsidR="00271D74">
        <w:rPr>
          <w:rFonts w:ascii="Calibri" w:eastAsia="Times New Roman" w:hAnsi="Calibri" w:cs="Calibri"/>
          <w:color w:val="212121"/>
          <w:lang w:eastAsia="en-AU"/>
        </w:rPr>
        <w:t>.</w:t>
      </w:r>
    </w:p>
    <w:p w:rsidR="00F34CCF" w:rsidRDefault="00B46B84" w:rsidP="00271D74">
      <w:pPr>
        <w:autoSpaceDE w:val="0"/>
        <w:autoSpaceDN w:val="0"/>
        <w:adjustRightInd w:val="0"/>
        <w:spacing w:before="240" w:after="0"/>
        <w:ind w:right="0"/>
        <w:rPr>
          <w:rFonts w:eastAsia="Times New Roman" w:cstheme="minorHAnsi"/>
          <w:bCs/>
          <w:lang w:eastAsia="zh-CN"/>
        </w:rPr>
      </w:pPr>
      <w:r>
        <w:rPr>
          <w:rFonts w:eastAsia="Times New Roman" w:cstheme="minorHAnsi"/>
          <w:bCs/>
          <w:lang w:eastAsia="zh-CN"/>
        </w:rPr>
        <w:t>The first sitting week will be conducted the week commencing 28 Augu</w:t>
      </w:r>
      <w:r w:rsidR="00271D74">
        <w:rPr>
          <w:rFonts w:eastAsia="Times New Roman" w:cstheme="minorHAnsi"/>
          <w:bCs/>
          <w:lang w:eastAsia="zh-CN"/>
        </w:rPr>
        <w:t>st, followed by 9 October 2023.</w:t>
      </w:r>
    </w:p>
    <w:sectPr w:rsidR="00F34CCF" w:rsidSect="00837FC0">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7DF7" w:rsidRDefault="00847DF7" w:rsidP="0017312B">
      <w:r>
        <w:separator/>
      </w:r>
    </w:p>
  </w:endnote>
  <w:endnote w:type="continuationSeparator" w:id="0">
    <w:p w:rsidR="00847DF7" w:rsidRDefault="00847DF7"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 w:name="Yu Mincho">
    <w:altName w:val="游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883228817"/>
      <w:docPartObj>
        <w:docPartGallery w:val="Page Numbers (Bottom of Page)"/>
        <w:docPartUnique/>
      </w:docPartObj>
    </w:sdtPr>
    <w:sdtEndPr>
      <w:rPr>
        <w:color w:val="7F7F7F" w:themeColor="background1" w:themeShade="7F"/>
        <w:spacing w:val="60"/>
      </w:rPr>
    </w:sdtEndPr>
    <w:sdtContent>
      <w:p w:rsidR="00D2548B" w:rsidRPr="0017312B" w:rsidRDefault="00D2548B" w:rsidP="0017312B">
        <w:pPr>
          <w:pStyle w:val="Footer"/>
          <w:jc w:val="right"/>
          <w:rPr>
            <w:b/>
            <w:bCs/>
            <w:sz w:val="20"/>
            <w:szCs w:val="20"/>
          </w:rPr>
        </w:pPr>
        <w:r w:rsidRPr="0017312B">
          <w:rPr>
            <w:sz w:val="20"/>
            <w:szCs w:val="20"/>
          </w:rPr>
          <w:fldChar w:fldCharType="begin"/>
        </w:r>
        <w:r w:rsidRPr="0017312B">
          <w:rPr>
            <w:sz w:val="20"/>
            <w:szCs w:val="20"/>
          </w:rPr>
          <w:instrText xml:space="preserve"> PAGE   \* MERGEFORMAT </w:instrText>
        </w:r>
        <w:r w:rsidRPr="0017312B">
          <w:rPr>
            <w:sz w:val="20"/>
            <w:szCs w:val="20"/>
          </w:rPr>
          <w:fldChar w:fldCharType="separate"/>
        </w:r>
        <w:r w:rsidR="00271D74" w:rsidRPr="00271D74">
          <w:rPr>
            <w:b/>
            <w:bCs/>
            <w:noProof/>
            <w:sz w:val="20"/>
            <w:szCs w:val="20"/>
          </w:rPr>
          <w:t>1</w:t>
        </w:r>
        <w:r w:rsidRPr="0017312B">
          <w:rPr>
            <w:b/>
            <w:bCs/>
            <w:noProof/>
            <w:sz w:val="20"/>
            <w:szCs w:val="20"/>
          </w:rPr>
          <w:fldChar w:fldCharType="end"/>
        </w:r>
        <w:r w:rsidRPr="0017312B">
          <w:rPr>
            <w:b/>
            <w:bCs/>
            <w:sz w:val="20"/>
            <w:szCs w:val="20"/>
          </w:rPr>
          <w:t xml:space="preserve"> | </w:t>
        </w:r>
        <w:r w:rsidR="00DB4406">
          <w:rPr>
            <w:color w:val="7F7F7F" w:themeColor="background1" w:themeShade="7F"/>
            <w:spacing w:val="60"/>
            <w:sz w:val="20"/>
            <w:szCs w:val="20"/>
          </w:rPr>
          <w:t>Page</w:t>
        </w:r>
      </w:p>
    </w:sdtContent>
  </w:sdt>
  <w:p w:rsidR="00965ADE" w:rsidRDefault="00582736" w:rsidP="00DB4406">
    <w:r>
      <w:rPr>
        <w:b/>
        <w:bCs/>
        <w:noProof/>
        <w:color w:val="44546A"/>
        <w:lang w:eastAsia="en-AU"/>
      </w:rPr>
      <w:t xml:space="preserve">Denise Healy, </w:t>
    </w:r>
    <w:r>
      <w:rPr>
        <w:noProof/>
        <w:lang w:eastAsia="en-AU"/>
      </w:rPr>
      <w:t>Director – Media &amp; Public Affairs, Federal Circui</w:t>
    </w:r>
    <w:r w:rsidR="00DB4406">
      <w:rPr>
        <w:noProof/>
        <w:lang w:eastAsia="en-AU"/>
      </w:rPr>
      <w:t>t and Family Court of Australia</w:t>
    </w:r>
    <w:r w:rsidR="00DB4406">
      <w:rPr>
        <w:noProof/>
        <w:lang w:eastAsia="en-AU"/>
      </w:rPr>
      <w:br/>
    </w: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7DF7" w:rsidRDefault="00847DF7" w:rsidP="0017312B">
      <w:r>
        <w:separator/>
      </w:r>
    </w:p>
  </w:footnote>
  <w:footnote w:type="continuationSeparator" w:id="0">
    <w:p w:rsidR="00847DF7" w:rsidRDefault="00847DF7" w:rsidP="001731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D31EF6"/>
    <w:multiLevelType w:val="hybridMultilevel"/>
    <w:tmpl w:val="F73A110E"/>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2" w15:restartNumberingAfterBreak="0">
    <w:nsid w:val="24ED405E"/>
    <w:multiLevelType w:val="hybridMultilevel"/>
    <w:tmpl w:val="48C07D64"/>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FB0472A"/>
    <w:multiLevelType w:val="hybridMultilevel"/>
    <w:tmpl w:val="C5CEF7FE"/>
    <w:lvl w:ilvl="0" w:tplc="FA5AFBEA">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163E0"/>
    <w:rsid w:val="00036592"/>
    <w:rsid w:val="0006637E"/>
    <w:rsid w:val="000918EF"/>
    <w:rsid w:val="00091E50"/>
    <w:rsid w:val="000B47F9"/>
    <w:rsid w:val="000C1F89"/>
    <w:rsid w:val="000D08F0"/>
    <w:rsid w:val="000D16D2"/>
    <w:rsid w:val="000D18BD"/>
    <w:rsid w:val="000F79DC"/>
    <w:rsid w:val="00101C4D"/>
    <w:rsid w:val="00112F65"/>
    <w:rsid w:val="00140722"/>
    <w:rsid w:val="00142AE7"/>
    <w:rsid w:val="0017312B"/>
    <w:rsid w:val="001802F6"/>
    <w:rsid w:val="00192A52"/>
    <w:rsid w:val="001E7306"/>
    <w:rsid w:val="00221310"/>
    <w:rsid w:val="00222BCE"/>
    <w:rsid w:val="00265229"/>
    <w:rsid w:val="00271D74"/>
    <w:rsid w:val="002A747B"/>
    <w:rsid w:val="002B26C3"/>
    <w:rsid w:val="002C3438"/>
    <w:rsid w:val="002D0B01"/>
    <w:rsid w:val="00325046"/>
    <w:rsid w:val="003364B9"/>
    <w:rsid w:val="00344A2D"/>
    <w:rsid w:val="00344C32"/>
    <w:rsid w:val="003A02C8"/>
    <w:rsid w:val="003B5C6C"/>
    <w:rsid w:val="003C7D24"/>
    <w:rsid w:val="003D0BAD"/>
    <w:rsid w:val="003E66A1"/>
    <w:rsid w:val="003F50C0"/>
    <w:rsid w:val="00445E08"/>
    <w:rsid w:val="00453247"/>
    <w:rsid w:val="00470C83"/>
    <w:rsid w:val="00475651"/>
    <w:rsid w:val="004B3650"/>
    <w:rsid w:val="004D3BAD"/>
    <w:rsid w:val="004F0938"/>
    <w:rsid w:val="0053594D"/>
    <w:rsid w:val="00542C96"/>
    <w:rsid w:val="00561C39"/>
    <w:rsid w:val="00582736"/>
    <w:rsid w:val="005842F3"/>
    <w:rsid w:val="005D182F"/>
    <w:rsid w:val="005D62A7"/>
    <w:rsid w:val="005F7999"/>
    <w:rsid w:val="00614DB3"/>
    <w:rsid w:val="00621578"/>
    <w:rsid w:val="006301D4"/>
    <w:rsid w:val="00662F5A"/>
    <w:rsid w:val="006A661F"/>
    <w:rsid w:val="006E58CD"/>
    <w:rsid w:val="00712D8B"/>
    <w:rsid w:val="007429CB"/>
    <w:rsid w:val="007518E5"/>
    <w:rsid w:val="007647D3"/>
    <w:rsid w:val="0079437F"/>
    <w:rsid w:val="007B65B6"/>
    <w:rsid w:val="007B6732"/>
    <w:rsid w:val="007C3651"/>
    <w:rsid w:val="007E038D"/>
    <w:rsid w:val="007F2644"/>
    <w:rsid w:val="008277F8"/>
    <w:rsid w:val="00837FC0"/>
    <w:rsid w:val="00847DF7"/>
    <w:rsid w:val="00851312"/>
    <w:rsid w:val="0088272E"/>
    <w:rsid w:val="0088799A"/>
    <w:rsid w:val="008C26C6"/>
    <w:rsid w:val="008C310E"/>
    <w:rsid w:val="008D5DE3"/>
    <w:rsid w:val="008E4BC9"/>
    <w:rsid w:val="00904332"/>
    <w:rsid w:val="00922F97"/>
    <w:rsid w:val="009528D7"/>
    <w:rsid w:val="00965ADE"/>
    <w:rsid w:val="009733DF"/>
    <w:rsid w:val="00977A79"/>
    <w:rsid w:val="00990FA2"/>
    <w:rsid w:val="009942B6"/>
    <w:rsid w:val="009A1ECF"/>
    <w:rsid w:val="009C3689"/>
    <w:rsid w:val="00A11315"/>
    <w:rsid w:val="00A5690C"/>
    <w:rsid w:val="00A77024"/>
    <w:rsid w:val="00A80511"/>
    <w:rsid w:val="00A809CD"/>
    <w:rsid w:val="00AC7B00"/>
    <w:rsid w:val="00AF41C0"/>
    <w:rsid w:val="00B108B0"/>
    <w:rsid w:val="00B222CD"/>
    <w:rsid w:val="00B22813"/>
    <w:rsid w:val="00B36F99"/>
    <w:rsid w:val="00B46B84"/>
    <w:rsid w:val="00B6760C"/>
    <w:rsid w:val="00B711F3"/>
    <w:rsid w:val="00B83755"/>
    <w:rsid w:val="00BB11D0"/>
    <w:rsid w:val="00BE6F74"/>
    <w:rsid w:val="00BF3C71"/>
    <w:rsid w:val="00C058B5"/>
    <w:rsid w:val="00C163A9"/>
    <w:rsid w:val="00C27320"/>
    <w:rsid w:val="00C3204D"/>
    <w:rsid w:val="00C36148"/>
    <w:rsid w:val="00C45203"/>
    <w:rsid w:val="00C64032"/>
    <w:rsid w:val="00C94D88"/>
    <w:rsid w:val="00C9508F"/>
    <w:rsid w:val="00CC4257"/>
    <w:rsid w:val="00CC4C16"/>
    <w:rsid w:val="00CD59FE"/>
    <w:rsid w:val="00CD7330"/>
    <w:rsid w:val="00CF10B9"/>
    <w:rsid w:val="00D06951"/>
    <w:rsid w:val="00D2548B"/>
    <w:rsid w:val="00D45819"/>
    <w:rsid w:val="00D53961"/>
    <w:rsid w:val="00D94DE4"/>
    <w:rsid w:val="00DA43B4"/>
    <w:rsid w:val="00DB0950"/>
    <w:rsid w:val="00DB4406"/>
    <w:rsid w:val="00DC268B"/>
    <w:rsid w:val="00DE6501"/>
    <w:rsid w:val="00E15E05"/>
    <w:rsid w:val="00E2697D"/>
    <w:rsid w:val="00E32FF8"/>
    <w:rsid w:val="00E417FF"/>
    <w:rsid w:val="00E63A3A"/>
    <w:rsid w:val="00E7088B"/>
    <w:rsid w:val="00E9113C"/>
    <w:rsid w:val="00EC45EE"/>
    <w:rsid w:val="00EF6B47"/>
    <w:rsid w:val="00EF756C"/>
    <w:rsid w:val="00F13A7A"/>
    <w:rsid w:val="00F34CCF"/>
    <w:rsid w:val="00F35F93"/>
    <w:rsid w:val="00F4189F"/>
    <w:rsid w:val="00F5363A"/>
    <w:rsid w:val="00F65521"/>
    <w:rsid w:val="00FF7E5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1354885A"/>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paragraph" w:styleId="NoSpacing">
    <w:name w:val="No Spacing"/>
    <w:basedOn w:val="Normal"/>
    <w:uiPriority w:val="1"/>
    <w:qFormat/>
    <w:rsid w:val="00CD59FE"/>
    <w:pPr>
      <w:spacing w:after="0"/>
      <w:ind w:right="0"/>
    </w:pPr>
    <w:rPr>
      <w:rFonts w:ascii="Calibri" w:eastAsia="MS PGothic" w:hAnsi="Calibri" w:cs="Calibri"/>
      <w:lang w:eastAsia="ja-JP"/>
    </w:rPr>
  </w:style>
  <w:style w:type="paragraph" w:customStyle="1" w:styleId="Default">
    <w:name w:val="Default"/>
    <w:rsid w:val="00F4189F"/>
    <w:pPr>
      <w:autoSpaceDE w:val="0"/>
      <w:autoSpaceDN w:val="0"/>
      <w:adjustRightInd w:val="0"/>
      <w:spacing w:after="0" w:line="240" w:lineRule="auto"/>
    </w:pPr>
    <w:rPr>
      <w:rFonts w:ascii="Calibri" w:hAnsi="Calibri" w:cs="Calibri"/>
      <w:color w:val="000000"/>
      <w:sz w:val="24"/>
      <w:szCs w:val="24"/>
    </w:rPr>
  </w:style>
  <w:style w:type="character" w:customStyle="1" w:styleId="ui-provider">
    <w:name w:val="ui-provider"/>
    <w:basedOn w:val="DefaultParagraphFont"/>
    <w:rsid w:val="0088799A"/>
  </w:style>
  <w:style w:type="character" w:styleId="CommentReference">
    <w:name w:val="annotation reference"/>
    <w:basedOn w:val="DefaultParagraphFont"/>
    <w:uiPriority w:val="99"/>
    <w:semiHidden/>
    <w:unhideWhenUsed/>
    <w:rsid w:val="00B711F3"/>
    <w:rPr>
      <w:sz w:val="16"/>
      <w:szCs w:val="16"/>
    </w:rPr>
  </w:style>
  <w:style w:type="paragraph" w:styleId="CommentText">
    <w:name w:val="annotation text"/>
    <w:basedOn w:val="Normal"/>
    <w:link w:val="CommentTextChar"/>
    <w:uiPriority w:val="99"/>
    <w:semiHidden/>
    <w:unhideWhenUsed/>
    <w:rsid w:val="00B711F3"/>
    <w:rPr>
      <w:sz w:val="20"/>
      <w:szCs w:val="20"/>
    </w:rPr>
  </w:style>
  <w:style w:type="character" w:customStyle="1" w:styleId="CommentTextChar">
    <w:name w:val="Comment Text Char"/>
    <w:basedOn w:val="DefaultParagraphFont"/>
    <w:link w:val="CommentText"/>
    <w:uiPriority w:val="99"/>
    <w:semiHidden/>
    <w:rsid w:val="00B711F3"/>
    <w:rPr>
      <w:sz w:val="20"/>
      <w:szCs w:val="20"/>
    </w:rPr>
  </w:style>
  <w:style w:type="paragraph" w:styleId="CommentSubject">
    <w:name w:val="annotation subject"/>
    <w:basedOn w:val="CommentText"/>
    <w:next w:val="CommentText"/>
    <w:link w:val="CommentSubjectChar"/>
    <w:uiPriority w:val="99"/>
    <w:semiHidden/>
    <w:unhideWhenUsed/>
    <w:rsid w:val="00B711F3"/>
    <w:rPr>
      <w:b/>
      <w:bCs/>
    </w:rPr>
  </w:style>
  <w:style w:type="character" w:customStyle="1" w:styleId="CommentSubjectChar">
    <w:name w:val="Comment Subject Char"/>
    <w:basedOn w:val="CommentTextChar"/>
    <w:link w:val="CommentSubject"/>
    <w:uiPriority w:val="99"/>
    <w:semiHidden/>
    <w:rsid w:val="00B711F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104424278">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366057250">
      <w:bodyDiv w:val="1"/>
      <w:marLeft w:val="0"/>
      <w:marRight w:val="0"/>
      <w:marTop w:val="0"/>
      <w:marBottom w:val="0"/>
      <w:divBdr>
        <w:top w:val="none" w:sz="0" w:space="0" w:color="auto"/>
        <w:left w:val="none" w:sz="0" w:space="0" w:color="auto"/>
        <w:bottom w:val="none" w:sz="0" w:space="0" w:color="auto"/>
        <w:right w:val="none" w:sz="0" w:space="0" w:color="auto"/>
      </w:divBdr>
    </w:div>
    <w:div w:id="2047679942">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C5BB74-F234-4466-9226-3144CA90D9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274</Words>
  <Characters>1567</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Media Release: Heading</vt:lpstr>
    </vt:vector>
  </TitlesOfParts>
  <Company>Federal Court of Australia</Company>
  <LinksUpToDate>false</LinksUpToDate>
  <CharactersWithSpaces>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Federal Circuit and Family Court of Australia secures court premises in Burnie</dc:title>
  <dc:subject/>
  <dc:creator>Federal Circuit and Family Court of Australia</dc:creator>
  <cp:keywords/>
  <dc:description/>
  <cp:lastModifiedBy>Christine Tuff</cp:lastModifiedBy>
  <cp:revision>2</cp:revision>
  <cp:lastPrinted>2021-10-14T02:44:00Z</cp:lastPrinted>
  <dcterms:created xsi:type="dcterms:W3CDTF">2023-07-03T06:57:00Z</dcterms:created>
  <dcterms:modified xsi:type="dcterms:W3CDTF">2023-07-03T06:57:00Z</dcterms:modified>
</cp:coreProperties>
</file>