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C9D9D3" w14:textId="77777777" w:rsidR="002B26C3" w:rsidRPr="0017312B" w:rsidRDefault="00621578" w:rsidP="00DB4406">
      <w:pPr>
        <w:spacing w:before="120" w:after="840"/>
        <w:ind w:right="-330"/>
        <w:jc w:val="right"/>
        <w:rPr>
          <w:b/>
          <w:color w:val="04526C"/>
        </w:rPr>
      </w:pPr>
      <w:r>
        <w:rPr>
          <w:noProof/>
          <w:lang w:eastAsia="en-AU"/>
        </w:rPr>
        <w:drawing>
          <wp:anchor distT="0" distB="0" distL="114300" distR="114300" simplePos="0" relativeHeight="251659264" behindDoc="1" locked="0" layoutInCell="1" allowOverlap="1" wp14:anchorId="027B884D" wp14:editId="5828B5EE">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r w:rsidR="00F265C3">
        <w:rPr>
          <w:b/>
          <w:color w:val="04526C"/>
        </w:rPr>
        <w:t>1 June</w:t>
      </w:r>
      <w:r w:rsidR="006D17F9">
        <w:rPr>
          <w:b/>
          <w:color w:val="04526C"/>
        </w:rPr>
        <w:t xml:space="preserve"> 2023</w:t>
      </w:r>
    </w:p>
    <w:p w14:paraId="24B65DD4" w14:textId="77777777" w:rsidR="000D08F0" w:rsidRDefault="000D08F0" w:rsidP="0017312B">
      <w:pPr>
        <w:pStyle w:val="Heading1"/>
      </w:pPr>
      <w:r>
        <w:t xml:space="preserve">Media Release: </w:t>
      </w:r>
      <w:r w:rsidR="00F265C3">
        <w:t>Federal Circuit and Family Court of Australia committed to continuing the Burnie circuit</w:t>
      </w:r>
    </w:p>
    <w:p w14:paraId="033A5042" w14:textId="77777777" w:rsidR="00F265C3" w:rsidRPr="00F265C3" w:rsidRDefault="00F265C3" w:rsidP="00656E68">
      <w:pPr>
        <w:spacing w:before="180" w:after="0" w:line="276" w:lineRule="auto"/>
        <w:ind w:right="425"/>
        <w:rPr>
          <w:rFonts w:eastAsiaTheme="majorEastAsia" w:cstheme="minorHAnsi"/>
        </w:rPr>
      </w:pPr>
      <w:r w:rsidRPr="00F265C3">
        <w:rPr>
          <w:rFonts w:eastAsiaTheme="majorEastAsia" w:cstheme="minorHAnsi"/>
        </w:rPr>
        <w:t xml:space="preserve">The Federal Circuit and Family Court of Australia (Division 2) (‘the Court’) </w:t>
      </w:r>
      <w:r w:rsidR="00C65FAF">
        <w:rPr>
          <w:rFonts w:eastAsiaTheme="majorEastAsia" w:cstheme="minorHAnsi"/>
        </w:rPr>
        <w:t>acknowledges</w:t>
      </w:r>
      <w:r w:rsidRPr="00F265C3">
        <w:rPr>
          <w:rFonts w:eastAsiaTheme="majorEastAsia" w:cstheme="minorHAnsi"/>
        </w:rPr>
        <w:t xml:space="preserve"> the challenges </w:t>
      </w:r>
      <w:r>
        <w:rPr>
          <w:rFonts w:eastAsiaTheme="majorEastAsia" w:cstheme="minorHAnsi"/>
        </w:rPr>
        <w:t>for</w:t>
      </w:r>
      <w:r w:rsidRPr="00F265C3">
        <w:rPr>
          <w:rFonts w:eastAsiaTheme="majorEastAsia" w:cstheme="minorHAnsi"/>
        </w:rPr>
        <w:t xml:space="preserve"> litigants in North West Tasmania </w:t>
      </w:r>
      <w:r w:rsidR="00F60F84">
        <w:rPr>
          <w:rFonts w:eastAsiaTheme="majorEastAsia" w:cstheme="minorHAnsi"/>
        </w:rPr>
        <w:t>as a result of</w:t>
      </w:r>
      <w:r>
        <w:rPr>
          <w:rFonts w:eastAsiaTheme="majorEastAsia" w:cstheme="minorHAnsi"/>
        </w:rPr>
        <w:t xml:space="preserve"> the</w:t>
      </w:r>
      <w:r w:rsidRPr="00F265C3">
        <w:rPr>
          <w:rFonts w:eastAsiaTheme="majorEastAsia" w:cstheme="minorHAnsi"/>
        </w:rPr>
        <w:t xml:space="preserve"> </w:t>
      </w:r>
      <w:r w:rsidR="00986021">
        <w:rPr>
          <w:rFonts w:eastAsiaTheme="majorEastAsia" w:cstheme="minorHAnsi"/>
        </w:rPr>
        <w:t xml:space="preserve">absence of suitable premises </w:t>
      </w:r>
      <w:r w:rsidR="00C65FAF">
        <w:rPr>
          <w:rFonts w:eastAsiaTheme="majorEastAsia" w:cstheme="minorHAnsi"/>
        </w:rPr>
        <w:t>to conduct the Burnie circui</w:t>
      </w:r>
      <w:r w:rsidR="00DA235D">
        <w:rPr>
          <w:rFonts w:eastAsiaTheme="majorEastAsia" w:cstheme="minorHAnsi"/>
        </w:rPr>
        <w:t xml:space="preserve">t. The Court is </w:t>
      </w:r>
      <w:r w:rsidR="00C65FAF">
        <w:rPr>
          <w:rFonts w:eastAsiaTheme="majorEastAsia" w:cstheme="minorHAnsi"/>
        </w:rPr>
        <w:t xml:space="preserve">doing all it can to work with the local, state and </w:t>
      </w:r>
      <w:r w:rsidR="008A6291">
        <w:rPr>
          <w:rFonts w:eastAsiaTheme="majorEastAsia" w:cstheme="minorHAnsi"/>
        </w:rPr>
        <w:t>C</w:t>
      </w:r>
      <w:r w:rsidR="00C65FAF">
        <w:rPr>
          <w:rFonts w:eastAsiaTheme="majorEastAsia" w:cstheme="minorHAnsi"/>
        </w:rPr>
        <w:t>ommonwealth governments to solv</w:t>
      </w:r>
      <w:bookmarkStart w:id="0" w:name="_GoBack"/>
      <w:bookmarkEnd w:id="0"/>
      <w:r w:rsidR="00C65FAF">
        <w:rPr>
          <w:rFonts w:eastAsiaTheme="majorEastAsia" w:cstheme="minorHAnsi"/>
        </w:rPr>
        <w:t>e this issue</w:t>
      </w:r>
      <w:r w:rsidR="009D754F">
        <w:rPr>
          <w:rFonts w:eastAsiaTheme="majorEastAsia" w:cstheme="minorHAnsi"/>
        </w:rPr>
        <w:t xml:space="preserve"> and</w:t>
      </w:r>
      <w:r w:rsidR="00C65FAF">
        <w:rPr>
          <w:rFonts w:eastAsiaTheme="majorEastAsia" w:cstheme="minorHAnsi"/>
        </w:rPr>
        <w:t xml:space="preserve"> </w:t>
      </w:r>
      <w:r w:rsidR="006153AC">
        <w:rPr>
          <w:rFonts w:eastAsiaTheme="majorEastAsia" w:cstheme="minorHAnsi"/>
        </w:rPr>
        <w:t xml:space="preserve">is thankful </w:t>
      </w:r>
      <w:r w:rsidR="009D754F">
        <w:rPr>
          <w:rFonts w:eastAsiaTheme="majorEastAsia" w:cstheme="minorHAnsi"/>
        </w:rPr>
        <w:t>for the assistance it has received to date</w:t>
      </w:r>
      <w:r w:rsidR="006153AC">
        <w:rPr>
          <w:rFonts w:eastAsiaTheme="majorEastAsia" w:cstheme="minorHAnsi"/>
        </w:rPr>
        <w:t>, including from the state Attorney-General and the Department of Justice</w:t>
      </w:r>
      <w:r w:rsidR="00C65FAF">
        <w:rPr>
          <w:rFonts w:eastAsiaTheme="majorEastAsia" w:cstheme="minorHAnsi"/>
        </w:rPr>
        <w:t xml:space="preserve">. All parties are working hard to find a solution for the litigants of North West Tasmania.  </w:t>
      </w:r>
    </w:p>
    <w:p w14:paraId="6F2596F7" w14:textId="77777777" w:rsidR="00F265C3" w:rsidRPr="00F265C3" w:rsidRDefault="00C65FAF" w:rsidP="00656E68">
      <w:pPr>
        <w:spacing w:before="180" w:after="0" w:line="276" w:lineRule="auto"/>
        <w:ind w:right="425"/>
        <w:rPr>
          <w:rFonts w:eastAsiaTheme="majorEastAsia" w:cstheme="minorHAnsi"/>
        </w:rPr>
      </w:pPr>
      <w:r>
        <w:rPr>
          <w:rFonts w:eastAsiaTheme="majorEastAsia" w:cstheme="minorHAnsi"/>
        </w:rPr>
        <w:t>U</w:t>
      </w:r>
      <w:r w:rsidR="00DA235D">
        <w:rPr>
          <w:rFonts w:eastAsiaTheme="majorEastAsia" w:cstheme="minorHAnsi"/>
        </w:rPr>
        <w:t>p to</w:t>
      </w:r>
      <w:r>
        <w:rPr>
          <w:rFonts w:eastAsiaTheme="majorEastAsia" w:cstheme="minorHAnsi"/>
        </w:rPr>
        <w:t xml:space="preserve"> </w:t>
      </w:r>
      <w:r w:rsidR="00F265C3" w:rsidRPr="00F265C3">
        <w:rPr>
          <w:rFonts w:eastAsiaTheme="majorEastAsia" w:cstheme="minorHAnsi"/>
        </w:rPr>
        <w:t xml:space="preserve">December 2021, the Court </w:t>
      </w:r>
      <w:r w:rsidR="00F265C3">
        <w:rPr>
          <w:rFonts w:eastAsiaTheme="majorEastAsia" w:cstheme="minorHAnsi"/>
        </w:rPr>
        <w:t>was able to use the</w:t>
      </w:r>
      <w:r w:rsidR="00F265C3" w:rsidRPr="00F265C3">
        <w:rPr>
          <w:rFonts w:eastAsiaTheme="majorEastAsia" w:cstheme="minorHAnsi"/>
        </w:rPr>
        <w:t xml:space="preserve"> premises of the Burnie Court Complex to provide family law services t</w:t>
      </w:r>
      <w:r w:rsidR="00F265C3">
        <w:rPr>
          <w:rFonts w:eastAsiaTheme="majorEastAsia" w:cstheme="minorHAnsi"/>
        </w:rPr>
        <w:t xml:space="preserve">o families living in </w:t>
      </w:r>
      <w:r w:rsidR="00DA235D">
        <w:rPr>
          <w:rFonts w:eastAsiaTheme="majorEastAsia" w:cstheme="minorHAnsi"/>
        </w:rPr>
        <w:t xml:space="preserve">the region until the appointment of a much needed permanent local judge of the Supreme Court of Tasmania. </w:t>
      </w:r>
    </w:p>
    <w:p w14:paraId="101D7B45" w14:textId="77777777" w:rsidR="00F265C3" w:rsidRDefault="00DA235D" w:rsidP="00656E68">
      <w:pPr>
        <w:spacing w:before="180" w:after="0" w:line="276" w:lineRule="auto"/>
        <w:ind w:right="425"/>
        <w:rPr>
          <w:rFonts w:eastAsiaTheme="majorEastAsia" w:cstheme="minorHAnsi"/>
        </w:rPr>
      </w:pPr>
      <w:r>
        <w:rPr>
          <w:rFonts w:eastAsiaTheme="majorEastAsia" w:cstheme="minorHAnsi"/>
        </w:rPr>
        <w:t>T</w:t>
      </w:r>
      <w:r w:rsidR="00F265C3" w:rsidRPr="00F265C3">
        <w:rPr>
          <w:rFonts w:eastAsiaTheme="majorEastAsia" w:cstheme="minorHAnsi"/>
        </w:rPr>
        <w:t>he Court, with the assistance of the Tasmanian Department of Justice, was</w:t>
      </w:r>
      <w:r w:rsidR="00C65FAF">
        <w:rPr>
          <w:rFonts w:eastAsiaTheme="majorEastAsia" w:cstheme="minorHAnsi"/>
        </w:rPr>
        <w:t xml:space="preserve"> then</w:t>
      </w:r>
      <w:r w:rsidR="00F265C3" w:rsidRPr="00F265C3">
        <w:rPr>
          <w:rFonts w:eastAsiaTheme="majorEastAsia" w:cstheme="minorHAnsi"/>
        </w:rPr>
        <w:t xml:space="preserve"> able to utilise the Burnie Arts and </w:t>
      </w:r>
      <w:r w:rsidR="00F265C3">
        <w:rPr>
          <w:rFonts w:eastAsiaTheme="majorEastAsia" w:cstheme="minorHAnsi"/>
        </w:rPr>
        <w:t>Function Centre to conduct</w:t>
      </w:r>
      <w:r w:rsidR="00F265C3" w:rsidRPr="00F265C3">
        <w:rPr>
          <w:rFonts w:eastAsiaTheme="majorEastAsia" w:cstheme="minorHAnsi"/>
        </w:rPr>
        <w:t xml:space="preserve"> circuits to Burnie. This arrangement continued until April 2023, when renovations commenced at the Burnie Arts and Function Centre. </w:t>
      </w:r>
    </w:p>
    <w:p w14:paraId="560EC215" w14:textId="77777777" w:rsidR="00F265C3" w:rsidRDefault="00F265C3" w:rsidP="00656E68">
      <w:pPr>
        <w:spacing w:before="180" w:after="0" w:line="276" w:lineRule="auto"/>
        <w:ind w:right="425"/>
        <w:rPr>
          <w:rFonts w:eastAsiaTheme="majorEastAsia" w:cstheme="minorHAnsi"/>
        </w:rPr>
      </w:pPr>
      <w:r w:rsidRPr="00F265C3">
        <w:rPr>
          <w:rFonts w:eastAsiaTheme="majorEastAsia" w:cstheme="minorHAnsi"/>
        </w:rPr>
        <w:t xml:space="preserve">Since that time, the Court has worked closely with senior officials from the Tasmanian Department of Justice to explore all other potential premises on the North West Coast that </w:t>
      </w:r>
      <w:r>
        <w:rPr>
          <w:rFonts w:eastAsiaTheme="majorEastAsia" w:cstheme="minorHAnsi"/>
        </w:rPr>
        <w:t>would be</w:t>
      </w:r>
      <w:r w:rsidRPr="00F265C3">
        <w:rPr>
          <w:rFonts w:eastAsiaTheme="majorEastAsia" w:cstheme="minorHAnsi"/>
        </w:rPr>
        <w:t xml:space="preserve"> suitable to safely accommodate the Court and litigants. Unfortunately, no suitable alter</w:t>
      </w:r>
      <w:r w:rsidR="00C65FAF">
        <w:rPr>
          <w:rFonts w:eastAsiaTheme="majorEastAsia" w:cstheme="minorHAnsi"/>
        </w:rPr>
        <w:t>native premises have yet been found.</w:t>
      </w:r>
    </w:p>
    <w:p w14:paraId="0F388C6E" w14:textId="77777777" w:rsidR="00F265C3" w:rsidRDefault="00F265C3" w:rsidP="00656E68">
      <w:pPr>
        <w:spacing w:before="180" w:after="0" w:line="276" w:lineRule="auto"/>
        <w:ind w:right="425"/>
        <w:rPr>
          <w:rFonts w:eastAsiaTheme="majorEastAsia" w:cstheme="minorHAnsi"/>
        </w:rPr>
      </w:pPr>
      <w:r w:rsidRPr="00F265C3">
        <w:rPr>
          <w:rFonts w:eastAsiaTheme="majorEastAsia" w:cstheme="minorHAnsi"/>
        </w:rPr>
        <w:t>The Court, including the Chief Justice and local judges, are actively engaging with local stakeholders to investigate whether a suitable</w:t>
      </w:r>
      <w:r w:rsidR="009D754F">
        <w:rPr>
          <w:rFonts w:eastAsiaTheme="majorEastAsia" w:cstheme="minorHAnsi"/>
        </w:rPr>
        <w:t>, safe</w:t>
      </w:r>
      <w:r w:rsidRPr="00F265C3">
        <w:rPr>
          <w:rFonts w:eastAsiaTheme="majorEastAsia" w:cstheme="minorHAnsi"/>
        </w:rPr>
        <w:t xml:space="preserve"> </w:t>
      </w:r>
      <w:r w:rsidR="009D754F">
        <w:rPr>
          <w:rFonts w:eastAsiaTheme="majorEastAsia" w:cstheme="minorHAnsi"/>
        </w:rPr>
        <w:t xml:space="preserve">and secure </w:t>
      </w:r>
      <w:r w:rsidRPr="00F265C3">
        <w:rPr>
          <w:rFonts w:eastAsiaTheme="majorEastAsia" w:cstheme="minorHAnsi"/>
        </w:rPr>
        <w:t xml:space="preserve">location is available in Burnie. </w:t>
      </w:r>
      <w:r w:rsidR="00C65FAF">
        <w:rPr>
          <w:rFonts w:eastAsiaTheme="majorEastAsia" w:cstheme="minorHAnsi"/>
        </w:rPr>
        <w:t xml:space="preserve"> In an effort to solve this issue, next week, a team of local judges, security and other key sta</w:t>
      </w:r>
      <w:r w:rsidR="00DA235D">
        <w:rPr>
          <w:rFonts w:eastAsiaTheme="majorEastAsia" w:cstheme="minorHAnsi"/>
        </w:rPr>
        <w:t>ff will be visiting B</w:t>
      </w:r>
      <w:r w:rsidR="00C65FAF">
        <w:rPr>
          <w:rFonts w:eastAsiaTheme="majorEastAsia" w:cstheme="minorHAnsi"/>
        </w:rPr>
        <w:t xml:space="preserve">urnie and </w:t>
      </w:r>
      <w:r w:rsidR="002E56A6">
        <w:rPr>
          <w:rFonts w:eastAsiaTheme="majorEastAsia" w:cstheme="minorHAnsi"/>
        </w:rPr>
        <w:t xml:space="preserve">surrounds </w:t>
      </w:r>
      <w:r w:rsidR="00C65FAF">
        <w:rPr>
          <w:rFonts w:eastAsiaTheme="majorEastAsia" w:cstheme="minorHAnsi"/>
        </w:rPr>
        <w:t xml:space="preserve">to consider all proposed premises. </w:t>
      </w:r>
    </w:p>
    <w:p w14:paraId="0770018D" w14:textId="77777777" w:rsidR="00F265C3" w:rsidRPr="00F265C3" w:rsidRDefault="00F265C3" w:rsidP="00656E68">
      <w:pPr>
        <w:spacing w:before="180" w:after="0" w:line="276" w:lineRule="auto"/>
        <w:ind w:right="425"/>
        <w:rPr>
          <w:rFonts w:eastAsiaTheme="majorEastAsia" w:cstheme="minorHAnsi"/>
        </w:rPr>
      </w:pPr>
      <w:r w:rsidRPr="00F265C3">
        <w:rPr>
          <w:rFonts w:eastAsiaTheme="majorEastAsia" w:cstheme="minorHAnsi"/>
        </w:rPr>
        <w:t xml:space="preserve">In the meantime, the Court will continue to service North West Tasmania by conducting </w:t>
      </w:r>
      <w:r w:rsidR="00C65FAF">
        <w:rPr>
          <w:rFonts w:eastAsiaTheme="majorEastAsia" w:cstheme="minorHAnsi"/>
        </w:rPr>
        <w:t xml:space="preserve">those cases which require </w:t>
      </w:r>
      <w:r w:rsidR="00DA235D">
        <w:rPr>
          <w:rFonts w:eastAsiaTheme="majorEastAsia" w:cstheme="minorHAnsi"/>
        </w:rPr>
        <w:t>face-to-face hearings</w:t>
      </w:r>
      <w:r w:rsidR="00C65FAF">
        <w:rPr>
          <w:rFonts w:eastAsiaTheme="majorEastAsia" w:cstheme="minorHAnsi"/>
        </w:rPr>
        <w:t xml:space="preserve"> in</w:t>
      </w:r>
      <w:r w:rsidRPr="00F265C3">
        <w:rPr>
          <w:rFonts w:eastAsiaTheme="majorEastAsia" w:cstheme="minorHAnsi"/>
        </w:rPr>
        <w:t xml:space="preserve"> the Launceston registry as a temporary arrangement and</w:t>
      </w:r>
      <w:r w:rsidR="00C65FAF">
        <w:rPr>
          <w:rFonts w:eastAsiaTheme="majorEastAsia" w:cstheme="minorHAnsi"/>
        </w:rPr>
        <w:t xml:space="preserve"> </w:t>
      </w:r>
      <w:r w:rsidRPr="00F265C3">
        <w:rPr>
          <w:rFonts w:eastAsiaTheme="majorEastAsia" w:cstheme="minorHAnsi"/>
        </w:rPr>
        <w:t>using electronic hearings, vi</w:t>
      </w:r>
      <w:r w:rsidR="00DA235D">
        <w:rPr>
          <w:rFonts w:eastAsiaTheme="majorEastAsia" w:cstheme="minorHAnsi"/>
        </w:rPr>
        <w:t xml:space="preserve">a telephone or videoconference for other cases that can be heard electronically. </w:t>
      </w:r>
    </w:p>
    <w:p w14:paraId="6EF82A6E" w14:textId="77777777" w:rsidR="00F265C3" w:rsidRPr="00F265C3" w:rsidRDefault="00F265C3" w:rsidP="00656E68">
      <w:pPr>
        <w:spacing w:before="180" w:after="0" w:line="276" w:lineRule="auto"/>
        <w:ind w:right="425"/>
        <w:rPr>
          <w:rFonts w:eastAsiaTheme="majorEastAsia" w:cstheme="minorHAnsi"/>
        </w:rPr>
      </w:pPr>
      <w:r w:rsidRPr="00F265C3">
        <w:rPr>
          <w:rFonts w:eastAsiaTheme="majorEastAsia" w:cstheme="minorHAnsi"/>
        </w:rPr>
        <w:t xml:space="preserve">Electronic hearings can enhance access to justice for parties who live in regional and remote locations where appropriate technology is available. This means that parties do not have to wait for a circuit judge to travel to their particular location, which also assists in reducing delays. </w:t>
      </w:r>
    </w:p>
    <w:p w14:paraId="41809E3E" w14:textId="77777777" w:rsidR="00F265C3" w:rsidRPr="00F265C3" w:rsidRDefault="00F265C3" w:rsidP="00656E68">
      <w:pPr>
        <w:spacing w:before="180" w:after="0" w:line="276" w:lineRule="auto"/>
        <w:ind w:right="425"/>
        <w:rPr>
          <w:rFonts w:eastAsiaTheme="majorEastAsia" w:cstheme="minorHAnsi"/>
        </w:rPr>
      </w:pPr>
      <w:r w:rsidRPr="00F265C3">
        <w:rPr>
          <w:rFonts w:eastAsiaTheme="majorEastAsia" w:cstheme="minorHAnsi"/>
        </w:rPr>
        <w:t>Electronic hearings can also increase safety for vulnerable parties as their hearing can be conducted via telephone or video in the safety of their home or other suitable location.</w:t>
      </w:r>
    </w:p>
    <w:p w14:paraId="7E439A18" w14:textId="77777777" w:rsidR="00F265C3" w:rsidRPr="00F265C3" w:rsidRDefault="00F265C3" w:rsidP="00656E68">
      <w:pPr>
        <w:spacing w:before="180" w:after="0" w:line="276" w:lineRule="auto"/>
        <w:ind w:right="425"/>
        <w:rPr>
          <w:rFonts w:eastAsiaTheme="majorEastAsia" w:cstheme="minorHAnsi"/>
        </w:rPr>
      </w:pPr>
      <w:r w:rsidRPr="00F265C3">
        <w:rPr>
          <w:rFonts w:eastAsiaTheme="majorEastAsia" w:cstheme="minorHAnsi"/>
        </w:rPr>
        <w:t xml:space="preserve">Circuits are incredibly important to ensuring access to justice for all Australians and the Court is grateful </w:t>
      </w:r>
      <w:r w:rsidR="00BD4AF4">
        <w:rPr>
          <w:rFonts w:eastAsiaTheme="majorEastAsia" w:cstheme="minorHAnsi"/>
        </w:rPr>
        <w:t>for assistance from government and stakeholders for</w:t>
      </w:r>
      <w:r w:rsidRPr="00F265C3">
        <w:rPr>
          <w:rFonts w:eastAsiaTheme="majorEastAsia" w:cstheme="minorHAnsi"/>
        </w:rPr>
        <w:t xml:space="preserve"> the Court to secure appropriate premises to continue the Burnie circuit.</w:t>
      </w:r>
    </w:p>
    <w:sectPr w:rsidR="00F265C3" w:rsidRPr="00F265C3" w:rsidSect="00837FC0">
      <w:footerReference w:type="default" r:id="rId11"/>
      <w:pgSz w:w="11906" w:h="16838"/>
      <w:pgMar w:top="144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DA9610" w14:textId="77777777" w:rsidR="00DC144C" w:rsidRDefault="00DC144C" w:rsidP="0017312B">
      <w:r>
        <w:separator/>
      </w:r>
    </w:p>
  </w:endnote>
  <w:endnote w:type="continuationSeparator" w:id="0">
    <w:p w14:paraId="32F4C907" w14:textId="77777777" w:rsidR="00DC144C" w:rsidRDefault="00DC144C"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A3FA24" w14:textId="77777777" w:rsidR="008F573D" w:rsidRDefault="008F573D" w:rsidP="008F573D">
    <w:pPr>
      <w:autoSpaceDE w:val="0"/>
      <w:autoSpaceDN w:val="0"/>
      <w:spacing w:after="0"/>
      <w:ind w:right="-454"/>
      <w:rPr>
        <w:rFonts w:ascii="Calibri Light" w:eastAsiaTheme="minorEastAsia" w:hAnsi="Calibri Light" w:cs="Calibri Light"/>
        <w:noProof/>
        <w:color w:val="44546A"/>
        <w:lang w:eastAsia="en-AU"/>
      </w:rPr>
    </w:pPr>
    <w:r>
      <w:rPr>
        <w:rFonts w:ascii="Calibri Light" w:eastAsiaTheme="minorEastAsia" w:hAnsi="Calibri Light" w:cs="Calibri Light"/>
        <w:b/>
        <w:bCs/>
        <w:noProof/>
        <w:color w:val="44546A"/>
        <w:lang w:eastAsia="en-AU"/>
      </w:rPr>
      <w:t>Bruce Phillips</w:t>
    </w:r>
    <w:r>
      <w:rPr>
        <w:rFonts w:ascii="Calibri Light" w:eastAsiaTheme="minorEastAsia" w:hAnsi="Calibri Light" w:cs="Calibri Light"/>
        <w:noProof/>
        <w:color w:val="44546A"/>
        <w:lang w:eastAsia="en-AU"/>
      </w:rPr>
      <w:t xml:space="preserve"> </w:t>
    </w:r>
  </w:p>
  <w:p w14:paraId="63BFFCD6" w14:textId="77777777" w:rsidR="008F573D" w:rsidRDefault="008F573D" w:rsidP="008F573D">
    <w:pPr>
      <w:autoSpaceDE w:val="0"/>
      <w:autoSpaceDN w:val="0"/>
      <w:spacing w:after="0"/>
      <w:ind w:right="-454"/>
      <w:rPr>
        <w:rFonts w:ascii="Calibri Light" w:eastAsiaTheme="minorEastAsia" w:hAnsi="Calibri Light" w:cs="Calibri Light"/>
        <w:noProof/>
        <w:color w:val="666666"/>
        <w:lang w:eastAsia="en-AU"/>
      </w:rPr>
    </w:pPr>
    <w:r>
      <w:rPr>
        <w:rFonts w:ascii="Calibri Light" w:eastAsiaTheme="minorEastAsia" w:hAnsi="Calibri Light" w:cs="Calibri Light"/>
        <w:noProof/>
        <w:color w:val="666666"/>
        <w:lang w:eastAsia="en-AU"/>
      </w:rPr>
      <w:t xml:space="preserve">Acting Director – Media &amp; Public Affairs, Federal Circuit and Family Court of Australia </w:t>
    </w:r>
  </w:p>
  <w:p w14:paraId="57537BB3" w14:textId="77777777" w:rsidR="00965ADE" w:rsidRDefault="008F573D" w:rsidP="008F573D">
    <w:pPr>
      <w:spacing w:after="0"/>
    </w:pPr>
    <w:r>
      <w:rPr>
        <w:rFonts w:ascii="Calibri Light" w:eastAsiaTheme="minorEastAsia" w:hAnsi="Calibri Light" w:cs="Calibri Light"/>
        <w:b/>
        <w:bCs/>
        <w:noProof/>
        <w:color w:val="44546A"/>
        <w:lang w:eastAsia="en-AU"/>
      </w:rPr>
      <w:t xml:space="preserve">m. </w:t>
    </w:r>
    <w:r w:rsidRPr="008F573D">
      <w:rPr>
        <w:rFonts w:ascii="Calibri Light" w:eastAsiaTheme="minorEastAsia" w:hAnsi="Calibri Light" w:cs="Calibri Light"/>
        <w:noProof/>
        <w:color w:val="666666"/>
        <w:lang w:eastAsia="en-AU"/>
      </w:rPr>
      <w:t>0419 341 506</w:t>
    </w:r>
    <w:r>
      <w:rPr>
        <w:rFonts w:ascii="Calibri Light" w:eastAsiaTheme="minorEastAsia" w:hAnsi="Calibri Light" w:cs="Calibri Light"/>
        <w:noProof/>
        <w:color w:val="666666"/>
        <w:lang w:eastAsia="en-AU"/>
      </w:rPr>
      <w:t xml:space="preserve">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sidRPr="006562DC">
        <w:rPr>
          <w:rStyle w:val="Hyperlink"/>
          <w:rFonts w:ascii="Calibri Light" w:eastAsiaTheme="minorEastAsia" w:hAnsi="Calibri Light" w:cs="Calibri Light"/>
          <w:noProof/>
        </w:rPr>
        <w:t>bruce.phillips@fcfcoa.gov.au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7B72AF" w14:textId="77777777" w:rsidR="00DC144C" w:rsidRDefault="00DC144C" w:rsidP="0017312B">
      <w:r>
        <w:separator/>
      </w:r>
    </w:p>
  </w:footnote>
  <w:footnote w:type="continuationSeparator" w:id="0">
    <w:p w14:paraId="3A4EF5B2" w14:textId="77777777" w:rsidR="00DC144C" w:rsidRDefault="00DC144C" w:rsidP="001731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D31EF6"/>
    <w:multiLevelType w:val="hybridMultilevel"/>
    <w:tmpl w:val="F73A110E"/>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2" w15:restartNumberingAfterBreak="0">
    <w:nsid w:val="24ED405E"/>
    <w:multiLevelType w:val="hybridMultilevel"/>
    <w:tmpl w:val="48C07D64"/>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FB0472A"/>
    <w:multiLevelType w:val="hybridMultilevel"/>
    <w:tmpl w:val="C5CEF7FE"/>
    <w:lvl w:ilvl="0" w:tplc="FA5AFBE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56AE0D41"/>
    <w:multiLevelType w:val="hybridMultilevel"/>
    <w:tmpl w:val="AFD05F0C"/>
    <w:lvl w:ilvl="0" w:tplc="18F27DBA">
      <w:start w:val="1"/>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25262"/>
    <w:rsid w:val="00036592"/>
    <w:rsid w:val="00053FB4"/>
    <w:rsid w:val="0006637E"/>
    <w:rsid w:val="000912AB"/>
    <w:rsid w:val="000913AF"/>
    <w:rsid w:val="000918EF"/>
    <w:rsid w:val="00091E50"/>
    <w:rsid w:val="000B47F9"/>
    <w:rsid w:val="000B51AD"/>
    <w:rsid w:val="000C1F89"/>
    <w:rsid w:val="000C5E0D"/>
    <w:rsid w:val="000D08F0"/>
    <w:rsid w:val="000D16D2"/>
    <w:rsid w:val="000D18BD"/>
    <w:rsid w:val="00101C4D"/>
    <w:rsid w:val="00112F65"/>
    <w:rsid w:val="00122089"/>
    <w:rsid w:val="00140722"/>
    <w:rsid w:val="00142AE7"/>
    <w:rsid w:val="0014568D"/>
    <w:rsid w:val="0014595A"/>
    <w:rsid w:val="001715D0"/>
    <w:rsid w:val="0017312B"/>
    <w:rsid w:val="001802F6"/>
    <w:rsid w:val="00192A52"/>
    <w:rsid w:val="001B1FD9"/>
    <w:rsid w:val="001E7306"/>
    <w:rsid w:val="001F09F7"/>
    <w:rsid w:val="001F441A"/>
    <w:rsid w:val="00217130"/>
    <w:rsid w:val="00221310"/>
    <w:rsid w:val="00222BCE"/>
    <w:rsid w:val="00243F99"/>
    <w:rsid w:val="00265229"/>
    <w:rsid w:val="00273C99"/>
    <w:rsid w:val="00290849"/>
    <w:rsid w:val="002A747B"/>
    <w:rsid w:val="002B26C3"/>
    <w:rsid w:val="002C32A7"/>
    <w:rsid w:val="002C3438"/>
    <w:rsid w:val="002D0B01"/>
    <w:rsid w:val="002E56A6"/>
    <w:rsid w:val="00310637"/>
    <w:rsid w:val="00325046"/>
    <w:rsid w:val="003364B9"/>
    <w:rsid w:val="00344A2D"/>
    <w:rsid w:val="00344C32"/>
    <w:rsid w:val="00364FEA"/>
    <w:rsid w:val="003737AA"/>
    <w:rsid w:val="003A02C8"/>
    <w:rsid w:val="003B5C6C"/>
    <w:rsid w:val="003C7D24"/>
    <w:rsid w:val="003D0BAD"/>
    <w:rsid w:val="003D4628"/>
    <w:rsid w:val="003E66A1"/>
    <w:rsid w:val="003F50C0"/>
    <w:rsid w:val="00415527"/>
    <w:rsid w:val="00445E08"/>
    <w:rsid w:val="00453247"/>
    <w:rsid w:val="004560C8"/>
    <w:rsid w:val="00470C83"/>
    <w:rsid w:val="00475651"/>
    <w:rsid w:val="00485C9C"/>
    <w:rsid w:val="004B27F6"/>
    <w:rsid w:val="004B3650"/>
    <w:rsid w:val="004D3BAD"/>
    <w:rsid w:val="004F0938"/>
    <w:rsid w:val="004F35CA"/>
    <w:rsid w:val="0053594D"/>
    <w:rsid w:val="00542C96"/>
    <w:rsid w:val="0055014F"/>
    <w:rsid w:val="00561C39"/>
    <w:rsid w:val="00582736"/>
    <w:rsid w:val="005842F3"/>
    <w:rsid w:val="00595D85"/>
    <w:rsid w:val="005D182F"/>
    <w:rsid w:val="005D62A7"/>
    <w:rsid w:val="005F7999"/>
    <w:rsid w:val="00607EDC"/>
    <w:rsid w:val="00614DB3"/>
    <w:rsid w:val="006153AC"/>
    <w:rsid w:val="00621578"/>
    <w:rsid w:val="006301D4"/>
    <w:rsid w:val="00656E68"/>
    <w:rsid w:val="006835B9"/>
    <w:rsid w:val="006A661F"/>
    <w:rsid w:val="006D14AF"/>
    <w:rsid w:val="006D17F9"/>
    <w:rsid w:val="006E58CD"/>
    <w:rsid w:val="00712D8B"/>
    <w:rsid w:val="00726906"/>
    <w:rsid w:val="007429CB"/>
    <w:rsid w:val="00747924"/>
    <w:rsid w:val="00751820"/>
    <w:rsid w:val="007518E5"/>
    <w:rsid w:val="007647D3"/>
    <w:rsid w:val="0079437F"/>
    <w:rsid w:val="007B65B6"/>
    <w:rsid w:val="007B6732"/>
    <w:rsid w:val="007B7BCB"/>
    <w:rsid w:val="007C3651"/>
    <w:rsid w:val="007E038D"/>
    <w:rsid w:val="007E70EC"/>
    <w:rsid w:val="007F2644"/>
    <w:rsid w:val="0082131A"/>
    <w:rsid w:val="008277F8"/>
    <w:rsid w:val="00831B0F"/>
    <w:rsid w:val="00837FC0"/>
    <w:rsid w:val="00843B0A"/>
    <w:rsid w:val="00847DF7"/>
    <w:rsid w:val="00851312"/>
    <w:rsid w:val="00852C0F"/>
    <w:rsid w:val="00853633"/>
    <w:rsid w:val="0088272E"/>
    <w:rsid w:val="0088799A"/>
    <w:rsid w:val="008A6291"/>
    <w:rsid w:val="008B2F6F"/>
    <w:rsid w:val="008C013E"/>
    <w:rsid w:val="008C26C6"/>
    <w:rsid w:val="008C310E"/>
    <w:rsid w:val="008C50B4"/>
    <w:rsid w:val="008C6768"/>
    <w:rsid w:val="008D5DE3"/>
    <w:rsid w:val="008E6402"/>
    <w:rsid w:val="008F04CD"/>
    <w:rsid w:val="008F573D"/>
    <w:rsid w:val="009031F1"/>
    <w:rsid w:val="00904332"/>
    <w:rsid w:val="00922DC6"/>
    <w:rsid w:val="00922F97"/>
    <w:rsid w:val="00941362"/>
    <w:rsid w:val="009528D7"/>
    <w:rsid w:val="00965ADE"/>
    <w:rsid w:val="009733DF"/>
    <w:rsid w:val="00976F05"/>
    <w:rsid w:val="00977A79"/>
    <w:rsid w:val="00986021"/>
    <w:rsid w:val="00990FA2"/>
    <w:rsid w:val="009942B6"/>
    <w:rsid w:val="009A1ECF"/>
    <w:rsid w:val="009C3102"/>
    <w:rsid w:val="009C34C6"/>
    <w:rsid w:val="009C3689"/>
    <w:rsid w:val="009D754F"/>
    <w:rsid w:val="00A11315"/>
    <w:rsid w:val="00A5690C"/>
    <w:rsid w:val="00A77024"/>
    <w:rsid w:val="00A80511"/>
    <w:rsid w:val="00A809CD"/>
    <w:rsid w:val="00AC673E"/>
    <w:rsid w:val="00AC7B00"/>
    <w:rsid w:val="00AF41C0"/>
    <w:rsid w:val="00AF57B9"/>
    <w:rsid w:val="00B108B0"/>
    <w:rsid w:val="00B1650D"/>
    <w:rsid w:val="00B222CD"/>
    <w:rsid w:val="00B22813"/>
    <w:rsid w:val="00B36F99"/>
    <w:rsid w:val="00B62A66"/>
    <w:rsid w:val="00B711F3"/>
    <w:rsid w:val="00B83755"/>
    <w:rsid w:val="00BA2A08"/>
    <w:rsid w:val="00BB11D0"/>
    <w:rsid w:val="00BD4AF4"/>
    <w:rsid w:val="00BE6F74"/>
    <w:rsid w:val="00BF3C71"/>
    <w:rsid w:val="00C058B5"/>
    <w:rsid w:val="00C163A9"/>
    <w:rsid w:val="00C2406D"/>
    <w:rsid w:val="00C27320"/>
    <w:rsid w:val="00C3204D"/>
    <w:rsid w:val="00C36148"/>
    <w:rsid w:val="00C64032"/>
    <w:rsid w:val="00C65FAF"/>
    <w:rsid w:val="00C67DEE"/>
    <w:rsid w:val="00C71DEB"/>
    <w:rsid w:val="00C94D88"/>
    <w:rsid w:val="00C9508F"/>
    <w:rsid w:val="00CB1597"/>
    <w:rsid w:val="00CC4257"/>
    <w:rsid w:val="00CC4C16"/>
    <w:rsid w:val="00CD59FE"/>
    <w:rsid w:val="00CD6C94"/>
    <w:rsid w:val="00CF10B9"/>
    <w:rsid w:val="00D06951"/>
    <w:rsid w:val="00D06BD5"/>
    <w:rsid w:val="00D2548B"/>
    <w:rsid w:val="00D45819"/>
    <w:rsid w:val="00D53961"/>
    <w:rsid w:val="00D94DE4"/>
    <w:rsid w:val="00DA235D"/>
    <w:rsid w:val="00DA43B4"/>
    <w:rsid w:val="00DB0950"/>
    <w:rsid w:val="00DB4406"/>
    <w:rsid w:val="00DC144C"/>
    <w:rsid w:val="00DC268B"/>
    <w:rsid w:val="00DE6501"/>
    <w:rsid w:val="00E15E05"/>
    <w:rsid w:val="00E32FF8"/>
    <w:rsid w:val="00E417FF"/>
    <w:rsid w:val="00E63A3A"/>
    <w:rsid w:val="00E9113C"/>
    <w:rsid w:val="00E920CF"/>
    <w:rsid w:val="00ED329B"/>
    <w:rsid w:val="00EE1E33"/>
    <w:rsid w:val="00EF6B47"/>
    <w:rsid w:val="00F13A7A"/>
    <w:rsid w:val="00F265C3"/>
    <w:rsid w:val="00F35F93"/>
    <w:rsid w:val="00F4189F"/>
    <w:rsid w:val="00F60F84"/>
    <w:rsid w:val="00F65521"/>
    <w:rsid w:val="00F92C7E"/>
    <w:rsid w:val="00FB75A9"/>
    <w:rsid w:val="00FF7E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F83A5A3"/>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basedOn w:val="Normal"/>
    <w:uiPriority w:val="1"/>
    <w:qFormat/>
    <w:rsid w:val="00CD59FE"/>
    <w:pPr>
      <w:spacing w:after="0"/>
      <w:ind w:right="0"/>
    </w:pPr>
    <w:rPr>
      <w:rFonts w:ascii="Calibri" w:eastAsia="MS PGothic" w:hAnsi="Calibri" w:cs="Calibri"/>
      <w:lang w:eastAsia="ja-JP"/>
    </w:rPr>
  </w:style>
  <w:style w:type="paragraph" w:customStyle="1" w:styleId="Default">
    <w:name w:val="Default"/>
    <w:rsid w:val="00F4189F"/>
    <w:pPr>
      <w:autoSpaceDE w:val="0"/>
      <w:autoSpaceDN w:val="0"/>
      <w:adjustRightInd w:val="0"/>
      <w:spacing w:after="0" w:line="240" w:lineRule="auto"/>
    </w:pPr>
    <w:rPr>
      <w:rFonts w:ascii="Calibri" w:hAnsi="Calibri" w:cs="Calibri"/>
      <w:color w:val="000000"/>
      <w:sz w:val="24"/>
      <w:szCs w:val="24"/>
    </w:rPr>
  </w:style>
  <w:style w:type="character" w:customStyle="1" w:styleId="ui-provider">
    <w:name w:val="ui-provider"/>
    <w:basedOn w:val="DefaultParagraphFont"/>
    <w:rsid w:val="0088799A"/>
  </w:style>
  <w:style w:type="character" w:styleId="CommentReference">
    <w:name w:val="annotation reference"/>
    <w:basedOn w:val="DefaultParagraphFont"/>
    <w:uiPriority w:val="99"/>
    <w:semiHidden/>
    <w:unhideWhenUsed/>
    <w:rsid w:val="00B711F3"/>
    <w:rPr>
      <w:sz w:val="16"/>
      <w:szCs w:val="16"/>
    </w:rPr>
  </w:style>
  <w:style w:type="paragraph" w:styleId="CommentText">
    <w:name w:val="annotation text"/>
    <w:basedOn w:val="Normal"/>
    <w:link w:val="CommentTextChar"/>
    <w:uiPriority w:val="99"/>
    <w:semiHidden/>
    <w:unhideWhenUsed/>
    <w:rsid w:val="00B711F3"/>
    <w:rPr>
      <w:sz w:val="20"/>
      <w:szCs w:val="20"/>
    </w:rPr>
  </w:style>
  <w:style w:type="character" w:customStyle="1" w:styleId="CommentTextChar">
    <w:name w:val="Comment Text Char"/>
    <w:basedOn w:val="DefaultParagraphFont"/>
    <w:link w:val="CommentText"/>
    <w:uiPriority w:val="99"/>
    <w:semiHidden/>
    <w:rsid w:val="00B711F3"/>
    <w:rPr>
      <w:sz w:val="20"/>
      <w:szCs w:val="20"/>
    </w:rPr>
  </w:style>
  <w:style w:type="paragraph" w:styleId="CommentSubject">
    <w:name w:val="annotation subject"/>
    <w:basedOn w:val="CommentText"/>
    <w:next w:val="CommentText"/>
    <w:link w:val="CommentSubjectChar"/>
    <w:uiPriority w:val="99"/>
    <w:semiHidden/>
    <w:unhideWhenUsed/>
    <w:rsid w:val="00B711F3"/>
    <w:rPr>
      <w:b/>
      <w:bCs/>
    </w:rPr>
  </w:style>
  <w:style w:type="character" w:customStyle="1" w:styleId="CommentSubjectChar">
    <w:name w:val="Comment Subject Char"/>
    <w:basedOn w:val="CommentTextChar"/>
    <w:link w:val="CommentSubject"/>
    <w:uiPriority w:val="99"/>
    <w:semiHidden/>
    <w:rsid w:val="00B711F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04424278">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366057250">
      <w:bodyDiv w:val="1"/>
      <w:marLeft w:val="0"/>
      <w:marRight w:val="0"/>
      <w:marTop w:val="0"/>
      <w:marBottom w:val="0"/>
      <w:divBdr>
        <w:top w:val="none" w:sz="0" w:space="0" w:color="auto"/>
        <w:left w:val="none" w:sz="0" w:space="0" w:color="auto"/>
        <w:bottom w:val="none" w:sz="0" w:space="0" w:color="auto"/>
        <w:right w:val="none" w:sz="0" w:space="0" w:color="auto"/>
      </w:divBdr>
    </w:div>
    <w:div w:id="1836916894">
      <w:bodyDiv w:val="1"/>
      <w:marLeft w:val="0"/>
      <w:marRight w:val="0"/>
      <w:marTop w:val="0"/>
      <w:marBottom w:val="0"/>
      <w:divBdr>
        <w:top w:val="none" w:sz="0" w:space="0" w:color="auto"/>
        <w:left w:val="none" w:sz="0" w:space="0" w:color="auto"/>
        <w:bottom w:val="none" w:sz="0" w:space="0" w:color="auto"/>
        <w:right w:val="none" w:sz="0" w:space="0" w:color="auto"/>
      </w:divBdr>
    </w:div>
    <w:div w:id="2047679942">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hyperlink" Target="mailto:bruce.phillips@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376628DF67CA40A5D8DE69030910CD" ma:contentTypeVersion="15" ma:contentTypeDescription="Create a new document." ma:contentTypeScope="" ma:versionID="899165934c7cc4f66cb9a54095891413">
  <xsd:schema xmlns:xsd="http://www.w3.org/2001/XMLSchema" xmlns:xs="http://www.w3.org/2001/XMLSchema" xmlns:p="http://schemas.microsoft.com/office/2006/metadata/properties" xmlns:ns3="1772084b-1031-4668-bd2d-261c976024cf" xmlns:ns4="a9fe9989-1cdb-434d-a3fb-b42173955144" targetNamespace="http://schemas.microsoft.com/office/2006/metadata/properties" ma:root="true" ma:fieldsID="c8df27d8a11c55b6d79d49409311861b" ns3:_="" ns4:_="">
    <xsd:import namespace="1772084b-1031-4668-bd2d-261c976024cf"/>
    <xsd:import namespace="a9fe9989-1cdb-434d-a3fb-b4217395514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ServiceLocation"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72084b-1031-4668-bd2d-261c976024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fe9989-1cdb-434d-a3fb-b4217395514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772084b-1031-4668-bd2d-261c976024cf" xsi:nil="true"/>
  </documentManagement>
</p:properties>
</file>

<file path=customXml/itemProps1.xml><?xml version="1.0" encoding="utf-8"?>
<ds:datastoreItem xmlns:ds="http://schemas.openxmlformats.org/officeDocument/2006/customXml" ds:itemID="{171959B5-F4E6-4E89-BFAA-0505CCB501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72084b-1031-4668-bd2d-261c976024cf"/>
    <ds:schemaRef ds:uri="a9fe9989-1cdb-434d-a3fb-b421739551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D506DE-7DE8-402A-A663-91DAEB5EDA29}">
  <ds:schemaRefs>
    <ds:schemaRef ds:uri="http://schemas.microsoft.com/sharepoint/v3/contenttype/forms"/>
  </ds:schemaRefs>
</ds:datastoreItem>
</file>

<file path=customXml/itemProps3.xml><?xml version="1.0" encoding="utf-8"?>
<ds:datastoreItem xmlns:ds="http://schemas.openxmlformats.org/officeDocument/2006/customXml" ds:itemID="{B9147A20-AC5A-409F-BF1C-E68F54EE9FA6}">
  <ds:schemaRefs>
    <ds:schemaRef ds:uri="http://schemas.microsoft.com/office/infopath/2007/PartnerControls"/>
    <ds:schemaRef ds:uri="http://purl.org/dc/elements/1.1/"/>
    <ds:schemaRef ds:uri="http://schemas.microsoft.com/office/2006/metadata/properties"/>
    <ds:schemaRef ds:uri="1772084b-1031-4668-bd2d-261c976024cf"/>
    <ds:schemaRef ds:uri="http://purl.org/dc/terms/"/>
    <ds:schemaRef ds:uri="http://schemas.microsoft.com/office/2006/documentManagement/types"/>
    <ds:schemaRef ds:uri="http://schemas.openxmlformats.org/package/2006/metadata/core-properties"/>
    <ds:schemaRef ds:uri="a9fe9989-1cdb-434d-a3fb-b42173955144"/>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429</Words>
  <Characters>2449</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Media Release: Heading</vt:lpstr>
    </vt:vector>
  </TitlesOfParts>
  <Company>Federal Court of Australia</Company>
  <LinksUpToDate>false</LinksUpToDate>
  <CharactersWithSpaces>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Federal Circuit and Family Court of Australia committed to continuing the Burnie circuit</dc:title>
  <dc:subject/>
  <dc:creator>Federal Circuit and Family Court of Australia</dc:creator>
  <cp:keywords/>
  <dc:description/>
  <cp:lastModifiedBy>Christine Tuff</cp:lastModifiedBy>
  <cp:revision>2</cp:revision>
  <cp:lastPrinted>2021-10-14T02:44:00Z</cp:lastPrinted>
  <dcterms:created xsi:type="dcterms:W3CDTF">2023-06-01T23:18:00Z</dcterms:created>
  <dcterms:modified xsi:type="dcterms:W3CDTF">2023-06-01T23:18:00Z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0x010100B7376628DF67CA40A5D8DE69030910CD</vt:lpwstr>
  </property>
</Properties>
</file>