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50BC83" w14:textId="77777777" w:rsidR="002B26C3" w:rsidRPr="0017312B" w:rsidRDefault="00621578" w:rsidP="00DB4406">
      <w:pPr>
        <w:spacing w:before="120" w:after="840"/>
        <w:ind w:right="-330"/>
        <w:jc w:val="right"/>
        <w:rPr>
          <w:b/>
          <w:color w:val="04526C"/>
        </w:rPr>
      </w:pPr>
      <w:r w:rsidRPr="003A4CB6">
        <w:rPr>
          <w:b/>
          <w:noProof/>
          <w:color w:val="04526C"/>
          <w:lang w:eastAsia="en-AU"/>
        </w:rPr>
        <w:drawing>
          <wp:anchor distT="0" distB="0" distL="114300" distR="114300" simplePos="0" relativeHeight="251659264" behindDoc="1" locked="0" layoutInCell="1" allowOverlap="1" wp14:anchorId="3AC842C0" wp14:editId="2FB5A3EE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E6A" w:rsidRPr="003A4CB6">
        <w:rPr>
          <w:b/>
          <w:color w:val="04526C"/>
        </w:rPr>
        <w:t>1 June</w:t>
      </w:r>
      <w:r w:rsidR="006D17F9">
        <w:rPr>
          <w:b/>
          <w:color w:val="04526C"/>
        </w:rPr>
        <w:t xml:space="preserve"> 2023</w:t>
      </w:r>
    </w:p>
    <w:p w14:paraId="105CAEB5" w14:textId="77777777" w:rsidR="000D08F0" w:rsidRPr="007C01A1" w:rsidRDefault="000D08F0" w:rsidP="007C01A1">
      <w:pPr>
        <w:pStyle w:val="Heading1"/>
        <w:rPr>
          <w:sz w:val="38"/>
          <w:szCs w:val="38"/>
        </w:rPr>
      </w:pPr>
      <w:r w:rsidRPr="007C01A1">
        <w:rPr>
          <w:sz w:val="38"/>
          <w:szCs w:val="38"/>
        </w:rPr>
        <w:t xml:space="preserve">Media Release: </w:t>
      </w:r>
      <w:r w:rsidR="00290849" w:rsidRPr="007C01A1">
        <w:rPr>
          <w:sz w:val="38"/>
          <w:szCs w:val="38"/>
        </w:rPr>
        <w:t>International recognition for the Federal Circuit and Family Court of Australia’s worl</w:t>
      </w:r>
      <w:r w:rsidR="003A4CB6" w:rsidRPr="007C01A1">
        <w:rPr>
          <w:sz w:val="38"/>
          <w:szCs w:val="38"/>
        </w:rPr>
        <w:t>d-leading Lighthouse initiative</w:t>
      </w:r>
    </w:p>
    <w:p w14:paraId="4EA7034F" w14:textId="237A6D4A" w:rsidR="00CD6C94" w:rsidRPr="00E93E6A" w:rsidRDefault="000B51AD" w:rsidP="00DC3615">
      <w:pPr>
        <w:spacing w:before="240" w:after="0"/>
        <w:ind w:right="0"/>
        <w:rPr>
          <w:rFonts w:eastAsiaTheme="majorEastAsia" w:cstheme="minorHAnsi"/>
        </w:rPr>
      </w:pPr>
      <w:r w:rsidRPr="00E93E6A">
        <w:rPr>
          <w:rFonts w:eastAsiaTheme="majorEastAsia" w:cstheme="minorHAnsi"/>
        </w:rPr>
        <w:t>The Federal Circuit and Family Court of Australia</w:t>
      </w:r>
      <w:r w:rsidR="00CD6C94" w:rsidRPr="00E93E6A">
        <w:rPr>
          <w:rFonts w:eastAsiaTheme="majorEastAsia" w:cstheme="minorHAnsi"/>
        </w:rPr>
        <w:t>’s</w:t>
      </w:r>
      <w:r w:rsidRPr="00E93E6A">
        <w:rPr>
          <w:rFonts w:eastAsiaTheme="majorEastAsia" w:cstheme="minorHAnsi"/>
        </w:rPr>
        <w:t xml:space="preserve"> </w:t>
      </w:r>
      <w:hyperlink r:id="rId11" w:history="1">
        <w:r w:rsidR="008F04CD" w:rsidRPr="00E93E6A">
          <w:rPr>
            <w:rStyle w:val="Hyperlink"/>
            <w:rFonts w:eastAsiaTheme="majorEastAsia" w:cstheme="minorHAnsi"/>
            <w:color w:val="auto"/>
            <w:u w:val="none"/>
          </w:rPr>
          <w:t>Lighthouse</w:t>
        </w:r>
      </w:hyperlink>
      <w:r w:rsidR="008F04CD" w:rsidRPr="00E93E6A">
        <w:rPr>
          <w:rFonts w:eastAsiaTheme="majorEastAsia" w:cstheme="minorHAnsi"/>
        </w:rPr>
        <w:t xml:space="preserve"> initiative, a unique and </w:t>
      </w:r>
      <w:r w:rsidR="00CD6C94" w:rsidRPr="00E93E6A">
        <w:rPr>
          <w:rFonts w:eastAsiaTheme="majorEastAsia" w:cstheme="minorHAnsi"/>
        </w:rPr>
        <w:t xml:space="preserve">innovative approach to </w:t>
      </w:r>
      <w:r w:rsidR="006D14AF" w:rsidRPr="00E93E6A">
        <w:rPr>
          <w:rFonts w:eastAsiaTheme="majorEastAsia" w:cstheme="minorHAnsi"/>
        </w:rPr>
        <w:t xml:space="preserve">better </w:t>
      </w:r>
      <w:r w:rsidR="00CD6C94" w:rsidRPr="00E93E6A">
        <w:rPr>
          <w:rFonts w:eastAsiaTheme="majorEastAsia" w:cstheme="minorHAnsi"/>
        </w:rPr>
        <w:t xml:space="preserve">identify and manage </w:t>
      </w:r>
      <w:r w:rsidR="000913AF" w:rsidRPr="00E93E6A">
        <w:rPr>
          <w:rFonts w:eastAsiaTheme="majorEastAsia" w:cstheme="minorHAnsi"/>
        </w:rPr>
        <w:t xml:space="preserve">cases involving </w:t>
      </w:r>
      <w:r w:rsidR="00CD6C94" w:rsidRPr="00E93E6A">
        <w:rPr>
          <w:rFonts w:eastAsiaTheme="majorEastAsia" w:cstheme="minorHAnsi"/>
        </w:rPr>
        <w:t>family violence and other risks</w:t>
      </w:r>
      <w:r w:rsidR="008F04CD" w:rsidRPr="00E93E6A">
        <w:rPr>
          <w:rFonts w:eastAsiaTheme="majorEastAsia" w:cstheme="minorHAnsi"/>
        </w:rPr>
        <w:t xml:space="preserve"> </w:t>
      </w:r>
      <w:r w:rsidR="0014595A" w:rsidRPr="00E93E6A">
        <w:rPr>
          <w:rFonts w:eastAsiaTheme="majorEastAsia" w:cstheme="minorHAnsi"/>
        </w:rPr>
        <w:t>to</w:t>
      </w:r>
      <w:r w:rsidR="008F04CD" w:rsidRPr="00E93E6A">
        <w:rPr>
          <w:rFonts w:eastAsiaTheme="majorEastAsia" w:cstheme="minorHAnsi"/>
        </w:rPr>
        <w:t xml:space="preserve"> families, </w:t>
      </w:r>
      <w:r w:rsidR="00CD6C94" w:rsidRPr="00E93E6A">
        <w:rPr>
          <w:rFonts w:eastAsiaTheme="majorEastAsia" w:cstheme="minorHAnsi"/>
        </w:rPr>
        <w:t xml:space="preserve">has been acknowledged </w:t>
      </w:r>
      <w:r w:rsidR="008C50B4" w:rsidRPr="00E93E6A">
        <w:rPr>
          <w:rFonts w:eastAsiaTheme="majorEastAsia" w:cstheme="minorHAnsi"/>
        </w:rPr>
        <w:t xml:space="preserve">at an </w:t>
      </w:r>
      <w:r w:rsidR="00CD6C94" w:rsidRPr="00E93E6A">
        <w:rPr>
          <w:rFonts w:eastAsiaTheme="majorEastAsia" w:cstheme="minorHAnsi"/>
        </w:rPr>
        <w:t>international</w:t>
      </w:r>
      <w:r w:rsidR="008F04CD" w:rsidRPr="00E93E6A">
        <w:rPr>
          <w:rFonts w:eastAsiaTheme="majorEastAsia" w:cstheme="minorHAnsi"/>
        </w:rPr>
        <w:t xml:space="preserve"> level</w:t>
      </w:r>
      <w:r w:rsidR="00DC3615">
        <w:rPr>
          <w:rFonts w:eastAsiaTheme="majorEastAsia" w:cstheme="minorHAnsi"/>
        </w:rPr>
        <w:t>.</w:t>
      </w:r>
    </w:p>
    <w:p w14:paraId="6B15ADD5" w14:textId="77777777" w:rsidR="000B51AD" w:rsidRPr="00E93E6A" w:rsidRDefault="00E93E6A" w:rsidP="00DC3615">
      <w:pPr>
        <w:spacing w:before="240" w:after="0"/>
        <w:ind w:right="0"/>
        <w:rPr>
          <w:rFonts w:eastAsiaTheme="majorEastAsia" w:cstheme="minorHAnsi"/>
          <w:lang w:val="en-US"/>
        </w:rPr>
      </w:pPr>
      <w:r>
        <w:rPr>
          <w:rFonts w:eastAsiaTheme="majorEastAsia" w:cstheme="minorHAnsi"/>
          <w:lang w:val="en-US"/>
        </w:rPr>
        <w:t xml:space="preserve">The </w:t>
      </w:r>
      <w:r w:rsidRPr="00E93E6A">
        <w:rPr>
          <w:rFonts w:eastAsiaTheme="majorEastAsia" w:cstheme="minorHAnsi"/>
          <w:lang w:val="en-US"/>
        </w:rPr>
        <w:t xml:space="preserve">internationally respected </w:t>
      </w:r>
      <w:r>
        <w:rPr>
          <w:rFonts w:eastAsiaTheme="majorEastAsia" w:cstheme="minorHAnsi"/>
        </w:rPr>
        <w:t>A</w:t>
      </w:r>
      <w:r w:rsidRPr="00E93E6A">
        <w:rPr>
          <w:rFonts w:eastAsiaTheme="majorEastAsia" w:cstheme="minorHAnsi"/>
        </w:rPr>
        <w:t>ssociation of Family and Conciliation Courts (AFCC)</w:t>
      </w:r>
      <w:r>
        <w:rPr>
          <w:rFonts w:eastAsiaTheme="majorEastAsia" w:cstheme="minorHAnsi"/>
        </w:rPr>
        <w:t xml:space="preserve"> has selected </w:t>
      </w:r>
      <w:r w:rsidR="00CD6C94" w:rsidRPr="00E93E6A">
        <w:rPr>
          <w:rFonts w:eastAsiaTheme="majorEastAsia" w:cstheme="minorHAnsi"/>
        </w:rPr>
        <w:t xml:space="preserve">Lighthouse as this year’s recipient </w:t>
      </w:r>
      <w:r w:rsidR="00CD6C94" w:rsidRPr="00E93E6A">
        <w:rPr>
          <w:rFonts w:eastAsiaTheme="majorEastAsia" w:cstheme="minorHAnsi"/>
          <w:lang w:val="en-US"/>
        </w:rPr>
        <w:t>of the Irwin Cantor Innovative Program Award</w:t>
      </w:r>
      <w:r w:rsidR="00726906" w:rsidRPr="00E93E6A">
        <w:rPr>
          <w:rFonts w:eastAsiaTheme="majorEastAsia" w:cstheme="minorHAnsi"/>
        </w:rPr>
        <w:t>. The award was p</w:t>
      </w:r>
      <w:r w:rsidR="000B51AD" w:rsidRPr="00E93E6A">
        <w:rPr>
          <w:rFonts w:eastAsiaTheme="majorEastAsia" w:cstheme="minorHAnsi"/>
          <w:lang w:val="en-US"/>
        </w:rPr>
        <w:t xml:space="preserve">resented at </w:t>
      </w:r>
      <w:r w:rsidR="00ED329B" w:rsidRPr="00E93E6A">
        <w:rPr>
          <w:rFonts w:eastAsiaTheme="majorEastAsia" w:cstheme="minorHAnsi"/>
          <w:lang w:val="en-US"/>
        </w:rPr>
        <w:t>a</w:t>
      </w:r>
      <w:r w:rsidR="000B51AD" w:rsidRPr="00E93E6A">
        <w:rPr>
          <w:rFonts w:eastAsiaTheme="majorEastAsia" w:cstheme="minorHAnsi"/>
          <w:lang w:val="en-US"/>
        </w:rPr>
        <w:t xml:space="preserve"> </w:t>
      </w:r>
      <w:r w:rsidR="00ED329B" w:rsidRPr="00E93E6A">
        <w:rPr>
          <w:rFonts w:eastAsiaTheme="majorEastAsia" w:cstheme="minorHAnsi"/>
          <w:lang w:val="en-US"/>
        </w:rPr>
        <w:t>c</w:t>
      </w:r>
      <w:r w:rsidR="000B51AD" w:rsidRPr="00E93E6A">
        <w:rPr>
          <w:rFonts w:eastAsiaTheme="majorEastAsia" w:cstheme="minorHAnsi"/>
          <w:lang w:val="en-US"/>
        </w:rPr>
        <w:t xml:space="preserve">eremony </w:t>
      </w:r>
      <w:r w:rsidR="008F04CD" w:rsidRPr="00E93E6A">
        <w:rPr>
          <w:rFonts w:eastAsiaTheme="majorEastAsia" w:cstheme="minorHAnsi"/>
          <w:lang w:val="en-US"/>
        </w:rPr>
        <w:t xml:space="preserve">held in </w:t>
      </w:r>
      <w:r w:rsidR="000B51AD" w:rsidRPr="00E93E6A">
        <w:rPr>
          <w:rFonts w:eastAsiaTheme="majorEastAsia" w:cstheme="minorHAnsi"/>
          <w:lang w:val="en-US"/>
        </w:rPr>
        <w:t>Los Angeles</w:t>
      </w:r>
      <w:r w:rsidR="008F04CD" w:rsidRPr="00E93E6A">
        <w:rPr>
          <w:rFonts w:eastAsiaTheme="majorEastAsia" w:cstheme="minorHAnsi"/>
          <w:lang w:val="en-US"/>
        </w:rPr>
        <w:t>, USA</w:t>
      </w:r>
      <w:r w:rsidR="00ED329B" w:rsidRPr="00E93E6A">
        <w:rPr>
          <w:rFonts w:eastAsiaTheme="majorEastAsia" w:cstheme="minorHAnsi"/>
          <w:lang w:val="en-US"/>
        </w:rPr>
        <w:t xml:space="preserve"> on 31 May 2023</w:t>
      </w:r>
      <w:r w:rsidR="000B51AD" w:rsidRPr="00E93E6A">
        <w:rPr>
          <w:rFonts w:eastAsiaTheme="majorEastAsia" w:cstheme="minorHAnsi"/>
          <w:lang w:val="en-US"/>
        </w:rPr>
        <w:t xml:space="preserve">. </w:t>
      </w:r>
    </w:p>
    <w:p w14:paraId="4CACDE88" w14:textId="572D8C57" w:rsidR="001F09F7" w:rsidRDefault="001F09F7" w:rsidP="00DC3615">
      <w:pPr>
        <w:spacing w:before="240" w:after="0"/>
        <w:ind w:right="0"/>
      </w:pPr>
      <w:r>
        <w:rPr>
          <w:rFonts w:eastAsia="Times New Roman" w:cstheme="minorHAnsi"/>
          <w:bCs/>
          <w:lang w:eastAsia="zh-CN"/>
        </w:rPr>
        <w:t>The Honourable Chief Justice Will Alstergren AO</w:t>
      </w:r>
      <w:r>
        <w:t xml:space="preserve"> said that over the past five years </w:t>
      </w:r>
      <w:r w:rsidR="00853633">
        <w:t xml:space="preserve">or so, </w:t>
      </w:r>
      <w:r>
        <w:t xml:space="preserve">our Courts have been determinedly focused on reviewing, creating and changing </w:t>
      </w:r>
      <w:r w:rsidR="00747924">
        <w:t>a</w:t>
      </w:r>
      <w:r>
        <w:t>ll aspects of the court process to ensure that they deliver a timely, efficient and</w:t>
      </w:r>
      <w:r w:rsidR="00E93E6A">
        <w:t>,</w:t>
      </w:r>
      <w:r>
        <w:t xml:space="preserve"> importantly, a safe</w:t>
      </w:r>
      <w:r w:rsidR="00DC3615">
        <w:t xml:space="preserve"> experience for all litigants.</w:t>
      </w:r>
    </w:p>
    <w:p w14:paraId="5AC19D1A" w14:textId="77777777" w:rsidR="00CD6C94" w:rsidRDefault="001F09F7" w:rsidP="00DC3615">
      <w:pPr>
        <w:spacing w:before="240" w:after="0"/>
        <w:ind w:right="0"/>
      </w:pPr>
      <w:r>
        <w:t xml:space="preserve">“Innovation is at the forefront of our approach to change. For </w:t>
      </w:r>
      <w:r w:rsidR="00853633">
        <w:t xml:space="preserve">many </w:t>
      </w:r>
      <w:r>
        <w:t xml:space="preserve">years people were calling for change in the family law system and we have </w:t>
      </w:r>
      <w:r w:rsidR="000913AF">
        <w:t xml:space="preserve">worked hard to </w:t>
      </w:r>
      <w:r>
        <w:t>deliver</w:t>
      </w:r>
      <w:r w:rsidR="00747924">
        <w:t xml:space="preserve"> that transformation</w:t>
      </w:r>
      <w:r>
        <w:t>. I</w:t>
      </w:r>
      <w:r w:rsidR="0014568D">
        <w:t xml:space="preserve">t is pleasing that this work has </w:t>
      </w:r>
      <w:r w:rsidR="00941362">
        <w:t xml:space="preserve">now </w:t>
      </w:r>
      <w:r w:rsidR="0014568D">
        <w:t xml:space="preserve">been recognised by members of a </w:t>
      </w:r>
      <w:r w:rsidR="00CD6C94" w:rsidRPr="008F04CD">
        <w:t>world</w:t>
      </w:r>
      <w:r w:rsidR="0014568D">
        <w:t xml:space="preserve">wide association of </w:t>
      </w:r>
      <w:r w:rsidR="00CD6C94" w:rsidRPr="008F04CD">
        <w:t xml:space="preserve">family </w:t>
      </w:r>
      <w:r w:rsidR="0014568D">
        <w:t xml:space="preserve">and conciliation </w:t>
      </w:r>
      <w:r w:rsidR="00E93E6A">
        <w:t>C</w:t>
      </w:r>
      <w:r w:rsidR="00CD6C94" w:rsidRPr="008F04CD">
        <w:t>ourt</w:t>
      </w:r>
      <w:r w:rsidR="0014568D">
        <w:t>s</w:t>
      </w:r>
      <w:r w:rsidR="00CD6C94" w:rsidRPr="008F04CD">
        <w:t>.</w:t>
      </w:r>
      <w:r w:rsidR="003A4CB6">
        <w:t>”</w:t>
      </w:r>
    </w:p>
    <w:p w14:paraId="4226CDAF" w14:textId="77777777" w:rsidR="0055014F" w:rsidRPr="008F04CD" w:rsidRDefault="003A4CB6" w:rsidP="00DC3615">
      <w:pPr>
        <w:spacing w:before="240" w:after="0"/>
        <w:ind w:right="0"/>
      </w:pPr>
      <w:r>
        <w:rPr>
          <w:rFonts w:eastAsia="Times New Roman" w:cstheme="minorHAnsi"/>
          <w:bCs/>
          <w:lang w:eastAsia="zh-CN"/>
        </w:rPr>
        <w:t>“</w:t>
      </w:r>
      <w:r w:rsidR="0055014F">
        <w:rPr>
          <w:rFonts w:eastAsia="Times New Roman" w:cstheme="minorHAnsi"/>
          <w:bCs/>
          <w:lang w:eastAsia="zh-CN"/>
        </w:rPr>
        <w:t xml:space="preserve">I congratulate the many people who have played a significant role in the creation of Lighthouse which is now </w:t>
      </w:r>
      <w:r w:rsidR="00E93E6A">
        <w:rPr>
          <w:rFonts w:eastAsia="Times New Roman" w:cstheme="minorHAnsi"/>
          <w:bCs/>
          <w:lang w:eastAsia="zh-CN"/>
        </w:rPr>
        <w:t xml:space="preserve">embedded </w:t>
      </w:r>
      <w:r w:rsidR="0055014F">
        <w:rPr>
          <w:rFonts w:eastAsia="Times New Roman" w:cstheme="minorHAnsi"/>
          <w:bCs/>
          <w:lang w:eastAsia="zh-CN"/>
        </w:rPr>
        <w:t xml:space="preserve">within </w:t>
      </w:r>
      <w:r w:rsidR="00E93E6A">
        <w:rPr>
          <w:rFonts w:eastAsia="Times New Roman" w:cstheme="minorHAnsi"/>
          <w:bCs/>
          <w:lang w:eastAsia="zh-CN"/>
        </w:rPr>
        <w:t>C</w:t>
      </w:r>
      <w:r w:rsidR="0055014F">
        <w:rPr>
          <w:rFonts w:eastAsia="Times New Roman" w:cstheme="minorHAnsi"/>
          <w:bCs/>
          <w:lang w:eastAsia="zh-CN"/>
        </w:rPr>
        <w:t xml:space="preserve">ourt processes, and is clearly a ground-breaking approach </w:t>
      </w:r>
      <w:r w:rsidR="00853633">
        <w:rPr>
          <w:rFonts w:eastAsia="Times New Roman" w:cstheme="minorHAnsi"/>
          <w:bCs/>
          <w:lang w:eastAsia="zh-CN"/>
        </w:rPr>
        <w:t xml:space="preserve">to identifying risk </w:t>
      </w:r>
      <w:r>
        <w:rPr>
          <w:rFonts w:eastAsia="Times New Roman" w:cstheme="minorHAnsi"/>
          <w:bCs/>
          <w:lang w:eastAsia="zh-CN"/>
        </w:rPr>
        <w:t>in family law C</w:t>
      </w:r>
      <w:r w:rsidR="0055014F">
        <w:rPr>
          <w:rFonts w:eastAsia="Times New Roman" w:cstheme="minorHAnsi"/>
          <w:bCs/>
          <w:lang w:eastAsia="zh-CN"/>
        </w:rPr>
        <w:t>ourts internationally,” Chief Justice Alstergren said.</w:t>
      </w:r>
    </w:p>
    <w:p w14:paraId="4D4CB78D" w14:textId="77777777" w:rsidR="000912AB" w:rsidRDefault="00C2406D" w:rsidP="00DC3615">
      <w:pPr>
        <w:spacing w:before="240"/>
        <w:ind w:right="0"/>
      </w:pPr>
      <w:r>
        <w:t xml:space="preserve">The Lighthouse initiative seeks to ensure that family safety risks are identified early and managed </w:t>
      </w:r>
      <w:r w:rsidR="000912AB">
        <w:t>effectively</w:t>
      </w:r>
      <w:r>
        <w:t xml:space="preserve"> from the point of filing. </w:t>
      </w:r>
      <w:r w:rsidR="00053FB4">
        <w:t xml:space="preserve">Lighthouse </w:t>
      </w:r>
      <w:r>
        <w:t xml:space="preserve">ensures </w:t>
      </w:r>
      <w:r w:rsidR="00053FB4">
        <w:t xml:space="preserve">that </w:t>
      </w:r>
      <w:r>
        <w:rPr>
          <w:rFonts w:ascii="Calibri" w:hAnsi="Calibri" w:cs="Calibri"/>
          <w:bCs/>
          <w:lang w:eastAsia="zh-CN"/>
        </w:rPr>
        <w:t xml:space="preserve">all families will receive support that is targeted for their circumstances. </w:t>
      </w:r>
      <w:r>
        <w:t>The process begins with the confidential Family DOORS Triage risk screen questionnaire</w:t>
      </w:r>
      <w:r w:rsidR="003A4CB6">
        <w:t>,</w:t>
      </w:r>
      <w:r>
        <w:t xml:space="preserve"> which is provided to litigants immediately after filing an Initiating Application or Response</w:t>
      </w:r>
      <w:r w:rsidR="003A4CB6">
        <w:t xml:space="preserve"> seeking parenting orders</w:t>
      </w:r>
      <w:r>
        <w:t xml:space="preserve">. If a matter is identified as high-risk, it is reviewed by a specialist </w:t>
      </w:r>
      <w:r w:rsidR="000912AB">
        <w:t>T</w:t>
      </w:r>
      <w:r>
        <w:t xml:space="preserve">riage </w:t>
      </w:r>
      <w:r w:rsidR="000912AB">
        <w:t>C</w:t>
      </w:r>
      <w:r>
        <w:t>ounsellor</w:t>
      </w:r>
      <w:r w:rsidR="000912AB">
        <w:t xml:space="preserve"> (</w:t>
      </w:r>
      <w:r w:rsidR="00E93E6A">
        <w:rPr>
          <w:rFonts w:eastAsia="Times New Roman"/>
        </w:rPr>
        <w:t>social scientists with significant experience in risk assessment and management</w:t>
      </w:r>
      <w:r w:rsidR="000912AB">
        <w:t>)</w:t>
      </w:r>
      <w:r>
        <w:t xml:space="preserve"> for referral to</w:t>
      </w:r>
      <w:r w:rsidR="00E93E6A">
        <w:t xml:space="preserve"> tailored</w:t>
      </w:r>
      <w:r>
        <w:t xml:space="preserve"> support services</w:t>
      </w:r>
      <w:r w:rsidR="000912AB">
        <w:t>, and to a specially trained J</w:t>
      </w:r>
      <w:r>
        <w:t xml:space="preserve">udicial </w:t>
      </w:r>
      <w:r w:rsidR="000912AB">
        <w:t>Registrar</w:t>
      </w:r>
      <w:r>
        <w:t xml:space="preserve"> for case management, including in the high-risk </w:t>
      </w:r>
      <w:r w:rsidRPr="003064ED">
        <w:rPr>
          <w:i/>
        </w:rPr>
        <w:t>Evatt List</w:t>
      </w:r>
      <w:r>
        <w:t xml:space="preserve">. </w:t>
      </w:r>
    </w:p>
    <w:p w14:paraId="132A7A56" w14:textId="77777777" w:rsidR="000912AB" w:rsidRDefault="00C2406D" w:rsidP="00DC3615">
      <w:pPr>
        <w:ind w:right="0"/>
      </w:pPr>
      <w:r>
        <w:t xml:space="preserve">Once assessed, the aim is to </w:t>
      </w:r>
      <w:r w:rsidR="000912AB">
        <w:t xml:space="preserve">tailor the case management to fit the risk profile of each family, to help </w:t>
      </w:r>
      <w:r w:rsidR="003A4CB6">
        <w:t>families</w:t>
      </w:r>
      <w:r w:rsidR="000912AB">
        <w:t xml:space="preserve"> resolve their dispute</w:t>
      </w:r>
      <w:r w:rsidR="00E93E6A">
        <w:t>s</w:t>
      </w:r>
      <w:r w:rsidR="000912AB">
        <w:t xml:space="preserve"> safely, or to progress matter</w:t>
      </w:r>
      <w:r w:rsidR="00E93E6A">
        <w:t>s</w:t>
      </w:r>
      <w:r w:rsidR="000912AB">
        <w:t xml:space="preserve"> to a priority hearing as quickly as possible.</w:t>
      </w:r>
    </w:p>
    <w:p w14:paraId="2EF2A335" w14:textId="2D549C20" w:rsidR="000C5E0D" w:rsidRDefault="000912AB" w:rsidP="00DC3615">
      <w:pPr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 xml:space="preserve">Recently, in April, </w:t>
      </w:r>
      <w:r w:rsidR="00D06BD5">
        <w:rPr>
          <w:rFonts w:eastAsia="Times New Roman" w:cstheme="minorHAnsi"/>
          <w:bCs/>
          <w:lang w:eastAsia="zh-CN"/>
        </w:rPr>
        <w:t xml:space="preserve">the Courts also received </w:t>
      </w:r>
      <w:r w:rsidR="000C5E0D">
        <w:rPr>
          <w:rFonts w:eastAsia="Times New Roman" w:cstheme="minorHAnsi"/>
          <w:bCs/>
          <w:lang w:eastAsia="zh-CN"/>
        </w:rPr>
        <w:t xml:space="preserve">the </w:t>
      </w:r>
      <w:hyperlink r:id="rId12" w:history="1">
        <w:r w:rsidR="000C5E0D" w:rsidRPr="0055014F">
          <w:rPr>
            <w:rStyle w:val="Hyperlink"/>
            <w:rFonts w:eastAsia="Times New Roman" w:cstheme="minorHAnsi"/>
            <w:bCs/>
            <w:lang w:eastAsia="zh-CN"/>
          </w:rPr>
          <w:t>Australian Alternative Dispute Resolution Award</w:t>
        </w:r>
      </w:hyperlink>
      <w:r w:rsidR="000C5E0D" w:rsidRPr="000C5E0D">
        <w:rPr>
          <w:rFonts w:eastAsia="Times New Roman" w:cstheme="minorHAnsi"/>
          <w:bCs/>
          <w:lang w:eastAsia="zh-CN"/>
        </w:rPr>
        <w:t xml:space="preserve"> </w:t>
      </w:r>
      <w:r w:rsidR="000913AF">
        <w:rPr>
          <w:rFonts w:eastAsia="Times New Roman" w:cstheme="minorHAnsi"/>
          <w:bCs/>
          <w:lang w:eastAsia="zh-CN"/>
        </w:rPr>
        <w:t>in recognition of the work done to</w:t>
      </w:r>
      <w:r w:rsidR="000C5E0D" w:rsidRPr="000C5E0D">
        <w:rPr>
          <w:rFonts w:eastAsia="Times New Roman" w:cstheme="minorHAnsi"/>
          <w:bCs/>
          <w:lang w:eastAsia="zh-CN"/>
        </w:rPr>
        <w:t xml:space="preserve"> </w:t>
      </w:r>
      <w:r w:rsidR="000913AF" w:rsidRPr="000C5E0D">
        <w:rPr>
          <w:rFonts w:eastAsia="Times New Roman" w:cstheme="minorHAnsi"/>
          <w:bCs/>
          <w:lang w:eastAsia="zh-CN"/>
        </w:rPr>
        <w:t>integrat</w:t>
      </w:r>
      <w:r w:rsidR="000913AF">
        <w:rPr>
          <w:rFonts w:eastAsia="Times New Roman" w:cstheme="minorHAnsi"/>
          <w:bCs/>
          <w:lang w:eastAsia="zh-CN"/>
        </w:rPr>
        <w:t>e</w:t>
      </w:r>
      <w:r w:rsidR="000C5E0D" w:rsidRPr="000C5E0D">
        <w:rPr>
          <w:rFonts w:eastAsia="Times New Roman" w:cstheme="minorHAnsi"/>
          <w:bCs/>
          <w:lang w:eastAsia="zh-CN"/>
        </w:rPr>
        <w:t xml:space="preserve"> safe dispute resolution into the family law system, winning the Courts and Tribunals - Alternative Dispute Resolution Group of the Year</w:t>
      </w:r>
      <w:r w:rsidR="000C5E0D">
        <w:rPr>
          <w:rFonts w:eastAsia="Times New Roman" w:cstheme="minorHAnsi"/>
          <w:bCs/>
          <w:lang w:eastAsia="zh-CN"/>
        </w:rPr>
        <w:t>.</w:t>
      </w:r>
    </w:p>
    <w:p w14:paraId="2D6BE579" w14:textId="77777777" w:rsidR="007E70EC" w:rsidRDefault="001715D0" w:rsidP="00DC3615">
      <w:pPr>
        <w:spacing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lastRenderedPageBreak/>
        <w:t xml:space="preserve">Mr David Pringle, Chief Executive Officer and Principal Registrar said </w:t>
      </w:r>
      <w:r w:rsidR="00853633">
        <w:rPr>
          <w:rFonts w:eastAsia="Times New Roman" w:cstheme="minorHAnsi"/>
          <w:bCs/>
          <w:lang w:eastAsia="zh-CN"/>
        </w:rPr>
        <w:t xml:space="preserve">that </w:t>
      </w:r>
      <w:r>
        <w:rPr>
          <w:rFonts w:eastAsia="Times New Roman" w:cstheme="minorHAnsi"/>
          <w:bCs/>
          <w:lang w:eastAsia="zh-CN"/>
        </w:rPr>
        <w:t>th</w:t>
      </w:r>
      <w:r w:rsidR="000C5E0D">
        <w:rPr>
          <w:rFonts w:eastAsia="Times New Roman" w:cstheme="minorHAnsi"/>
          <w:bCs/>
          <w:lang w:eastAsia="zh-CN"/>
        </w:rPr>
        <w:t>e</w:t>
      </w:r>
      <w:r>
        <w:rPr>
          <w:rFonts w:eastAsia="Times New Roman" w:cstheme="minorHAnsi"/>
          <w:bCs/>
          <w:lang w:eastAsia="zh-CN"/>
        </w:rPr>
        <w:t>s</w:t>
      </w:r>
      <w:r w:rsidR="000C5E0D">
        <w:rPr>
          <w:rFonts w:eastAsia="Times New Roman" w:cstheme="minorHAnsi"/>
          <w:bCs/>
          <w:lang w:eastAsia="zh-CN"/>
        </w:rPr>
        <w:t>e</w:t>
      </w:r>
      <w:r>
        <w:rPr>
          <w:rFonts w:eastAsia="Times New Roman" w:cstheme="minorHAnsi"/>
          <w:bCs/>
          <w:lang w:eastAsia="zh-CN"/>
        </w:rPr>
        <w:t xml:space="preserve"> award</w:t>
      </w:r>
      <w:r w:rsidR="000C5E0D">
        <w:rPr>
          <w:rFonts w:eastAsia="Times New Roman" w:cstheme="minorHAnsi"/>
          <w:bCs/>
          <w:lang w:eastAsia="zh-CN"/>
        </w:rPr>
        <w:t xml:space="preserve">s </w:t>
      </w:r>
      <w:r w:rsidR="007E70EC">
        <w:rPr>
          <w:rFonts w:eastAsia="Times New Roman" w:cstheme="minorHAnsi"/>
          <w:bCs/>
          <w:lang w:eastAsia="zh-CN"/>
        </w:rPr>
        <w:t>acknowledg</w:t>
      </w:r>
      <w:r w:rsidR="000C5E0D">
        <w:rPr>
          <w:rFonts w:eastAsia="Times New Roman" w:cstheme="minorHAnsi"/>
          <w:bCs/>
          <w:lang w:eastAsia="zh-CN"/>
        </w:rPr>
        <w:t xml:space="preserve">e the profound </w:t>
      </w:r>
      <w:r w:rsidR="007E70EC">
        <w:rPr>
          <w:rFonts w:eastAsia="Times New Roman" w:cstheme="minorHAnsi"/>
          <w:bCs/>
          <w:lang w:eastAsia="zh-CN"/>
        </w:rPr>
        <w:t>benefits that these changes have had on the many thousands of</w:t>
      </w:r>
      <w:r w:rsidR="003A4CB6">
        <w:rPr>
          <w:rFonts w:eastAsia="Times New Roman" w:cstheme="minorHAnsi"/>
          <w:bCs/>
          <w:lang w:eastAsia="zh-CN"/>
        </w:rPr>
        <w:t xml:space="preserve"> families that engage with the C</w:t>
      </w:r>
      <w:r w:rsidR="007E70EC">
        <w:rPr>
          <w:rFonts w:eastAsia="Times New Roman" w:cstheme="minorHAnsi"/>
          <w:bCs/>
          <w:lang w:eastAsia="zh-CN"/>
        </w:rPr>
        <w:t>ourts each year</w:t>
      </w:r>
      <w:r w:rsidR="00922DC6">
        <w:rPr>
          <w:rFonts w:eastAsia="Times New Roman" w:cstheme="minorHAnsi"/>
          <w:bCs/>
          <w:lang w:eastAsia="zh-CN"/>
        </w:rPr>
        <w:t>, and will continue to have into the future</w:t>
      </w:r>
      <w:r w:rsidR="007E70EC">
        <w:rPr>
          <w:rFonts w:eastAsia="Times New Roman" w:cstheme="minorHAnsi"/>
          <w:bCs/>
          <w:lang w:eastAsia="zh-CN"/>
        </w:rPr>
        <w:t>.</w:t>
      </w:r>
    </w:p>
    <w:p w14:paraId="3803E77C" w14:textId="77777777" w:rsidR="008C013E" w:rsidRDefault="00922DC6" w:rsidP="00DC3615">
      <w:pPr>
        <w:spacing w:before="240"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 xml:space="preserve">“Courts have the reputation of being conservative, but in recent years, </w:t>
      </w:r>
      <w:r w:rsidR="000912AB">
        <w:rPr>
          <w:rFonts w:eastAsia="Times New Roman" w:cstheme="minorHAnsi"/>
          <w:bCs/>
          <w:lang w:eastAsia="zh-CN"/>
        </w:rPr>
        <w:t>our Courts</w:t>
      </w:r>
      <w:r>
        <w:rPr>
          <w:rFonts w:eastAsia="Times New Roman" w:cstheme="minorHAnsi"/>
          <w:bCs/>
          <w:lang w:eastAsia="zh-CN"/>
        </w:rPr>
        <w:t xml:space="preserve"> have thoroughly embraced change to ensure that </w:t>
      </w:r>
      <w:r w:rsidR="00053FB4">
        <w:rPr>
          <w:rFonts w:eastAsia="Times New Roman" w:cstheme="minorHAnsi"/>
          <w:bCs/>
          <w:lang w:eastAsia="zh-CN"/>
        </w:rPr>
        <w:t>s</w:t>
      </w:r>
      <w:r w:rsidR="000912AB">
        <w:rPr>
          <w:rFonts w:eastAsia="Times New Roman" w:cstheme="minorHAnsi"/>
          <w:bCs/>
          <w:lang w:eastAsia="zh-CN"/>
        </w:rPr>
        <w:t xml:space="preserve">afe and effective dispute resolution is available in family law disputes, and to address the considerable risk factors and </w:t>
      </w:r>
      <w:r w:rsidR="00607EDC" w:rsidRPr="00607EDC">
        <w:rPr>
          <w:rFonts w:eastAsia="Times New Roman" w:cstheme="minorHAnsi"/>
          <w:bCs/>
          <w:lang w:eastAsia="zh-CN"/>
        </w:rPr>
        <w:t>complexities pre</w:t>
      </w:r>
      <w:r w:rsidR="00273C99">
        <w:rPr>
          <w:rFonts w:eastAsia="Times New Roman" w:cstheme="minorHAnsi"/>
          <w:bCs/>
          <w:lang w:eastAsia="zh-CN"/>
        </w:rPr>
        <w:t>sent in many parenting disputes.</w:t>
      </w:r>
      <w:r w:rsidR="00E93E6A">
        <w:rPr>
          <w:rFonts w:eastAsia="Times New Roman" w:cstheme="minorHAnsi"/>
          <w:bCs/>
          <w:lang w:eastAsia="zh-CN"/>
        </w:rPr>
        <w:t>”</w:t>
      </w:r>
    </w:p>
    <w:p w14:paraId="55584D56" w14:textId="77777777" w:rsidR="0055014F" w:rsidRDefault="0055014F" w:rsidP="00DC3615">
      <w:pPr>
        <w:spacing w:before="240"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 xml:space="preserve">“I congratulate </w:t>
      </w:r>
      <w:r w:rsidR="00852C0F">
        <w:rPr>
          <w:rFonts w:eastAsia="Times New Roman" w:cstheme="minorHAnsi"/>
          <w:bCs/>
          <w:lang w:eastAsia="zh-CN"/>
        </w:rPr>
        <w:t xml:space="preserve">everyone who has been involved in </w:t>
      </w:r>
      <w:r w:rsidR="000912AB">
        <w:rPr>
          <w:rFonts w:eastAsia="Times New Roman" w:cstheme="minorHAnsi"/>
          <w:bCs/>
          <w:lang w:eastAsia="zh-CN"/>
        </w:rPr>
        <w:t xml:space="preserve">both the dispute resolution and Lighthouse </w:t>
      </w:r>
      <w:r w:rsidR="00852C0F">
        <w:rPr>
          <w:rFonts w:eastAsia="Times New Roman" w:cstheme="minorHAnsi"/>
          <w:bCs/>
          <w:lang w:eastAsia="zh-CN"/>
        </w:rPr>
        <w:t xml:space="preserve">initiatives, and importantly the vision of </w:t>
      </w:r>
      <w:r>
        <w:rPr>
          <w:rFonts w:eastAsia="Times New Roman" w:cstheme="minorHAnsi"/>
          <w:bCs/>
          <w:lang w:eastAsia="zh-CN"/>
        </w:rPr>
        <w:t xml:space="preserve">Chief Justice </w:t>
      </w:r>
      <w:r w:rsidR="00852C0F">
        <w:rPr>
          <w:rFonts w:eastAsia="Times New Roman" w:cstheme="minorHAnsi"/>
          <w:bCs/>
          <w:lang w:eastAsia="zh-CN"/>
        </w:rPr>
        <w:t>Alstergren and his Honour’s enthusiasm t</w:t>
      </w:r>
      <w:r>
        <w:rPr>
          <w:rFonts w:eastAsia="Times New Roman" w:cstheme="minorHAnsi"/>
          <w:bCs/>
          <w:lang w:eastAsia="zh-CN"/>
        </w:rPr>
        <w:t xml:space="preserve">o </w:t>
      </w:r>
      <w:r w:rsidR="00852C0F">
        <w:rPr>
          <w:rFonts w:eastAsia="Times New Roman" w:cstheme="minorHAnsi"/>
          <w:bCs/>
          <w:lang w:eastAsia="zh-CN"/>
        </w:rPr>
        <w:t xml:space="preserve">encourage and embrace innovation for the </w:t>
      </w:r>
      <w:r w:rsidR="000913AF">
        <w:rPr>
          <w:rFonts w:eastAsia="Times New Roman" w:cstheme="minorHAnsi"/>
          <w:bCs/>
          <w:lang w:eastAsia="zh-CN"/>
        </w:rPr>
        <w:t xml:space="preserve">benefit </w:t>
      </w:r>
      <w:r w:rsidR="00852C0F">
        <w:rPr>
          <w:rFonts w:eastAsia="Times New Roman" w:cstheme="minorHAnsi"/>
          <w:bCs/>
          <w:lang w:eastAsia="zh-CN"/>
        </w:rPr>
        <w:t xml:space="preserve">of Australian </w:t>
      </w:r>
      <w:r w:rsidR="000913AF">
        <w:rPr>
          <w:rFonts w:eastAsia="Times New Roman" w:cstheme="minorHAnsi"/>
          <w:bCs/>
          <w:lang w:eastAsia="zh-CN"/>
        </w:rPr>
        <w:t>families</w:t>
      </w:r>
      <w:r w:rsidR="00852C0F">
        <w:rPr>
          <w:rFonts w:eastAsia="Times New Roman" w:cstheme="minorHAnsi"/>
          <w:bCs/>
          <w:lang w:eastAsia="zh-CN"/>
        </w:rPr>
        <w:t xml:space="preserve">.” </w:t>
      </w:r>
      <w:r w:rsidR="003A4CB6">
        <w:rPr>
          <w:rFonts w:eastAsia="Times New Roman" w:cstheme="minorHAnsi"/>
          <w:bCs/>
          <w:lang w:eastAsia="zh-CN"/>
        </w:rPr>
        <w:t>David Pringle said.</w:t>
      </w:r>
    </w:p>
    <w:p w14:paraId="6A940196" w14:textId="0F1966CF" w:rsidR="00C2406D" w:rsidRDefault="00C2406D" w:rsidP="00DC3615">
      <w:pPr>
        <w:spacing w:before="240" w:after="0"/>
        <w:ind w:right="0"/>
        <w:rPr>
          <w:rFonts w:eastAsia="Times New Roman" w:cstheme="minorHAnsi"/>
          <w:bCs/>
          <w:lang w:eastAsia="zh-CN"/>
        </w:rPr>
      </w:pPr>
      <w:r>
        <w:rPr>
          <w:rFonts w:eastAsia="Times New Roman" w:cstheme="minorHAnsi"/>
          <w:bCs/>
          <w:lang w:eastAsia="zh-CN"/>
        </w:rPr>
        <w:t xml:space="preserve">AFCC Board Member, Justice Tom Altobelli, </w:t>
      </w:r>
      <w:r w:rsidRPr="003D4628">
        <w:rPr>
          <w:rFonts w:eastAsia="Times New Roman" w:cstheme="minorHAnsi"/>
          <w:bCs/>
          <w:lang w:eastAsia="zh-CN"/>
        </w:rPr>
        <w:t xml:space="preserve">said that the </w:t>
      </w:r>
      <w:r w:rsidR="000912AB">
        <w:rPr>
          <w:rFonts w:eastAsia="Times New Roman" w:cstheme="minorHAnsi"/>
          <w:bCs/>
          <w:lang w:eastAsia="zh-CN"/>
        </w:rPr>
        <w:t xml:space="preserve">international </w:t>
      </w:r>
      <w:r w:rsidRPr="003D4628">
        <w:rPr>
          <w:rFonts w:eastAsia="Times New Roman" w:cstheme="minorHAnsi"/>
          <w:bCs/>
          <w:lang w:eastAsia="zh-CN"/>
        </w:rPr>
        <w:t xml:space="preserve">award </w:t>
      </w:r>
      <w:r>
        <w:rPr>
          <w:rFonts w:eastAsia="Times New Roman" w:cstheme="minorHAnsi"/>
          <w:bCs/>
          <w:lang w:eastAsia="zh-CN"/>
        </w:rPr>
        <w:t xml:space="preserve">recognises the tireless work of the Judges and staff of the Courts who strive to create a system that prioritises the safety and welfare of children at the centre of family law disputes, and all people who come to </w:t>
      </w:r>
      <w:r w:rsidR="00E93E6A">
        <w:rPr>
          <w:rFonts w:eastAsia="Times New Roman" w:cstheme="minorHAnsi"/>
          <w:bCs/>
          <w:lang w:eastAsia="zh-CN"/>
        </w:rPr>
        <w:t>C</w:t>
      </w:r>
      <w:r>
        <w:rPr>
          <w:rFonts w:eastAsia="Times New Roman" w:cstheme="minorHAnsi"/>
          <w:bCs/>
          <w:lang w:eastAsia="zh-CN"/>
        </w:rPr>
        <w:t>ourt</w:t>
      </w:r>
      <w:r w:rsidR="00E93E6A">
        <w:rPr>
          <w:rFonts w:eastAsia="Times New Roman" w:cstheme="minorHAnsi"/>
          <w:bCs/>
          <w:lang w:eastAsia="zh-CN"/>
        </w:rPr>
        <w:t>s</w:t>
      </w:r>
      <w:r>
        <w:rPr>
          <w:rFonts w:eastAsia="Times New Roman" w:cstheme="minorHAnsi"/>
          <w:bCs/>
          <w:lang w:eastAsia="zh-CN"/>
        </w:rPr>
        <w:t xml:space="preserve"> seeki</w:t>
      </w:r>
      <w:r w:rsidR="00DC3615">
        <w:rPr>
          <w:rFonts w:eastAsia="Times New Roman" w:cstheme="minorHAnsi"/>
          <w:bCs/>
          <w:lang w:eastAsia="zh-CN"/>
        </w:rPr>
        <w:t>ng resolution of their dispute.</w:t>
      </w:r>
      <w:bookmarkStart w:id="0" w:name="_GoBack"/>
      <w:bookmarkEnd w:id="0"/>
    </w:p>
    <w:sectPr w:rsidR="00C2406D" w:rsidSect="00837FC0">
      <w:footerReference w:type="default" r:id="rId13"/>
      <w:pgSz w:w="11906" w:h="16838"/>
      <w:pgMar w:top="144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081AE3" w14:textId="77777777" w:rsidR="00B62A66" w:rsidRDefault="00B62A66" w:rsidP="0017312B">
      <w:r>
        <w:separator/>
      </w:r>
    </w:p>
  </w:endnote>
  <w:endnote w:type="continuationSeparator" w:id="0">
    <w:p w14:paraId="3F2E972E" w14:textId="77777777" w:rsidR="00B62A66" w:rsidRDefault="00B62A66" w:rsidP="00173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5F81E7BF" w14:textId="3795032E" w:rsidR="00D2548B" w:rsidRPr="0017312B" w:rsidRDefault="00D2548B" w:rsidP="0017312B">
        <w:pPr>
          <w:pStyle w:val="Footer"/>
          <w:jc w:val="right"/>
          <w:rPr>
            <w:b/>
            <w:bCs/>
            <w:sz w:val="20"/>
            <w:szCs w:val="20"/>
          </w:rPr>
        </w:pPr>
        <w:r w:rsidRPr="0017312B">
          <w:rPr>
            <w:sz w:val="20"/>
            <w:szCs w:val="20"/>
          </w:rPr>
          <w:fldChar w:fldCharType="begin"/>
        </w:r>
        <w:r w:rsidRPr="0017312B">
          <w:rPr>
            <w:sz w:val="20"/>
            <w:szCs w:val="20"/>
          </w:rPr>
          <w:instrText xml:space="preserve"> PAGE   \* MERGEFORMAT </w:instrText>
        </w:r>
        <w:r w:rsidRPr="0017312B">
          <w:rPr>
            <w:sz w:val="20"/>
            <w:szCs w:val="20"/>
          </w:rPr>
          <w:fldChar w:fldCharType="separate"/>
        </w:r>
        <w:r w:rsidR="003B0AE1" w:rsidRPr="003B0AE1">
          <w:rPr>
            <w:b/>
            <w:bCs/>
            <w:noProof/>
            <w:sz w:val="20"/>
            <w:szCs w:val="20"/>
          </w:rPr>
          <w:t>2</w:t>
        </w:r>
        <w:r w:rsidRPr="0017312B">
          <w:rPr>
            <w:b/>
            <w:bCs/>
            <w:noProof/>
            <w:sz w:val="20"/>
            <w:szCs w:val="20"/>
          </w:rPr>
          <w:fldChar w:fldCharType="end"/>
        </w:r>
        <w:r w:rsidRPr="0017312B">
          <w:rPr>
            <w:b/>
            <w:bCs/>
            <w:sz w:val="20"/>
            <w:szCs w:val="20"/>
          </w:rPr>
          <w:t xml:space="preserve"> | </w:t>
        </w:r>
        <w:r w:rsidR="00DB4406">
          <w:rPr>
            <w:color w:val="7F7F7F" w:themeColor="background1" w:themeShade="7F"/>
            <w:spacing w:val="60"/>
            <w:sz w:val="20"/>
            <w:szCs w:val="20"/>
          </w:rPr>
          <w:t>Page</w:t>
        </w:r>
      </w:p>
    </w:sdtContent>
  </w:sdt>
  <w:p w14:paraId="15A473AA" w14:textId="0DDACA24" w:rsidR="00965ADE" w:rsidRDefault="00DC3615" w:rsidP="00DB4406">
    <w:r>
      <w:rPr>
        <w:b/>
        <w:bCs/>
        <w:noProof/>
        <w:color w:val="44546A"/>
        <w:lang w:eastAsia="en-AU"/>
      </w:rPr>
      <w:t>Bruce Phillips</w:t>
    </w:r>
    <w:r w:rsidR="00582736">
      <w:rPr>
        <w:b/>
        <w:bCs/>
        <w:noProof/>
        <w:color w:val="44546A"/>
        <w:lang w:eastAsia="en-AU"/>
      </w:rPr>
      <w:t xml:space="preserve">, </w:t>
    </w:r>
    <w:r w:rsidRPr="003B0AE1">
      <w:rPr>
        <w:bCs/>
        <w:noProof/>
        <w:color w:val="000000" w:themeColor="text1"/>
        <w:lang w:eastAsia="en-AU"/>
      </w:rPr>
      <w:t>A</w:t>
    </w:r>
    <w:r w:rsidR="003B0AE1">
      <w:rPr>
        <w:bCs/>
        <w:noProof/>
        <w:color w:val="000000" w:themeColor="text1"/>
        <w:lang w:eastAsia="en-AU"/>
      </w:rPr>
      <w:t>ctin</w:t>
    </w:r>
    <w:r w:rsidRPr="003B0AE1">
      <w:rPr>
        <w:bCs/>
        <w:noProof/>
        <w:color w:val="000000" w:themeColor="text1"/>
        <w:lang w:eastAsia="en-AU"/>
      </w:rPr>
      <w:t>g</w:t>
    </w:r>
    <w:r w:rsidRPr="003B0AE1">
      <w:rPr>
        <w:b/>
        <w:bCs/>
        <w:noProof/>
        <w:color w:val="000000" w:themeColor="text1"/>
        <w:lang w:eastAsia="en-AU"/>
      </w:rPr>
      <w:t xml:space="preserve"> </w:t>
    </w:r>
    <w:r w:rsidR="00582736">
      <w:rPr>
        <w:noProof/>
        <w:lang w:eastAsia="en-AU"/>
      </w:rPr>
      <w:t>Director – Media &amp; Public Affairs, Federal Circui</w:t>
    </w:r>
    <w:r w:rsidR="00DB4406">
      <w:rPr>
        <w:noProof/>
        <w:lang w:eastAsia="en-AU"/>
      </w:rPr>
      <w:t>t and Family Court of Australia</w:t>
    </w:r>
    <w:r w:rsidR="00DB4406">
      <w:rPr>
        <w:noProof/>
        <w:lang w:eastAsia="en-AU"/>
      </w:rPr>
      <w:br/>
    </w:r>
    <w:r w:rsidR="00582736"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 xml:space="preserve">m. </w:t>
    </w:r>
    <w:r w:rsidR="00582736">
      <w:rPr>
        <w:rFonts w:ascii="Calibri Light" w:eastAsiaTheme="minorEastAsia" w:hAnsi="Calibri Light" w:cs="Calibri Light"/>
        <w:noProof/>
        <w:color w:val="666666"/>
        <w:lang w:eastAsia="en-AU"/>
      </w:rPr>
      <w:t>04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>1</w:t>
    </w:r>
    <w:r w:rsidR="00582736">
      <w:rPr>
        <w:rFonts w:ascii="Calibri Light" w:eastAsiaTheme="minorEastAsia" w:hAnsi="Calibri Light" w:cs="Calibri Light"/>
        <w:noProof/>
        <w:color w:val="666666"/>
        <w:lang w:eastAsia="en-AU"/>
      </w:rPr>
      <w:t xml:space="preserve">9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>341</w:t>
    </w:r>
    <w:r w:rsidR="00582736">
      <w:rPr>
        <w:rFonts w:ascii="Calibri Light" w:eastAsiaTheme="minorEastAsia" w:hAnsi="Calibri Light" w:cs="Calibri Light"/>
        <w:noProof/>
        <w:color w:val="666666"/>
        <w:lang w:eastAsia="en-AU"/>
      </w:rPr>
      <w:t xml:space="preserve"> </w:t>
    </w:r>
    <w:r>
      <w:rPr>
        <w:rFonts w:ascii="Calibri Light" w:eastAsiaTheme="minorEastAsia" w:hAnsi="Calibri Light" w:cs="Calibri Light"/>
        <w:noProof/>
        <w:color w:val="666666"/>
        <w:lang w:eastAsia="en-AU"/>
      </w:rPr>
      <w:t>506</w:t>
    </w:r>
    <w:r w:rsidR="00582736">
      <w:rPr>
        <w:rFonts w:ascii="Calibri Light" w:eastAsiaTheme="minorEastAsia" w:hAnsi="Calibri Light" w:cs="Calibri Light"/>
        <w:noProof/>
        <w:color w:val="666666"/>
        <w:lang w:eastAsia="en-AU"/>
      </w:rPr>
      <w:t xml:space="preserve"> </w:t>
    </w:r>
    <w:r w:rsidR="00582736">
      <w:rPr>
        <w:rFonts w:ascii="Calibri Light" w:eastAsiaTheme="minorEastAsia" w:hAnsi="Calibri Light" w:cs="Calibri Light"/>
        <w:b/>
        <w:bCs/>
        <w:noProof/>
        <w:color w:val="44546A"/>
        <w:lang w:eastAsia="en-AU"/>
      </w:rPr>
      <w:t>e.</w:t>
    </w:r>
    <w:r w:rsidR="00582736">
      <w:rPr>
        <w:rFonts w:ascii="Calibri Light" w:eastAsiaTheme="minorEastAsia" w:hAnsi="Calibri Light" w:cs="Calibri Light"/>
        <w:b/>
        <w:bCs/>
        <w:noProof/>
        <w:color w:val="000000"/>
        <w:lang w:eastAsia="en-AU"/>
      </w:rPr>
      <w:t xml:space="preserve"> </w:t>
    </w:r>
    <w:hyperlink r:id="rId1" w:history="1">
      <w:r w:rsidRPr="00C53AF8">
        <w:rPr>
          <w:rStyle w:val="Hyperlink"/>
          <w:rFonts w:ascii="Calibri Light" w:eastAsiaTheme="minorEastAsia" w:hAnsi="Calibri Light" w:cs="Calibri Light"/>
          <w:noProof/>
        </w:rPr>
        <w:t>bruce.phillips@fedcourt.gov.au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5EB5AE" w14:textId="77777777" w:rsidR="00B62A66" w:rsidRDefault="00B62A66" w:rsidP="0017312B">
      <w:r>
        <w:separator/>
      </w:r>
    </w:p>
  </w:footnote>
  <w:footnote w:type="continuationSeparator" w:id="0">
    <w:p w14:paraId="174F6F89" w14:textId="77777777" w:rsidR="00B62A66" w:rsidRDefault="00B62A66" w:rsidP="001731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D31EF6"/>
    <w:multiLevelType w:val="hybridMultilevel"/>
    <w:tmpl w:val="F73A110E"/>
    <w:lvl w:ilvl="0" w:tplc="0C090001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2" w15:restartNumberingAfterBreak="0">
    <w:nsid w:val="24ED405E"/>
    <w:multiLevelType w:val="hybridMultilevel"/>
    <w:tmpl w:val="48C07D64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B0472A"/>
    <w:multiLevelType w:val="hybridMultilevel"/>
    <w:tmpl w:val="C5CEF7FE"/>
    <w:lvl w:ilvl="0" w:tplc="FA5AFBE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8F0"/>
    <w:rsid w:val="00025262"/>
    <w:rsid w:val="00036592"/>
    <w:rsid w:val="00053FB4"/>
    <w:rsid w:val="0006637E"/>
    <w:rsid w:val="000912AB"/>
    <w:rsid w:val="000913AF"/>
    <w:rsid w:val="000918EF"/>
    <w:rsid w:val="00091E50"/>
    <w:rsid w:val="000B47F9"/>
    <w:rsid w:val="000B51AD"/>
    <w:rsid w:val="000C1F89"/>
    <w:rsid w:val="000C5E0D"/>
    <w:rsid w:val="000D08F0"/>
    <w:rsid w:val="000D16D2"/>
    <w:rsid w:val="000D18BD"/>
    <w:rsid w:val="00101C4D"/>
    <w:rsid w:val="00112F65"/>
    <w:rsid w:val="00122089"/>
    <w:rsid w:val="00140722"/>
    <w:rsid w:val="00142AE7"/>
    <w:rsid w:val="0014568D"/>
    <w:rsid w:val="0014595A"/>
    <w:rsid w:val="001715D0"/>
    <w:rsid w:val="0017312B"/>
    <w:rsid w:val="001802F6"/>
    <w:rsid w:val="00192A52"/>
    <w:rsid w:val="001B1FD9"/>
    <w:rsid w:val="001E7306"/>
    <w:rsid w:val="001F09F7"/>
    <w:rsid w:val="001F441A"/>
    <w:rsid w:val="00217130"/>
    <w:rsid w:val="00221310"/>
    <w:rsid w:val="00222BCE"/>
    <w:rsid w:val="00265229"/>
    <w:rsid w:val="00273C99"/>
    <w:rsid w:val="00290849"/>
    <w:rsid w:val="002A747B"/>
    <w:rsid w:val="002B26C3"/>
    <w:rsid w:val="002C32A7"/>
    <w:rsid w:val="002C3438"/>
    <w:rsid w:val="002D0B01"/>
    <w:rsid w:val="00310637"/>
    <w:rsid w:val="00325046"/>
    <w:rsid w:val="003364B9"/>
    <w:rsid w:val="00344A2D"/>
    <w:rsid w:val="00344C32"/>
    <w:rsid w:val="00364FEA"/>
    <w:rsid w:val="003737AA"/>
    <w:rsid w:val="00393BD3"/>
    <w:rsid w:val="003A02C8"/>
    <w:rsid w:val="003A4CB6"/>
    <w:rsid w:val="003B0AE1"/>
    <w:rsid w:val="003B5C6C"/>
    <w:rsid w:val="003C7D24"/>
    <w:rsid w:val="003D0BAD"/>
    <w:rsid w:val="003D4628"/>
    <w:rsid w:val="003E66A1"/>
    <w:rsid w:val="003F50C0"/>
    <w:rsid w:val="00445E08"/>
    <w:rsid w:val="00453247"/>
    <w:rsid w:val="004560C8"/>
    <w:rsid w:val="00470C83"/>
    <w:rsid w:val="00475651"/>
    <w:rsid w:val="00485C9C"/>
    <w:rsid w:val="004B27F6"/>
    <w:rsid w:val="004B3650"/>
    <w:rsid w:val="004D3BAD"/>
    <w:rsid w:val="004F0938"/>
    <w:rsid w:val="0053594D"/>
    <w:rsid w:val="00542C96"/>
    <w:rsid w:val="0055014F"/>
    <w:rsid w:val="00561C39"/>
    <w:rsid w:val="00582736"/>
    <w:rsid w:val="005842F3"/>
    <w:rsid w:val="00595D85"/>
    <w:rsid w:val="005D182F"/>
    <w:rsid w:val="005D62A7"/>
    <w:rsid w:val="005F7999"/>
    <w:rsid w:val="00607EDC"/>
    <w:rsid w:val="00614DB3"/>
    <w:rsid w:val="00621578"/>
    <w:rsid w:val="006301D4"/>
    <w:rsid w:val="006835B9"/>
    <w:rsid w:val="006A661F"/>
    <w:rsid w:val="006D14AF"/>
    <w:rsid w:val="006D17F9"/>
    <w:rsid w:val="006E58CD"/>
    <w:rsid w:val="00712D8B"/>
    <w:rsid w:val="00726906"/>
    <w:rsid w:val="007429CB"/>
    <w:rsid w:val="00747924"/>
    <w:rsid w:val="00751820"/>
    <w:rsid w:val="007518E5"/>
    <w:rsid w:val="007647D3"/>
    <w:rsid w:val="0079437F"/>
    <w:rsid w:val="007B65B6"/>
    <w:rsid w:val="007B6732"/>
    <w:rsid w:val="007B7BCB"/>
    <w:rsid w:val="007C01A1"/>
    <w:rsid w:val="007C3651"/>
    <w:rsid w:val="007E038D"/>
    <w:rsid w:val="007E70EC"/>
    <w:rsid w:val="007F2644"/>
    <w:rsid w:val="008277F8"/>
    <w:rsid w:val="00831B0F"/>
    <w:rsid w:val="00837FC0"/>
    <w:rsid w:val="00843B0A"/>
    <w:rsid w:val="00847DF7"/>
    <w:rsid w:val="00851312"/>
    <w:rsid w:val="00852C0F"/>
    <w:rsid w:val="00853633"/>
    <w:rsid w:val="0088272E"/>
    <w:rsid w:val="0088799A"/>
    <w:rsid w:val="008C013E"/>
    <w:rsid w:val="008C26C6"/>
    <w:rsid w:val="008C310E"/>
    <w:rsid w:val="008C50B4"/>
    <w:rsid w:val="008C6768"/>
    <w:rsid w:val="008D5DE3"/>
    <w:rsid w:val="008E6402"/>
    <w:rsid w:val="008F04CD"/>
    <w:rsid w:val="009031F1"/>
    <w:rsid w:val="00904332"/>
    <w:rsid w:val="00922DC6"/>
    <w:rsid w:val="00922F97"/>
    <w:rsid w:val="00941362"/>
    <w:rsid w:val="009528D7"/>
    <w:rsid w:val="00965ADE"/>
    <w:rsid w:val="009733DF"/>
    <w:rsid w:val="00976F05"/>
    <w:rsid w:val="00977A79"/>
    <w:rsid w:val="00990FA2"/>
    <w:rsid w:val="009942B6"/>
    <w:rsid w:val="009A1ECF"/>
    <w:rsid w:val="009C3102"/>
    <w:rsid w:val="009C3689"/>
    <w:rsid w:val="00A11315"/>
    <w:rsid w:val="00A5690C"/>
    <w:rsid w:val="00A77024"/>
    <w:rsid w:val="00A80511"/>
    <w:rsid w:val="00A809CD"/>
    <w:rsid w:val="00AC673E"/>
    <w:rsid w:val="00AC7B00"/>
    <w:rsid w:val="00AF41C0"/>
    <w:rsid w:val="00AF57B9"/>
    <w:rsid w:val="00B108B0"/>
    <w:rsid w:val="00B1650D"/>
    <w:rsid w:val="00B222CD"/>
    <w:rsid w:val="00B22813"/>
    <w:rsid w:val="00B36F99"/>
    <w:rsid w:val="00B62A66"/>
    <w:rsid w:val="00B711F3"/>
    <w:rsid w:val="00B83755"/>
    <w:rsid w:val="00BA2A08"/>
    <w:rsid w:val="00BB11D0"/>
    <w:rsid w:val="00BE6F74"/>
    <w:rsid w:val="00BF3C71"/>
    <w:rsid w:val="00C058B5"/>
    <w:rsid w:val="00C163A9"/>
    <w:rsid w:val="00C2406D"/>
    <w:rsid w:val="00C27320"/>
    <w:rsid w:val="00C3204D"/>
    <w:rsid w:val="00C36148"/>
    <w:rsid w:val="00C64032"/>
    <w:rsid w:val="00C67DEE"/>
    <w:rsid w:val="00C71DEB"/>
    <w:rsid w:val="00C94D88"/>
    <w:rsid w:val="00C9508F"/>
    <w:rsid w:val="00CB1597"/>
    <w:rsid w:val="00CC4257"/>
    <w:rsid w:val="00CC4C16"/>
    <w:rsid w:val="00CD59FE"/>
    <w:rsid w:val="00CD6C94"/>
    <w:rsid w:val="00CF10B9"/>
    <w:rsid w:val="00D06951"/>
    <w:rsid w:val="00D06BD5"/>
    <w:rsid w:val="00D2548B"/>
    <w:rsid w:val="00D45819"/>
    <w:rsid w:val="00D53961"/>
    <w:rsid w:val="00D94DE4"/>
    <w:rsid w:val="00DA43B4"/>
    <w:rsid w:val="00DB0950"/>
    <w:rsid w:val="00DB4406"/>
    <w:rsid w:val="00DC268B"/>
    <w:rsid w:val="00DC3615"/>
    <w:rsid w:val="00DE6501"/>
    <w:rsid w:val="00E15E05"/>
    <w:rsid w:val="00E32FF8"/>
    <w:rsid w:val="00E417FF"/>
    <w:rsid w:val="00E63A3A"/>
    <w:rsid w:val="00E9113C"/>
    <w:rsid w:val="00E920CF"/>
    <w:rsid w:val="00E93E6A"/>
    <w:rsid w:val="00ED329B"/>
    <w:rsid w:val="00EE1E33"/>
    <w:rsid w:val="00EF6B47"/>
    <w:rsid w:val="00F13A7A"/>
    <w:rsid w:val="00F35F93"/>
    <w:rsid w:val="00F4189F"/>
    <w:rsid w:val="00F65521"/>
    <w:rsid w:val="00F92C7E"/>
    <w:rsid w:val="00FF7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9C23EEF"/>
  <w15:chartTrackingRefBased/>
  <w15:docId w15:val="{E8E6B9EE-2DB4-4224-844A-1E200F8BC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312B"/>
    <w:pPr>
      <w:spacing w:after="240" w:line="240" w:lineRule="auto"/>
      <w:ind w:right="-187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09CD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809C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table" w:styleId="GridTable6Colorful">
    <w:name w:val="Grid Table 6 Colorful"/>
    <w:basedOn w:val="TableNormal"/>
    <w:uiPriority w:val="51"/>
    <w:rsid w:val="003B5C6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Heading2Char">
    <w:name w:val="Heading 2 Char"/>
    <w:basedOn w:val="DefaultParagraphFont"/>
    <w:link w:val="Heading2"/>
    <w:uiPriority w:val="9"/>
    <w:rsid w:val="00A809CD"/>
    <w:rPr>
      <w:rFonts w:asciiTheme="majorHAnsi" w:eastAsiaTheme="majorEastAsia" w:hAnsiTheme="majorHAnsi" w:cstheme="majorBidi"/>
      <w:b/>
      <w:color w:val="04526C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09CD"/>
    <w:rPr>
      <w:rFonts w:asciiTheme="majorHAnsi" w:eastAsiaTheme="majorEastAsia" w:hAnsiTheme="majorHAnsi" w:cstheme="majorBidi"/>
      <w:b/>
      <w:color w:val="04526C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4532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NoSpacing">
    <w:name w:val="No Spacing"/>
    <w:basedOn w:val="Normal"/>
    <w:uiPriority w:val="1"/>
    <w:qFormat/>
    <w:rsid w:val="00CD59FE"/>
    <w:pPr>
      <w:spacing w:after="0"/>
      <w:ind w:right="0"/>
    </w:pPr>
    <w:rPr>
      <w:rFonts w:ascii="Calibri" w:eastAsia="MS PGothic" w:hAnsi="Calibri" w:cs="Calibri"/>
      <w:lang w:eastAsia="ja-JP"/>
    </w:rPr>
  </w:style>
  <w:style w:type="paragraph" w:customStyle="1" w:styleId="Default">
    <w:name w:val="Default"/>
    <w:rsid w:val="00F418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ui-provider">
    <w:name w:val="ui-provider"/>
    <w:basedOn w:val="DefaultParagraphFont"/>
    <w:rsid w:val="0088799A"/>
  </w:style>
  <w:style w:type="character" w:styleId="CommentReference">
    <w:name w:val="annotation reference"/>
    <w:basedOn w:val="DefaultParagraphFont"/>
    <w:uiPriority w:val="99"/>
    <w:semiHidden/>
    <w:unhideWhenUsed/>
    <w:rsid w:val="00B711F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11F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11F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11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11F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fcfcoa.gov.au/news-and-media-centre/media-releases/mr010423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cfcoa.gov.au/fl/fv/lighthouse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ruce.phillips@fedcourt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3795a17-e831-47ee-aaa8-c26c9c7c5cd4">
      <Terms xmlns="http://schemas.microsoft.com/office/infopath/2007/PartnerControls"/>
    </lcf76f155ced4ddcb4097134ff3c332f>
    <TaxCatchAll xmlns="8ab493d6-b151-47dc-95bc-f353e2fe703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E295B95BA4E74E839F4BE5F738997C" ma:contentTypeVersion="16" ma:contentTypeDescription="Create a new document." ma:contentTypeScope="" ma:versionID="8ed529bdd539e44a249a1b22d321b5e0">
  <xsd:schema xmlns:xsd="http://www.w3.org/2001/XMLSchema" xmlns:xs="http://www.w3.org/2001/XMLSchema" xmlns:p="http://schemas.microsoft.com/office/2006/metadata/properties" xmlns:ns2="8ab493d6-b151-47dc-95bc-f353e2fe703e" xmlns:ns3="03795a17-e831-47ee-aaa8-c26c9c7c5cd4" targetNamespace="http://schemas.microsoft.com/office/2006/metadata/properties" ma:root="true" ma:fieldsID="2055a22d41bf3740d1c207c67e358fd9" ns2:_="" ns3:_="">
    <xsd:import namespace="8ab493d6-b151-47dc-95bc-f353e2fe703e"/>
    <xsd:import namespace="03795a17-e831-47ee-aaa8-c26c9c7c5cd4"/>
    <xsd:element name="properties">
      <xsd:complexType>
        <xsd:sequence>
          <xsd:element name="documentManagement">
            <xsd:complexType>
              <xsd:all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b493d6-b151-47dc-95bc-f353e2fe703e" elementFormDefault="qualified">
    <xsd:import namespace="http://schemas.microsoft.com/office/2006/documentManagement/types"/>
    <xsd:import namespace="http://schemas.microsoft.com/office/infopath/2007/PartnerControls"/>
    <xsd:element name="NavigatorClassification" ma:index="8" nillable="true" ma:displayName="Site Classification" ma:default="Chamber" ma:internalName="NavigatorClassification" ma:readOnly="true">
      <xsd:simpleType>
        <xsd:restriction base="dms:Text"/>
      </xsd:simple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40256b2-ae50-40f6-8579-1abfdd858d8c}" ma:internalName="TaxCatchAll" ma:showField="CatchAllData" ma:web="8ab493d6-b151-47dc-95bc-f353e2fe70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795a17-e831-47ee-aaa8-c26c9c7c5c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7267fee-1754-45a8-ba16-746eaa2efd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177813-0633-4EC7-A486-01DA8BB09735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03795a17-e831-47ee-aaa8-c26c9c7c5cd4"/>
    <ds:schemaRef ds:uri="8ab493d6-b151-47dc-95bc-f353e2fe703e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7D26CDE-E2AF-4872-84FC-6B5FC0C129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302E62-88DD-4D10-A2F9-50CC78C42B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b493d6-b151-47dc-95bc-f353e2fe703e"/>
    <ds:schemaRef ds:uri="03795a17-e831-47ee-aaa8-c26c9c7c5c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Heading</vt:lpstr>
    </vt:vector>
  </TitlesOfParts>
  <Company>Federal Court of Australia</Company>
  <LinksUpToDate>false</LinksUpToDate>
  <CharactersWithSpaces>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International recognition for the Federal Circuit and Family Court of Australia’s world-leading Lighthouse initiative</dc:title>
  <dc:subject/>
  <dc:creator>Federal Circuit and Family Court of Australia</dc:creator>
  <cp:keywords/>
  <dc:description/>
  <cp:lastModifiedBy>Christine Tuff</cp:lastModifiedBy>
  <cp:revision>3</cp:revision>
  <cp:lastPrinted>2021-10-14T02:44:00Z</cp:lastPrinted>
  <dcterms:created xsi:type="dcterms:W3CDTF">2023-06-01T01:34:00Z</dcterms:created>
  <dcterms:modified xsi:type="dcterms:W3CDTF">2023-06-01T01:54:00Z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0x01010013E295B95BA4E74E839F4BE5F738997C</vt:lpwstr>
  </property>
</Properties>
</file>