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6AB0" w:rsidRPr="0029565B" w:rsidRDefault="00621578" w:rsidP="00F0045F">
      <w:pPr>
        <w:jc w:val="right"/>
        <w:rPr>
          <w:b/>
          <w:color w:val="04526C"/>
        </w:rPr>
      </w:pPr>
      <w:r w:rsidRPr="0029565B">
        <w:rPr>
          <w:noProof/>
          <w:sz w:val="16"/>
          <w:szCs w:val="16"/>
        </w:rPr>
        <w:drawing>
          <wp:anchor distT="0" distB="0" distL="114300" distR="114300" simplePos="0" relativeHeight="251659264" behindDoc="1" locked="0" layoutInCell="1" allowOverlap="1" wp14:anchorId="0C5B6292" wp14:editId="28E12440">
            <wp:simplePos x="0" y="0"/>
            <wp:positionH relativeFrom="page">
              <wp:align>right</wp:align>
            </wp:positionH>
            <wp:positionV relativeFrom="page">
              <wp:posOffset>48126</wp:posOffset>
            </wp:positionV>
            <wp:extent cx="7541895" cy="1957705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media_banner-01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1895" cy="19577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 w:rsidR="009E7304" w:rsidRPr="0029565B">
        <w:rPr>
          <w:b/>
          <w:color w:val="04526C"/>
        </w:rPr>
        <w:t>10</w:t>
      </w:r>
      <w:r w:rsidR="00D54EE1" w:rsidRPr="0029565B">
        <w:rPr>
          <w:b/>
          <w:color w:val="04526C"/>
        </w:rPr>
        <w:t xml:space="preserve"> </w:t>
      </w:r>
      <w:r w:rsidR="0099488E" w:rsidRPr="0029565B">
        <w:rPr>
          <w:b/>
          <w:color w:val="04526C"/>
        </w:rPr>
        <w:t>May</w:t>
      </w:r>
      <w:r w:rsidR="00D54EE1" w:rsidRPr="0029565B">
        <w:rPr>
          <w:b/>
          <w:color w:val="04526C"/>
        </w:rPr>
        <w:t xml:space="preserve"> 202</w:t>
      </w:r>
      <w:r w:rsidR="0099488E" w:rsidRPr="0029565B">
        <w:rPr>
          <w:b/>
          <w:color w:val="04526C"/>
        </w:rPr>
        <w:t>3</w:t>
      </w:r>
    </w:p>
    <w:p w:rsidR="00D54EE1" w:rsidRDefault="009934C6" w:rsidP="00125891">
      <w:pPr>
        <w:pStyle w:val="Heading1"/>
        <w:spacing w:before="480" w:after="360"/>
        <w:jc w:val="center"/>
        <w:rPr>
          <w:noProof/>
        </w:rPr>
      </w:pPr>
      <w:r>
        <w:rPr>
          <w:noProof/>
        </w:rPr>
        <w:t>202</w:t>
      </w:r>
      <w:r w:rsidR="0099488E">
        <w:rPr>
          <w:noProof/>
        </w:rPr>
        <w:t>3</w:t>
      </w:r>
      <w:r>
        <w:rPr>
          <w:noProof/>
        </w:rPr>
        <w:t>-2</w:t>
      </w:r>
      <w:r w:rsidR="0099488E">
        <w:rPr>
          <w:noProof/>
        </w:rPr>
        <w:t>4</w:t>
      </w:r>
      <w:r>
        <w:rPr>
          <w:noProof/>
        </w:rPr>
        <w:t xml:space="preserve"> Commonwealth Budget provides </w:t>
      </w:r>
      <w:r w:rsidR="00AE3FEB">
        <w:rPr>
          <w:noProof/>
        </w:rPr>
        <w:t>support</w:t>
      </w:r>
      <w:r w:rsidR="00D54EE1">
        <w:rPr>
          <w:noProof/>
        </w:rPr>
        <w:t xml:space="preserve"> </w:t>
      </w:r>
      <w:r>
        <w:rPr>
          <w:noProof/>
        </w:rPr>
        <w:t xml:space="preserve">to the Federal Circuit and Family Court of </w:t>
      </w:r>
      <w:r w:rsidRPr="001F4BA4">
        <w:rPr>
          <w:noProof/>
        </w:rPr>
        <w:t xml:space="preserve">Australia </w:t>
      </w:r>
      <w:r w:rsidR="0099488E">
        <w:rPr>
          <w:noProof/>
        </w:rPr>
        <w:t xml:space="preserve">to </w:t>
      </w:r>
      <w:r w:rsidR="00AE3FEB">
        <w:rPr>
          <w:noProof/>
        </w:rPr>
        <w:t>tackle financial-related family violence and child abduction cases</w:t>
      </w:r>
    </w:p>
    <w:p w:rsidR="00A25B61" w:rsidRDefault="0099488E" w:rsidP="00547389">
      <w:pPr>
        <w:spacing w:after="240"/>
        <w:rPr>
          <w:color w:val="000000" w:themeColor="text1"/>
        </w:rPr>
      </w:pPr>
      <w:r w:rsidRPr="00F07408">
        <w:rPr>
          <w:rFonts w:ascii="Calibri" w:hAnsi="Calibri" w:cs="Calibri"/>
          <w:bCs/>
          <w:color w:val="000000" w:themeColor="text1"/>
        </w:rPr>
        <w:t>As part of the 2</w:t>
      </w:r>
      <w:r w:rsidR="00125891" w:rsidRPr="00F07408">
        <w:rPr>
          <w:rFonts w:ascii="Calibri" w:hAnsi="Calibri" w:cs="Calibri"/>
          <w:bCs/>
          <w:color w:val="000000" w:themeColor="text1"/>
        </w:rPr>
        <w:t>02</w:t>
      </w:r>
      <w:r w:rsidRPr="00F07408">
        <w:rPr>
          <w:rFonts w:ascii="Calibri" w:hAnsi="Calibri" w:cs="Calibri"/>
          <w:bCs/>
          <w:color w:val="000000" w:themeColor="text1"/>
        </w:rPr>
        <w:t>3</w:t>
      </w:r>
      <w:r w:rsidR="00125891" w:rsidRPr="00F07408">
        <w:rPr>
          <w:rFonts w:ascii="Calibri" w:hAnsi="Calibri" w:cs="Calibri"/>
          <w:bCs/>
          <w:color w:val="000000" w:themeColor="text1"/>
        </w:rPr>
        <w:t>-2</w:t>
      </w:r>
      <w:r w:rsidRPr="00F07408">
        <w:rPr>
          <w:rFonts w:ascii="Calibri" w:hAnsi="Calibri" w:cs="Calibri"/>
          <w:bCs/>
          <w:color w:val="000000" w:themeColor="text1"/>
        </w:rPr>
        <w:t>4</w:t>
      </w:r>
      <w:r w:rsidR="00125891" w:rsidRPr="00F07408">
        <w:rPr>
          <w:rFonts w:ascii="Calibri" w:hAnsi="Calibri" w:cs="Calibri"/>
          <w:bCs/>
          <w:color w:val="000000" w:themeColor="text1"/>
        </w:rPr>
        <w:t xml:space="preserve"> </w:t>
      </w:r>
      <w:r w:rsidRPr="00F07408">
        <w:rPr>
          <w:rFonts w:ascii="Calibri" w:hAnsi="Calibri" w:cs="Calibri"/>
          <w:bCs/>
          <w:color w:val="000000" w:themeColor="text1"/>
        </w:rPr>
        <w:t xml:space="preserve">Federal Government </w:t>
      </w:r>
      <w:r w:rsidR="00125891" w:rsidRPr="00F07408">
        <w:rPr>
          <w:rFonts w:ascii="Calibri" w:hAnsi="Calibri" w:cs="Calibri"/>
          <w:bCs/>
          <w:color w:val="000000" w:themeColor="text1"/>
        </w:rPr>
        <w:t xml:space="preserve">Budget </w:t>
      </w:r>
      <w:r w:rsidRPr="00F07408">
        <w:rPr>
          <w:rFonts w:ascii="Calibri" w:hAnsi="Calibri" w:cs="Calibri"/>
          <w:bCs/>
          <w:color w:val="000000" w:themeColor="text1"/>
        </w:rPr>
        <w:t xml:space="preserve">released last night, </w:t>
      </w:r>
      <w:r w:rsidR="00125891" w:rsidRPr="00F07408">
        <w:rPr>
          <w:rFonts w:ascii="Calibri" w:hAnsi="Calibri" w:cs="Calibri"/>
          <w:bCs/>
          <w:color w:val="000000" w:themeColor="text1"/>
        </w:rPr>
        <w:t xml:space="preserve">the </w:t>
      </w:r>
      <w:r w:rsidR="00D54EE1" w:rsidRPr="00F07408">
        <w:rPr>
          <w:rFonts w:ascii="Calibri" w:hAnsi="Calibri" w:cs="Calibri"/>
          <w:bCs/>
          <w:color w:val="000000" w:themeColor="text1"/>
        </w:rPr>
        <w:t>Federal Circuit and Family Court of Australia (Division 1) and the Federal Circuit and Family Court of Australia</w:t>
      </w:r>
      <w:r w:rsidR="00DE733E">
        <w:rPr>
          <w:rFonts w:ascii="Calibri" w:hAnsi="Calibri" w:cs="Calibri"/>
          <w:bCs/>
          <w:color w:val="000000" w:themeColor="text1"/>
        </w:rPr>
        <w:t xml:space="preserve"> (Division 2)</w:t>
      </w:r>
      <w:r w:rsidR="00D54EE1" w:rsidRPr="00F07408">
        <w:rPr>
          <w:rFonts w:ascii="Calibri" w:hAnsi="Calibri" w:cs="Calibri"/>
          <w:bCs/>
          <w:color w:val="000000" w:themeColor="text1"/>
        </w:rPr>
        <w:t xml:space="preserve"> </w:t>
      </w:r>
      <w:r w:rsidR="00DE733E">
        <w:rPr>
          <w:rFonts w:ascii="Calibri" w:hAnsi="Calibri" w:cs="Calibri"/>
          <w:bCs/>
          <w:color w:val="000000" w:themeColor="text1"/>
        </w:rPr>
        <w:t>(</w:t>
      </w:r>
      <w:r w:rsidR="001F4BA4" w:rsidRPr="005E4B25">
        <w:rPr>
          <w:rFonts w:ascii="Calibri" w:hAnsi="Calibri" w:cs="Calibri"/>
          <w:b/>
          <w:color w:val="000000" w:themeColor="text1"/>
        </w:rPr>
        <w:t>the</w:t>
      </w:r>
      <w:r w:rsidR="001F4BA4" w:rsidRPr="00F07408">
        <w:rPr>
          <w:rFonts w:ascii="Calibri" w:hAnsi="Calibri" w:cs="Calibri"/>
          <w:color w:val="000000" w:themeColor="text1"/>
        </w:rPr>
        <w:t xml:space="preserve"> </w:t>
      </w:r>
      <w:r w:rsidR="001F4BA4" w:rsidRPr="00AE3FEB">
        <w:rPr>
          <w:rFonts w:ascii="Calibri" w:hAnsi="Calibri" w:cs="Calibri"/>
          <w:b/>
          <w:color w:val="000000" w:themeColor="text1"/>
        </w:rPr>
        <w:t>Courts</w:t>
      </w:r>
      <w:r w:rsidR="001F4BA4" w:rsidRPr="00F07408">
        <w:rPr>
          <w:rFonts w:ascii="Calibri" w:hAnsi="Calibri" w:cs="Calibri"/>
          <w:color w:val="000000" w:themeColor="text1"/>
        </w:rPr>
        <w:t>)</w:t>
      </w:r>
      <w:r w:rsidRPr="00F07408">
        <w:rPr>
          <w:rFonts w:ascii="Calibri" w:hAnsi="Calibri" w:cs="Calibri"/>
          <w:color w:val="000000" w:themeColor="text1"/>
        </w:rPr>
        <w:t xml:space="preserve"> ha</w:t>
      </w:r>
      <w:r w:rsidR="00C870E4" w:rsidRPr="00F07408">
        <w:rPr>
          <w:rFonts w:ascii="Calibri" w:hAnsi="Calibri" w:cs="Calibri"/>
          <w:color w:val="000000" w:themeColor="text1"/>
        </w:rPr>
        <w:t>ve</w:t>
      </w:r>
      <w:r w:rsidRPr="00F07408">
        <w:rPr>
          <w:rFonts w:ascii="Calibri" w:hAnsi="Calibri" w:cs="Calibri"/>
          <w:color w:val="000000" w:themeColor="text1"/>
        </w:rPr>
        <w:t xml:space="preserve"> been provided </w:t>
      </w:r>
      <w:r w:rsidR="007775BB">
        <w:rPr>
          <w:rFonts w:ascii="Calibri" w:hAnsi="Calibri" w:cs="Calibri"/>
          <w:color w:val="000000" w:themeColor="text1"/>
        </w:rPr>
        <w:t xml:space="preserve">funding </w:t>
      </w:r>
      <w:r w:rsidRPr="00F07408">
        <w:rPr>
          <w:rFonts w:ascii="Calibri" w:hAnsi="Calibri" w:cs="Calibri"/>
          <w:color w:val="000000" w:themeColor="text1"/>
        </w:rPr>
        <w:t xml:space="preserve">for </w:t>
      </w:r>
      <w:r w:rsidR="00C870E4" w:rsidRPr="00F07408">
        <w:rPr>
          <w:color w:val="000000" w:themeColor="text1"/>
        </w:rPr>
        <w:t>two key measures</w:t>
      </w:r>
      <w:r w:rsidR="00A25B61">
        <w:rPr>
          <w:color w:val="000000" w:themeColor="text1"/>
        </w:rPr>
        <w:t>:</w:t>
      </w:r>
    </w:p>
    <w:p w:rsidR="00A25B61" w:rsidRPr="00A25B61" w:rsidRDefault="00C870E4" w:rsidP="00A328DA">
      <w:pPr>
        <w:pStyle w:val="ListParagraph"/>
        <w:numPr>
          <w:ilvl w:val="0"/>
          <w:numId w:val="12"/>
        </w:numPr>
        <w:rPr>
          <w:color w:val="000000" w:themeColor="text1"/>
        </w:rPr>
      </w:pPr>
      <w:r w:rsidRPr="00A25B61">
        <w:rPr>
          <w:color w:val="000000" w:themeColor="text1"/>
        </w:rPr>
        <w:t xml:space="preserve">the national expansion of the </w:t>
      </w:r>
      <w:r w:rsidR="00AE3FEB" w:rsidRPr="00A25B61">
        <w:rPr>
          <w:color w:val="000000" w:themeColor="text1"/>
        </w:rPr>
        <w:t xml:space="preserve">highly successful </w:t>
      </w:r>
      <w:r w:rsidR="00D03F4A" w:rsidRPr="00A25B61">
        <w:rPr>
          <w:color w:val="000000" w:themeColor="text1"/>
        </w:rPr>
        <w:t xml:space="preserve">pilot </w:t>
      </w:r>
      <w:r w:rsidR="00AE3FEB" w:rsidRPr="00A25B61">
        <w:rPr>
          <w:color w:val="000000" w:themeColor="text1"/>
        </w:rPr>
        <w:t>dealing with financial disputes between parents with small</w:t>
      </w:r>
      <w:r w:rsidR="00F85A3D">
        <w:rPr>
          <w:color w:val="000000" w:themeColor="text1"/>
        </w:rPr>
        <w:t>er</w:t>
      </w:r>
      <w:r w:rsidR="00AE3FEB" w:rsidRPr="00A25B61">
        <w:rPr>
          <w:color w:val="000000" w:themeColor="text1"/>
        </w:rPr>
        <w:t xml:space="preserve"> amounts of assets </w:t>
      </w:r>
      <w:r w:rsidR="00F85A3D">
        <w:rPr>
          <w:color w:val="000000" w:themeColor="text1"/>
        </w:rPr>
        <w:t xml:space="preserve">of </w:t>
      </w:r>
      <w:r w:rsidR="00AE3FEB" w:rsidRPr="00A25B61">
        <w:rPr>
          <w:color w:val="000000" w:themeColor="text1"/>
        </w:rPr>
        <w:t>under $500,000 (</w:t>
      </w:r>
      <w:r w:rsidR="00D03F4A" w:rsidRPr="00A25B61">
        <w:rPr>
          <w:color w:val="000000" w:themeColor="text1"/>
        </w:rPr>
        <w:t>known as the Priority Property Pool</w:t>
      </w:r>
      <w:r w:rsidR="00274824" w:rsidRPr="00A25B61">
        <w:rPr>
          <w:color w:val="000000" w:themeColor="text1"/>
        </w:rPr>
        <w:t>s</w:t>
      </w:r>
      <w:r w:rsidR="00D03F4A" w:rsidRPr="00A25B61">
        <w:rPr>
          <w:color w:val="000000" w:themeColor="text1"/>
        </w:rPr>
        <w:t xml:space="preserve"> under $500,000 </w:t>
      </w:r>
      <w:r w:rsidR="00AE3FEB" w:rsidRPr="00A25B61">
        <w:rPr>
          <w:color w:val="000000" w:themeColor="text1"/>
        </w:rPr>
        <w:t xml:space="preserve">or </w:t>
      </w:r>
      <w:r w:rsidRPr="00A25B61">
        <w:rPr>
          <w:b/>
          <w:color w:val="000000" w:themeColor="text1"/>
        </w:rPr>
        <w:t>PPP500</w:t>
      </w:r>
      <w:r w:rsidR="009024CF" w:rsidRPr="00A25B61">
        <w:rPr>
          <w:color w:val="000000" w:themeColor="text1"/>
        </w:rPr>
        <w:t>)</w:t>
      </w:r>
      <w:r w:rsidR="00776049" w:rsidRPr="00A25B61">
        <w:rPr>
          <w:color w:val="000000" w:themeColor="text1"/>
        </w:rPr>
        <w:t>,</w:t>
      </w:r>
      <w:r w:rsidRPr="00A25B61">
        <w:rPr>
          <w:color w:val="000000" w:themeColor="text1"/>
        </w:rPr>
        <w:t xml:space="preserve"> </w:t>
      </w:r>
      <w:r w:rsidR="00776049" w:rsidRPr="00A25B61">
        <w:rPr>
          <w:color w:val="000000" w:themeColor="text1"/>
        </w:rPr>
        <w:t xml:space="preserve">and </w:t>
      </w:r>
    </w:p>
    <w:p w:rsidR="00F217DE" w:rsidRPr="00A25B61" w:rsidRDefault="00776049" w:rsidP="00A328DA">
      <w:pPr>
        <w:pStyle w:val="ListParagraph"/>
        <w:numPr>
          <w:ilvl w:val="0"/>
          <w:numId w:val="12"/>
        </w:numPr>
        <w:rPr>
          <w:color w:val="000000" w:themeColor="text1"/>
        </w:rPr>
      </w:pPr>
      <w:r w:rsidRPr="00A25B61">
        <w:rPr>
          <w:color w:val="000000" w:themeColor="text1"/>
        </w:rPr>
        <w:t xml:space="preserve">to employ </w:t>
      </w:r>
      <w:r w:rsidR="00C870E4" w:rsidRPr="00A25B61">
        <w:rPr>
          <w:color w:val="000000" w:themeColor="text1"/>
        </w:rPr>
        <w:t>mediators and Court Child Experts</w:t>
      </w:r>
      <w:r w:rsidR="00D03F4A" w:rsidRPr="00A25B61">
        <w:rPr>
          <w:color w:val="000000" w:themeColor="text1"/>
        </w:rPr>
        <w:t xml:space="preserve"> </w:t>
      </w:r>
      <w:r w:rsidR="00C870E4" w:rsidRPr="00A25B61">
        <w:rPr>
          <w:color w:val="000000" w:themeColor="text1"/>
        </w:rPr>
        <w:t xml:space="preserve">to provide dispute resolution </w:t>
      </w:r>
      <w:r w:rsidRPr="00A25B61">
        <w:rPr>
          <w:color w:val="000000" w:themeColor="text1"/>
        </w:rPr>
        <w:t xml:space="preserve">services </w:t>
      </w:r>
      <w:r w:rsidR="00C870E4" w:rsidRPr="00A25B61">
        <w:rPr>
          <w:color w:val="000000" w:themeColor="text1"/>
        </w:rPr>
        <w:t xml:space="preserve">for Hague Child Abduction Convention cases. </w:t>
      </w:r>
    </w:p>
    <w:p w:rsidR="00A25B61" w:rsidRPr="00547389" w:rsidRDefault="00A25B61" w:rsidP="00547389">
      <w:pPr>
        <w:spacing w:before="240"/>
        <w:rPr>
          <w:color w:val="000000" w:themeColor="text1"/>
        </w:rPr>
      </w:pPr>
      <w:r w:rsidRPr="00A25B61">
        <w:rPr>
          <w:color w:val="000000" w:themeColor="text1"/>
        </w:rPr>
        <w:t xml:space="preserve">The Chief Justice of the Courts, the Hon Will Alstergren AO said </w:t>
      </w:r>
      <w:r>
        <w:rPr>
          <w:color w:val="000000" w:themeColor="text1"/>
        </w:rPr>
        <w:t>that t</w:t>
      </w:r>
      <w:r w:rsidRPr="00A25B61">
        <w:rPr>
          <w:color w:val="000000" w:themeColor="text1"/>
        </w:rPr>
        <w:t>he provision of funding for the expansion of PPP500 and</w:t>
      </w:r>
      <w:r w:rsidR="00DE733E">
        <w:rPr>
          <w:color w:val="000000" w:themeColor="text1"/>
        </w:rPr>
        <w:t xml:space="preserve"> for</w:t>
      </w:r>
      <w:r w:rsidRPr="00A25B61">
        <w:rPr>
          <w:color w:val="000000" w:themeColor="text1"/>
        </w:rPr>
        <w:t xml:space="preserve"> t</w:t>
      </w:r>
      <w:r w:rsidR="00DE733E">
        <w:rPr>
          <w:color w:val="000000" w:themeColor="text1"/>
        </w:rPr>
        <w:t>he</w:t>
      </w:r>
      <w:r w:rsidRPr="00A25B61">
        <w:rPr>
          <w:color w:val="000000" w:themeColor="text1"/>
        </w:rPr>
        <w:t xml:space="preserve"> exten</w:t>
      </w:r>
      <w:r w:rsidR="00DE733E">
        <w:rPr>
          <w:color w:val="000000" w:themeColor="text1"/>
        </w:rPr>
        <w:t>sion of</w:t>
      </w:r>
      <w:r w:rsidRPr="00A25B61">
        <w:rPr>
          <w:color w:val="000000" w:themeColor="text1"/>
        </w:rPr>
        <w:t xml:space="preserve"> family dispute resolution opportunities to Hague Child Abduction Convention cases is an extremely positive step forward</w:t>
      </w:r>
      <w:r w:rsidR="00DE733E">
        <w:rPr>
          <w:color w:val="000000" w:themeColor="text1"/>
        </w:rPr>
        <w:t>.</w:t>
      </w:r>
      <w:r>
        <w:rPr>
          <w:color w:val="000000" w:themeColor="text1"/>
        </w:rPr>
        <w:t xml:space="preserve"> </w:t>
      </w:r>
      <w:r w:rsidR="00DE733E">
        <w:rPr>
          <w:color w:val="000000" w:themeColor="text1"/>
        </w:rPr>
        <w:t>“T</w:t>
      </w:r>
      <w:r>
        <w:rPr>
          <w:color w:val="000000" w:themeColor="text1"/>
        </w:rPr>
        <w:t xml:space="preserve">he Courts </w:t>
      </w:r>
      <w:r w:rsidR="00F447E3">
        <w:rPr>
          <w:color w:val="000000" w:themeColor="text1"/>
        </w:rPr>
        <w:t xml:space="preserve">remain grateful to the Attorney-General and the Commonwealth Government for </w:t>
      </w:r>
      <w:r>
        <w:rPr>
          <w:color w:val="000000" w:themeColor="text1"/>
        </w:rPr>
        <w:t>the</w:t>
      </w:r>
      <w:r w:rsidR="00F447E3">
        <w:rPr>
          <w:color w:val="000000" w:themeColor="text1"/>
        </w:rPr>
        <w:t>ir</w:t>
      </w:r>
      <w:r>
        <w:rPr>
          <w:color w:val="000000" w:themeColor="text1"/>
        </w:rPr>
        <w:t xml:space="preserve"> support of </w:t>
      </w:r>
      <w:r w:rsidR="003904F2">
        <w:rPr>
          <w:color w:val="000000" w:themeColor="text1"/>
        </w:rPr>
        <w:t xml:space="preserve">the Courts </w:t>
      </w:r>
      <w:r w:rsidR="00F447E3">
        <w:rPr>
          <w:color w:val="000000" w:themeColor="text1"/>
        </w:rPr>
        <w:t xml:space="preserve">and </w:t>
      </w:r>
      <w:r w:rsidR="00F828F5">
        <w:rPr>
          <w:color w:val="000000" w:themeColor="text1"/>
        </w:rPr>
        <w:t>the provision of this</w:t>
      </w:r>
      <w:r w:rsidR="00F85A3D">
        <w:rPr>
          <w:color w:val="000000" w:themeColor="text1"/>
        </w:rPr>
        <w:t xml:space="preserve"> funding</w:t>
      </w:r>
      <w:r w:rsidRPr="00A25B61">
        <w:rPr>
          <w:color w:val="000000" w:themeColor="text1"/>
        </w:rPr>
        <w:t>,” Chief Justice Alstergren said.</w:t>
      </w:r>
    </w:p>
    <w:p w:rsidR="00DB0543" w:rsidRDefault="00606779" w:rsidP="00547389">
      <w:pPr>
        <w:spacing w:before="240"/>
        <w:rPr>
          <w:color w:val="000000" w:themeColor="text1"/>
        </w:rPr>
      </w:pPr>
      <w:r w:rsidRPr="00F07408">
        <w:rPr>
          <w:color w:val="000000" w:themeColor="text1"/>
        </w:rPr>
        <w:t>T</w:t>
      </w:r>
      <w:r w:rsidR="00274824" w:rsidRPr="00F07408">
        <w:rPr>
          <w:color w:val="000000" w:themeColor="text1"/>
        </w:rPr>
        <w:t xml:space="preserve">he PPP500 </w:t>
      </w:r>
      <w:r w:rsidRPr="00F07408">
        <w:rPr>
          <w:color w:val="000000" w:themeColor="text1"/>
        </w:rPr>
        <w:t>has been operating as a pilot since March 2020 in four location</w:t>
      </w:r>
      <w:r w:rsidR="00AE3FEB">
        <w:rPr>
          <w:color w:val="000000" w:themeColor="text1"/>
        </w:rPr>
        <w:t>s</w:t>
      </w:r>
      <w:r w:rsidRPr="00F07408">
        <w:rPr>
          <w:color w:val="000000" w:themeColor="text1"/>
        </w:rPr>
        <w:t xml:space="preserve"> (Adelaide, Brisbane, Melbourne and Parramatta). It provide</w:t>
      </w:r>
      <w:r w:rsidR="00AE3FEB">
        <w:rPr>
          <w:color w:val="000000" w:themeColor="text1"/>
        </w:rPr>
        <w:t>s</w:t>
      </w:r>
      <w:r w:rsidRPr="00F07408">
        <w:rPr>
          <w:color w:val="000000" w:themeColor="text1"/>
        </w:rPr>
        <w:t xml:space="preserve"> a</w:t>
      </w:r>
      <w:r w:rsidR="00274824" w:rsidRPr="00F07408">
        <w:rPr>
          <w:color w:val="000000" w:themeColor="text1"/>
        </w:rPr>
        <w:t xml:space="preserve"> simplified way of resolving property disputes </w:t>
      </w:r>
      <w:r w:rsidR="00301324" w:rsidRPr="00F07408">
        <w:rPr>
          <w:color w:val="000000" w:themeColor="text1"/>
        </w:rPr>
        <w:t>that involve net asset pools of $500,000 or less (including superannuation). It prioriti</w:t>
      </w:r>
      <w:r w:rsidR="00AE3FEB">
        <w:rPr>
          <w:color w:val="000000" w:themeColor="text1"/>
        </w:rPr>
        <w:t>s</w:t>
      </w:r>
      <w:r w:rsidR="00301324" w:rsidRPr="00F07408">
        <w:rPr>
          <w:color w:val="000000" w:themeColor="text1"/>
        </w:rPr>
        <w:t xml:space="preserve">es the </w:t>
      </w:r>
      <w:r w:rsidR="00274824" w:rsidRPr="00F07408">
        <w:rPr>
          <w:color w:val="000000" w:themeColor="text1"/>
        </w:rPr>
        <w:t>minimis</w:t>
      </w:r>
      <w:r w:rsidR="00301324" w:rsidRPr="00F07408">
        <w:rPr>
          <w:color w:val="000000" w:themeColor="text1"/>
        </w:rPr>
        <w:t>ation of r</w:t>
      </w:r>
      <w:r w:rsidR="00274824" w:rsidRPr="00F07408">
        <w:rPr>
          <w:color w:val="000000" w:themeColor="text1"/>
        </w:rPr>
        <w:t xml:space="preserve">isk and legal costs, </w:t>
      </w:r>
      <w:r w:rsidR="00DE733E">
        <w:rPr>
          <w:color w:val="000000" w:themeColor="text1"/>
        </w:rPr>
        <w:t>as well as preservation of</w:t>
      </w:r>
      <w:r w:rsidR="00274824" w:rsidRPr="00F07408">
        <w:rPr>
          <w:color w:val="000000" w:themeColor="text1"/>
        </w:rPr>
        <w:t xml:space="preserve"> the parties’ assets</w:t>
      </w:r>
      <w:r w:rsidR="009024CF">
        <w:rPr>
          <w:color w:val="000000" w:themeColor="text1"/>
        </w:rPr>
        <w:t>.</w:t>
      </w:r>
    </w:p>
    <w:p w:rsidR="0024536D" w:rsidRPr="00F07408" w:rsidRDefault="009024CF" w:rsidP="00547389">
      <w:pPr>
        <w:spacing w:before="240"/>
        <w:rPr>
          <w:color w:val="000000" w:themeColor="text1"/>
        </w:rPr>
      </w:pPr>
      <w:r>
        <w:rPr>
          <w:color w:val="000000" w:themeColor="text1"/>
        </w:rPr>
        <w:t xml:space="preserve">Ongoing </w:t>
      </w:r>
      <w:r w:rsidR="00AE3FEB">
        <w:rPr>
          <w:color w:val="000000" w:themeColor="text1"/>
        </w:rPr>
        <w:t>f</w:t>
      </w:r>
      <w:r w:rsidR="0024536D" w:rsidRPr="00F07408">
        <w:rPr>
          <w:color w:val="000000" w:themeColor="text1"/>
        </w:rPr>
        <w:t xml:space="preserve">unding of $7.6 million </w:t>
      </w:r>
      <w:r w:rsidR="00AE3FEB">
        <w:rPr>
          <w:color w:val="000000" w:themeColor="text1"/>
        </w:rPr>
        <w:t>annually</w:t>
      </w:r>
      <w:r w:rsidR="0024536D" w:rsidRPr="00F07408">
        <w:rPr>
          <w:color w:val="000000" w:themeColor="text1"/>
        </w:rPr>
        <w:t xml:space="preserve"> will provide for the continuation and national expansion of the program, making it available </w:t>
      </w:r>
      <w:r w:rsidR="00AF5973">
        <w:rPr>
          <w:color w:val="000000" w:themeColor="text1"/>
        </w:rPr>
        <w:t>nationally in</w:t>
      </w:r>
      <w:r w:rsidR="0024536D" w:rsidRPr="00F07408">
        <w:rPr>
          <w:color w:val="000000" w:themeColor="text1"/>
        </w:rPr>
        <w:t xml:space="preserve"> 14 registries from July 2023.</w:t>
      </w:r>
    </w:p>
    <w:p w:rsidR="00A25B61" w:rsidRDefault="00A25B61" w:rsidP="00547389">
      <w:pPr>
        <w:spacing w:before="240"/>
        <w:rPr>
          <w:color w:val="000000" w:themeColor="text1"/>
        </w:rPr>
      </w:pPr>
      <w:r w:rsidRPr="00F07408">
        <w:rPr>
          <w:color w:val="000000" w:themeColor="text1"/>
        </w:rPr>
        <w:t xml:space="preserve">“Funding to facilitate the national expansion of the PPP500 will enable more people, who have </w:t>
      </w:r>
      <w:r>
        <w:rPr>
          <w:color w:val="000000" w:themeColor="text1"/>
        </w:rPr>
        <w:t>small property pools</w:t>
      </w:r>
      <w:r w:rsidRPr="00F07408">
        <w:rPr>
          <w:color w:val="000000" w:themeColor="text1"/>
        </w:rPr>
        <w:t>, to have their matter resolved in a just, efficient and timely ma</w:t>
      </w:r>
      <w:r>
        <w:rPr>
          <w:color w:val="000000" w:themeColor="text1"/>
        </w:rPr>
        <w:t>nn</w:t>
      </w:r>
      <w:r w:rsidRPr="00F07408">
        <w:rPr>
          <w:color w:val="000000" w:themeColor="text1"/>
        </w:rPr>
        <w:t>er, at a cost to the parties that is reasonable and proportionate to the circumstances of the case</w:t>
      </w:r>
      <w:r w:rsidR="002526E1">
        <w:rPr>
          <w:color w:val="000000" w:themeColor="text1"/>
        </w:rPr>
        <w:t>,” Chief Justice Alstergren said</w:t>
      </w:r>
      <w:r w:rsidR="00547389">
        <w:rPr>
          <w:color w:val="000000" w:themeColor="text1"/>
        </w:rPr>
        <w:t>.</w:t>
      </w:r>
    </w:p>
    <w:p w:rsidR="00A25B61" w:rsidRPr="00547389" w:rsidRDefault="00A25B61" w:rsidP="00547389">
      <w:pPr>
        <w:spacing w:before="240"/>
        <w:rPr>
          <w:color w:val="000000" w:themeColor="text1"/>
        </w:rPr>
      </w:pPr>
      <w:r>
        <w:rPr>
          <w:rFonts w:ascii="Calibri" w:hAnsi="Calibri" w:cs="Calibri"/>
          <w:bCs/>
          <w:lang w:eastAsia="zh-CN"/>
        </w:rPr>
        <w:t xml:space="preserve">Data from an evaluation of the pilot by </w:t>
      </w:r>
      <w:r w:rsidRPr="008276C3">
        <w:rPr>
          <w:rFonts w:ascii="Calibri" w:hAnsi="Calibri" w:cs="Calibri"/>
          <w:bCs/>
          <w:lang w:eastAsia="zh-CN"/>
        </w:rPr>
        <w:t xml:space="preserve">the </w:t>
      </w:r>
      <w:r>
        <w:rPr>
          <w:rFonts w:ascii="Calibri" w:hAnsi="Calibri" w:cs="Calibri"/>
          <w:bCs/>
          <w:lang w:eastAsia="zh-CN"/>
        </w:rPr>
        <w:t>Australian Institute of Family Studies’ concluded that the PPP500 Pilot was an efficient way of assisting parties with modest property pools to resolve post-</w:t>
      </w:r>
      <w:r w:rsidRPr="00547389">
        <w:rPr>
          <w:color w:val="000000" w:themeColor="text1"/>
        </w:rPr>
        <w:t>separation financial matters. It found that the social return on investment was, for every $1 invested in PPP500, $3.88 of social value was generated for the PPP500 Pilot stakeholders. Most of the social value was generated for parties (95%).</w:t>
      </w:r>
    </w:p>
    <w:p w:rsidR="00F76BFA" w:rsidRPr="00547389" w:rsidRDefault="00F76BFA" w:rsidP="00547389">
      <w:pPr>
        <w:spacing w:before="240"/>
        <w:rPr>
          <w:color w:val="000000" w:themeColor="text1"/>
        </w:rPr>
      </w:pPr>
      <w:r w:rsidRPr="00547389">
        <w:rPr>
          <w:color w:val="000000" w:themeColor="text1"/>
        </w:rPr>
        <w:t xml:space="preserve">The Courts’ Chief Executive Officer and Principal Registrar, Mr David Pringle, said that, “the funding provides for specialised and skilled resources </w:t>
      </w:r>
      <w:r w:rsidR="009E7304" w:rsidRPr="00547389">
        <w:rPr>
          <w:color w:val="000000" w:themeColor="text1"/>
        </w:rPr>
        <w:t>to enable</w:t>
      </w:r>
      <w:r w:rsidRPr="00547389">
        <w:rPr>
          <w:color w:val="000000" w:themeColor="text1"/>
        </w:rPr>
        <w:t xml:space="preserve"> a cost effective way to ensure all aspects of </w:t>
      </w:r>
      <w:r w:rsidRPr="00547389">
        <w:rPr>
          <w:color w:val="000000" w:themeColor="text1"/>
        </w:rPr>
        <w:lastRenderedPageBreak/>
        <w:t xml:space="preserve">family violence (including </w:t>
      </w:r>
      <w:r w:rsidR="00AE3FEB" w:rsidRPr="00547389">
        <w:rPr>
          <w:color w:val="000000" w:themeColor="text1"/>
        </w:rPr>
        <w:t>coercive control</w:t>
      </w:r>
      <w:r w:rsidRPr="00547389">
        <w:rPr>
          <w:color w:val="000000" w:themeColor="text1"/>
        </w:rPr>
        <w:t>) are addressed. The evaluation recognised the valuable role of Judicial Registrars in the Court</w:t>
      </w:r>
      <w:r w:rsidR="003904F2" w:rsidRPr="00547389">
        <w:rPr>
          <w:color w:val="000000" w:themeColor="text1"/>
        </w:rPr>
        <w:t>s</w:t>
      </w:r>
      <w:r w:rsidRPr="00547389">
        <w:rPr>
          <w:color w:val="000000" w:themeColor="text1"/>
        </w:rPr>
        <w:t xml:space="preserve"> and that the Registrar-</w:t>
      </w:r>
      <w:r w:rsidR="00AF5973" w:rsidRPr="00547389">
        <w:rPr>
          <w:color w:val="000000" w:themeColor="text1"/>
        </w:rPr>
        <w:t>managed</w:t>
      </w:r>
      <w:r w:rsidRPr="00547389">
        <w:rPr>
          <w:color w:val="000000" w:themeColor="text1"/>
        </w:rPr>
        <w:t xml:space="preserve"> limb of the Pilot operated effectively to support vulnerable and disadvantaged parties, including those affected by family violence and who have ongoing safety concerns.”</w:t>
      </w:r>
    </w:p>
    <w:p w:rsidR="007C4596" w:rsidRPr="00F07408" w:rsidRDefault="007C4596" w:rsidP="00547389">
      <w:pPr>
        <w:spacing w:before="240"/>
        <w:rPr>
          <w:color w:val="000000" w:themeColor="text1"/>
        </w:rPr>
      </w:pPr>
      <w:r w:rsidRPr="00F07408">
        <w:rPr>
          <w:color w:val="000000" w:themeColor="text1"/>
        </w:rPr>
        <w:t>The</w:t>
      </w:r>
      <w:r w:rsidR="00677230">
        <w:rPr>
          <w:color w:val="000000" w:themeColor="text1"/>
        </w:rPr>
        <w:t xml:space="preserve"> ongoing</w:t>
      </w:r>
      <w:r w:rsidRPr="00F07408">
        <w:rPr>
          <w:color w:val="000000" w:themeColor="text1"/>
        </w:rPr>
        <w:t xml:space="preserve"> funding </w:t>
      </w:r>
      <w:r w:rsidR="00677230">
        <w:rPr>
          <w:color w:val="000000" w:themeColor="text1"/>
        </w:rPr>
        <w:t xml:space="preserve">from 1 July 2023 provides for the equivalent of 40 family law positions, including Judicial Registrars and their support staff, </w:t>
      </w:r>
      <w:r w:rsidR="00AF5973">
        <w:rPr>
          <w:color w:val="000000" w:themeColor="text1"/>
        </w:rPr>
        <w:t xml:space="preserve">together with </w:t>
      </w:r>
      <w:r w:rsidRPr="00F07408">
        <w:rPr>
          <w:color w:val="000000" w:themeColor="text1"/>
        </w:rPr>
        <w:t>capital</w:t>
      </w:r>
      <w:r w:rsidR="00677230">
        <w:rPr>
          <w:color w:val="000000" w:themeColor="text1"/>
        </w:rPr>
        <w:t xml:space="preserve"> for </w:t>
      </w:r>
      <w:r w:rsidR="00AF5973">
        <w:rPr>
          <w:color w:val="000000" w:themeColor="text1"/>
        </w:rPr>
        <w:t>necessary office and mediation facilities</w:t>
      </w:r>
      <w:r w:rsidR="00677230">
        <w:rPr>
          <w:color w:val="000000" w:themeColor="text1"/>
        </w:rPr>
        <w:t xml:space="preserve">. </w:t>
      </w:r>
    </w:p>
    <w:p w:rsidR="008804F1" w:rsidRPr="00F07408" w:rsidRDefault="008804F1" w:rsidP="00547389">
      <w:pPr>
        <w:spacing w:before="240"/>
        <w:rPr>
          <w:color w:val="000000" w:themeColor="text1"/>
        </w:rPr>
      </w:pPr>
      <w:r w:rsidRPr="00F07408">
        <w:rPr>
          <w:color w:val="000000" w:themeColor="text1"/>
        </w:rPr>
        <w:t xml:space="preserve">New funding has </w:t>
      </w:r>
      <w:r w:rsidR="002526E1">
        <w:rPr>
          <w:color w:val="000000" w:themeColor="text1"/>
        </w:rPr>
        <w:t xml:space="preserve">also </w:t>
      </w:r>
      <w:r w:rsidRPr="00F07408">
        <w:rPr>
          <w:color w:val="000000" w:themeColor="text1"/>
        </w:rPr>
        <w:t>been provided in the 2023-</w:t>
      </w:r>
      <w:r w:rsidR="00DE733E">
        <w:rPr>
          <w:color w:val="000000" w:themeColor="text1"/>
        </w:rPr>
        <w:t>2</w:t>
      </w:r>
      <w:r w:rsidRPr="00F07408">
        <w:rPr>
          <w:color w:val="000000" w:themeColor="text1"/>
        </w:rPr>
        <w:t xml:space="preserve">4 Budget </w:t>
      </w:r>
      <w:r w:rsidR="00D43E1A">
        <w:rPr>
          <w:color w:val="000000" w:themeColor="text1"/>
        </w:rPr>
        <w:t xml:space="preserve">in child abduction matters </w:t>
      </w:r>
      <w:r w:rsidRPr="00F07408">
        <w:rPr>
          <w:color w:val="000000" w:themeColor="text1"/>
        </w:rPr>
        <w:t xml:space="preserve">to make </w:t>
      </w:r>
      <w:r w:rsidR="00D43E1A">
        <w:rPr>
          <w:color w:val="000000" w:themeColor="text1"/>
        </w:rPr>
        <w:t xml:space="preserve">safe and </w:t>
      </w:r>
      <w:r w:rsidRPr="00F07408">
        <w:rPr>
          <w:color w:val="000000" w:themeColor="text1"/>
        </w:rPr>
        <w:t>effective alternative dispute resolution opportunities</w:t>
      </w:r>
      <w:r w:rsidR="00DE733E">
        <w:rPr>
          <w:color w:val="000000" w:themeColor="text1"/>
        </w:rPr>
        <w:t xml:space="preserve"> available</w:t>
      </w:r>
      <w:r w:rsidRPr="00F07408">
        <w:rPr>
          <w:color w:val="000000" w:themeColor="text1"/>
        </w:rPr>
        <w:t xml:space="preserve"> at an early stage of the process with the aim of diverting families from contested proceedings under the 1980 </w:t>
      </w:r>
      <w:r w:rsidR="00677230">
        <w:rPr>
          <w:color w:val="000000" w:themeColor="text1"/>
        </w:rPr>
        <w:t xml:space="preserve">Convention </w:t>
      </w:r>
      <w:r w:rsidRPr="00F07408">
        <w:rPr>
          <w:color w:val="000000" w:themeColor="text1"/>
        </w:rPr>
        <w:t xml:space="preserve">on the Civil Aspects of International Child Abduction (Hague Convention). </w:t>
      </w:r>
    </w:p>
    <w:p w:rsidR="008804F1" w:rsidRPr="00F07408" w:rsidRDefault="008804F1" w:rsidP="00547389">
      <w:pPr>
        <w:spacing w:before="240"/>
        <w:rPr>
          <w:color w:val="000000" w:themeColor="text1"/>
        </w:rPr>
      </w:pPr>
      <w:r w:rsidRPr="00F07408">
        <w:rPr>
          <w:rFonts w:ascii="Calibri" w:hAnsi="Calibri"/>
          <w:color w:val="000000" w:themeColor="text1"/>
        </w:rPr>
        <w:t>Ongoing f</w:t>
      </w:r>
      <w:r w:rsidR="006E5917" w:rsidRPr="00F07408">
        <w:rPr>
          <w:rFonts w:ascii="Calibri" w:hAnsi="Calibri"/>
          <w:color w:val="000000" w:themeColor="text1"/>
        </w:rPr>
        <w:t xml:space="preserve">unding of $0.9m </w:t>
      </w:r>
      <w:r w:rsidR="00AF5973">
        <w:rPr>
          <w:rFonts w:ascii="Calibri" w:hAnsi="Calibri"/>
          <w:color w:val="000000" w:themeColor="text1"/>
        </w:rPr>
        <w:t>annually</w:t>
      </w:r>
      <w:r w:rsidRPr="00F07408">
        <w:rPr>
          <w:rFonts w:ascii="Calibri" w:hAnsi="Calibri"/>
          <w:color w:val="000000" w:themeColor="text1"/>
        </w:rPr>
        <w:t xml:space="preserve"> will be provided </w:t>
      </w:r>
      <w:r w:rsidR="00D43E1A">
        <w:rPr>
          <w:rFonts w:ascii="Calibri" w:hAnsi="Calibri"/>
          <w:color w:val="000000" w:themeColor="text1"/>
        </w:rPr>
        <w:t xml:space="preserve">for this initiative </w:t>
      </w:r>
      <w:r w:rsidRPr="00F07408">
        <w:rPr>
          <w:color w:val="000000" w:themeColor="text1"/>
        </w:rPr>
        <w:t xml:space="preserve">commencing 1 </w:t>
      </w:r>
      <w:r w:rsidR="00677230">
        <w:rPr>
          <w:color w:val="000000" w:themeColor="text1"/>
        </w:rPr>
        <w:t>January 2024</w:t>
      </w:r>
      <w:r w:rsidRPr="00F07408">
        <w:rPr>
          <w:color w:val="000000" w:themeColor="text1"/>
        </w:rPr>
        <w:t xml:space="preserve">. </w:t>
      </w:r>
      <w:r w:rsidR="00677230">
        <w:rPr>
          <w:color w:val="000000" w:themeColor="text1"/>
        </w:rPr>
        <w:t>It provides funding equivalent to 4 family law positions</w:t>
      </w:r>
      <w:r w:rsidR="00DE733E">
        <w:rPr>
          <w:color w:val="000000" w:themeColor="text1"/>
        </w:rPr>
        <w:t>,</w:t>
      </w:r>
      <w:r w:rsidR="00677230">
        <w:rPr>
          <w:color w:val="000000" w:themeColor="text1"/>
        </w:rPr>
        <w:t xml:space="preserve"> including 2 </w:t>
      </w:r>
      <w:r w:rsidR="00DE733E">
        <w:rPr>
          <w:color w:val="000000" w:themeColor="text1"/>
        </w:rPr>
        <w:t>m</w:t>
      </w:r>
      <w:r w:rsidR="00677230">
        <w:rPr>
          <w:color w:val="000000" w:themeColor="text1"/>
        </w:rPr>
        <w:t>ediators</w:t>
      </w:r>
      <w:r w:rsidR="00DE733E">
        <w:rPr>
          <w:color w:val="000000" w:themeColor="text1"/>
        </w:rPr>
        <w:t>,</w:t>
      </w:r>
      <w:r w:rsidR="00677230">
        <w:rPr>
          <w:color w:val="000000" w:themeColor="text1"/>
        </w:rPr>
        <w:t xml:space="preserve"> to deliver </w:t>
      </w:r>
      <w:r w:rsidR="00AF5973">
        <w:rPr>
          <w:color w:val="000000" w:themeColor="text1"/>
        </w:rPr>
        <w:t>effective</w:t>
      </w:r>
      <w:r w:rsidR="00677230">
        <w:rPr>
          <w:color w:val="000000" w:themeColor="text1"/>
        </w:rPr>
        <w:t xml:space="preserve"> alternative dispute resolution services </w:t>
      </w:r>
      <w:r w:rsidR="00AF5973">
        <w:rPr>
          <w:color w:val="000000" w:themeColor="text1"/>
        </w:rPr>
        <w:t>nationally,</w:t>
      </w:r>
      <w:r w:rsidR="00677230">
        <w:rPr>
          <w:color w:val="000000" w:themeColor="text1"/>
        </w:rPr>
        <w:t xml:space="preserve"> and 2 Court Child Experts to provide early child welfare assessments and attend alternative dispute resolution sessions in appropriate cases. </w:t>
      </w:r>
    </w:p>
    <w:p w:rsidR="000D08F0" w:rsidRDefault="000D08F0" w:rsidP="00547389">
      <w:pPr>
        <w:autoSpaceDE w:val="0"/>
        <w:autoSpaceDN w:val="0"/>
        <w:spacing w:before="3360"/>
        <w:rPr>
          <w:rFonts w:ascii="Calibri Light" w:eastAsiaTheme="minorEastAsia" w:hAnsi="Calibri Light" w:cs="Calibri Light"/>
          <w:noProof/>
          <w:color w:val="44546A"/>
          <w:lang w:eastAsia="en-AU"/>
        </w:rPr>
      </w:pPr>
      <w:r>
        <w:rPr>
          <w:rFonts w:ascii="Calibri Light" w:eastAsiaTheme="minorEastAsia" w:hAnsi="Calibri Light" w:cs="Calibri Light"/>
          <w:b/>
          <w:bCs/>
          <w:noProof/>
          <w:color w:val="44546A"/>
          <w:lang w:eastAsia="en-AU"/>
        </w:rPr>
        <w:t>Denise Healy</w:t>
      </w:r>
      <w:r>
        <w:rPr>
          <w:rFonts w:ascii="Calibri Light" w:eastAsiaTheme="minorEastAsia" w:hAnsi="Calibri Light" w:cs="Calibri Light"/>
          <w:noProof/>
          <w:color w:val="44546A"/>
          <w:lang w:eastAsia="en-AU"/>
        </w:rPr>
        <w:t xml:space="preserve"> </w:t>
      </w:r>
    </w:p>
    <w:p w:rsidR="000D08F0" w:rsidRDefault="000D08F0" w:rsidP="000D08F0">
      <w:pPr>
        <w:autoSpaceDE w:val="0"/>
        <w:autoSpaceDN w:val="0"/>
        <w:rPr>
          <w:rFonts w:ascii="Calibri Light" w:eastAsiaTheme="minorEastAsia" w:hAnsi="Calibri Light" w:cs="Calibri Light"/>
          <w:noProof/>
          <w:color w:val="666666"/>
          <w:lang w:eastAsia="en-AU"/>
        </w:rPr>
      </w:pPr>
      <w:r>
        <w:rPr>
          <w:rFonts w:ascii="Calibri Light" w:eastAsiaTheme="minorEastAsia" w:hAnsi="Calibri Light" w:cs="Calibri Light"/>
          <w:noProof/>
          <w:color w:val="666666"/>
          <w:lang w:eastAsia="en-AU"/>
        </w:rPr>
        <w:t>Director – Media &amp; Public Affairs</w:t>
      </w:r>
      <w:r w:rsidR="00716AB0">
        <w:rPr>
          <w:rFonts w:ascii="Calibri Light" w:eastAsiaTheme="minorEastAsia" w:hAnsi="Calibri Light" w:cs="Calibri Light"/>
          <w:noProof/>
          <w:color w:val="666666"/>
          <w:lang w:eastAsia="en-AU"/>
        </w:rPr>
        <w:t xml:space="preserve">, </w:t>
      </w:r>
      <w:r>
        <w:rPr>
          <w:rFonts w:ascii="Calibri Light" w:eastAsiaTheme="minorEastAsia" w:hAnsi="Calibri Light" w:cs="Calibri Light"/>
          <w:noProof/>
          <w:color w:val="666666"/>
          <w:lang w:eastAsia="en-AU"/>
        </w:rPr>
        <w:t xml:space="preserve">Federal Circuit and Family Court of Australia </w:t>
      </w:r>
    </w:p>
    <w:p w:rsidR="000D08F0" w:rsidRPr="00D54EE1" w:rsidRDefault="000D08F0" w:rsidP="00547389">
      <w:pPr>
        <w:rPr>
          <w:rFonts w:ascii="Calibri Light" w:eastAsiaTheme="minorEastAsia" w:hAnsi="Calibri Light" w:cs="Calibri Light"/>
          <w:lang w:eastAsia="en-AU"/>
        </w:rPr>
      </w:pPr>
      <w:r>
        <w:rPr>
          <w:rFonts w:ascii="Calibri Light" w:eastAsiaTheme="minorEastAsia" w:hAnsi="Calibri Light" w:cs="Calibri Light"/>
          <w:b/>
          <w:bCs/>
          <w:noProof/>
          <w:color w:val="44546A"/>
          <w:lang w:eastAsia="en-AU"/>
        </w:rPr>
        <w:t xml:space="preserve">m. </w:t>
      </w:r>
      <w:r>
        <w:rPr>
          <w:rFonts w:ascii="Calibri Light" w:eastAsiaTheme="minorEastAsia" w:hAnsi="Calibri Light" w:cs="Calibri Light"/>
          <w:noProof/>
          <w:color w:val="666666"/>
          <w:lang w:eastAsia="en-AU"/>
        </w:rPr>
        <w:t>040</w:t>
      </w:r>
      <w:r w:rsidR="001953C0">
        <w:rPr>
          <w:rFonts w:ascii="Calibri Light" w:eastAsiaTheme="minorEastAsia" w:hAnsi="Calibri Light" w:cs="Calibri Light"/>
          <w:noProof/>
          <w:color w:val="666666"/>
          <w:lang w:eastAsia="en-AU"/>
        </w:rPr>
        <w:t>97</w:t>
      </w:r>
      <w:r>
        <w:rPr>
          <w:rFonts w:ascii="Calibri Light" w:eastAsiaTheme="minorEastAsia" w:hAnsi="Calibri Light" w:cs="Calibri Light"/>
          <w:noProof/>
          <w:color w:val="666666"/>
          <w:lang w:eastAsia="en-AU"/>
        </w:rPr>
        <w:t>43 695</w:t>
      </w:r>
      <w:r w:rsidR="001953C0">
        <w:rPr>
          <w:rFonts w:ascii="Calibri Light" w:eastAsiaTheme="minorEastAsia" w:hAnsi="Calibri Light" w:cs="Calibri Light"/>
          <w:noProof/>
          <w:color w:val="666666"/>
          <w:lang w:eastAsia="en-AU"/>
        </w:rPr>
        <w:t xml:space="preserve"> </w:t>
      </w:r>
      <w:r>
        <w:rPr>
          <w:rFonts w:ascii="Calibri Light" w:eastAsiaTheme="minorEastAsia" w:hAnsi="Calibri Light" w:cs="Calibri Light"/>
          <w:b/>
          <w:bCs/>
          <w:noProof/>
          <w:color w:val="44546A"/>
          <w:lang w:eastAsia="en-AU"/>
        </w:rPr>
        <w:t>e.</w:t>
      </w:r>
      <w:r>
        <w:rPr>
          <w:rFonts w:ascii="Calibri Light" w:eastAsiaTheme="minorEastAsia" w:hAnsi="Calibri Light" w:cs="Calibri Light"/>
          <w:b/>
          <w:bCs/>
          <w:noProof/>
          <w:color w:val="000000"/>
          <w:lang w:eastAsia="en-AU"/>
        </w:rPr>
        <w:t xml:space="preserve"> </w:t>
      </w:r>
      <w:hyperlink r:id="rId12" w:history="1">
        <w:r>
          <w:rPr>
            <w:rStyle w:val="Hyperlink"/>
            <w:rFonts w:ascii="Calibri Light" w:eastAsiaTheme="minorEastAsia" w:hAnsi="Calibri Light" w:cs="Calibri Light"/>
            <w:noProof/>
          </w:rPr>
          <w:t>denise.healy@fcfcoa.gov.au</w:t>
        </w:r>
      </w:hyperlink>
    </w:p>
    <w:sectPr w:rsidR="000D08F0" w:rsidRPr="00D54EE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2530" w:rsidRDefault="00842530" w:rsidP="00965ADE">
      <w:r>
        <w:separator/>
      </w:r>
    </w:p>
  </w:endnote>
  <w:endnote w:type="continuationSeparator" w:id="0">
    <w:p w:rsidR="00842530" w:rsidRDefault="00842530" w:rsidP="00965A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38FD" w:rsidRDefault="00CB38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88322881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D2548B" w:rsidRPr="00D2548B" w:rsidRDefault="00D2548B" w:rsidP="00D2548B">
        <w:pPr>
          <w:pStyle w:val="Footer"/>
          <w:pBdr>
            <w:top w:val="single" w:sz="4" w:space="1" w:color="D9D9D9" w:themeColor="background1" w:themeShade="D9"/>
          </w:pBdr>
          <w:jc w:val="right"/>
          <w:rPr>
            <w:b/>
            <w:bCs/>
            <w:sz w:val="16"/>
            <w:szCs w:val="16"/>
          </w:rPr>
        </w:pPr>
        <w:r w:rsidRPr="00D2548B">
          <w:rPr>
            <w:sz w:val="16"/>
            <w:szCs w:val="16"/>
          </w:rPr>
          <w:fldChar w:fldCharType="begin"/>
        </w:r>
        <w:r w:rsidRPr="00D2548B">
          <w:rPr>
            <w:sz w:val="16"/>
            <w:szCs w:val="16"/>
          </w:rPr>
          <w:instrText xml:space="preserve"> PAGE   \* MERGEFORMAT </w:instrText>
        </w:r>
        <w:r w:rsidRPr="00D2548B">
          <w:rPr>
            <w:sz w:val="16"/>
            <w:szCs w:val="16"/>
          </w:rPr>
          <w:fldChar w:fldCharType="separate"/>
        </w:r>
        <w:r w:rsidR="00F0045F" w:rsidRPr="00F0045F">
          <w:rPr>
            <w:b/>
            <w:bCs/>
            <w:noProof/>
            <w:sz w:val="16"/>
            <w:szCs w:val="16"/>
          </w:rPr>
          <w:t>1</w:t>
        </w:r>
        <w:r w:rsidRPr="00D2548B">
          <w:rPr>
            <w:b/>
            <w:bCs/>
            <w:noProof/>
            <w:sz w:val="16"/>
            <w:szCs w:val="16"/>
          </w:rPr>
          <w:fldChar w:fldCharType="end"/>
        </w:r>
        <w:r w:rsidRPr="00D2548B">
          <w:rPr>
            <w:b/>
            <w:bCs/>
            <w:sz w:val="16"/>
            <w:szCs w:val="16"/>
          </w:rPr>
          <w:t xml:space="preserve"> | </w:t>
        </w:r>
        <w:r w:rsidRPr="00D2548B">
          <w:rPr>
            <w:color w:val="7F7F7F" w:themeColor="background1" w:themeShade="7F"/>
            <w:spacing w:val="60"/>
            <w:sz w:val="16"/>
            <w:szCs w:val="16"/>
          </w:rPr>
          <w:t>Page</w:t>
        </w:r>
      </w:p>
    </w:sdtContent>
  </w:sdt>
  <w:p w:rsidR="00965ADE" w:rsidRDefault="00965AD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38FD" w:rsidRDefault="00CB38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2530" w:rsidRDefault="00842530" w:rsidP="00965ADE">
      <w:r>
        <w:separator/>
      </w:r>
    </w:p>
  </w:footnote>
  <w:footnote w:type="continuationSeparator" w:id="0">
    <w:p w:rsidR="00842530" w:rsidRDefault="00842530" w:rsidP="00965A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38FD" w:rsidRDefault="00CB38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65ADE" w:rsidRDefault="00965AD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38FD" w:rsidRDefault="00CB38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D35260"/>
    <w:multiLevelType w:val="hybridMultilevel"/>
    <w:tmpl w:val="D10693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1E23AF"/>
    <w:multiLevelType w:val="hybridMultilevel"/>
    <w:tmpl w:val="4536BF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6F26A7"/>
    <w:multiLevelType w:val="hybridMultilevel"/>
    <w:tmpl w:val="269ECDFC"/>
    <w:lvl w:ilvl="0" w:tplc="35FC5200">
      <w:numFmt w:val="bullet"/>
      <w:lvlText w:val="•"/>
      <w:lvlJc w:val="left"/>
      <w:pPr>
        <w:ind w:left="1080" w:hanging="72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171196A"/>
    <w:multiLevelType w:val="hybridMultilevel"/>
    <w:tmpl w:val="3C4692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5FD13A5"/>
    <w:multiLevelType w:val="hybridMultilevel"/>
    <w:tmpl w:val="C72C78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7D47D2"/>
    <w:multiLevelType w:val="hybridMultilevel"/>
    <w:tmpl w:val="1186B0E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7E5EF5"/>
    <w:multiLevelType w:val="hybridMultilevel"/>
    <w:tmpl w:val="303CF44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8215627"/>
    <w:multiLevelType w:val="hybridMultilevel"/>
    <w:tmpl w:val="D34E0ED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DE2347"/>
    <w:multiLevelType w:val="hybridMultilevel"/>
    <w:tmpl w:val="0EB6D35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E8018E"/>
    <w:multiLevelType w:val="multilevel"/>
    <w:tmpl w:val="C09A60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BF42CD2"/>
    <w:multiLevelType w:val="hybridMultilevel"/>
    <w:tmpl w:val="82A4381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B40804"/>
    <w:multiLevelType w:val="hybridMultilevel"/>
    <w:tmpl w:val="7A185D4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4"/>
  </w:num>
  <w:num w:numId="4">
    <w:abstractNumId w:val="3"/>
  </w:num>
  <w:num w:numId="5">
    <w:abstractNumId w:val="2"/>
  </w:num>
  <w:num w:numId="6">
    <w:abstractNumId w:val="11"/>
  </w:num>
  <w:num w:numId="7">
    <w:abstractNumId w:val="9"/>
  </w:num>
  <w:num w:numId="8">
    <w:abstractNumId w:val="6"/>
  </w:num>
  <w:num w:numId="9">
    <w:abstractNumId w:val="1"/>
  </w:num>
  <w:num w:numId="10">
    <w:abstractNumId w:val="10"/>
  </w:num>
  <w:num w:numId="11">
    <w:abstractNumId w:val="8"/>
  </w:num>
  <w:num w:numId="1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gnword-docGUID" w:val="{4D95FD01-FBD6-4CA8-B04F-2653B8C51203}"/>
    <w:docVar w:name="dgnword-eventsink" w:val="436870288"/>
  </w:docVars>
  <w:rsids>
    <w:rsidRoot w:val="000D08F0"/>
    <w:rsid w:val="000176EE"/>
    <w:rsid w:val="00023675"/>
    <w:rsid w:val="00025B6F"/>
    <w:rsid w:val="00047F1F"/>
    <w:rsid w:val="00051035"/>
    <w:rsid w:val="0006637E"/>
    <w:rsid w:val="00095578"/>
    <w:rsid w:val="00097E18"/>
    <w:rsid w:val="000B26A8"/>
    <w:rsid w:val="000B760A"/>
    <w:rsid w:val="000D08F0"/>
    <w:rsid w:val="000D18BD"/>
    <w:rsid w:val="000E3098"/>
    <w:rsid w:val="000E4705"/>
    <w:rsid w:val="000F3BEB"/>
    <w:rsid w:val="00112F65"/>
    <w:rsid w:val="00125891"/>
    <w:rsid w:val="00157845"/>
    <w:rsid w:val="001953C0"/>
    <w:rsid w:val="001B7702"/>
    <w:rsid w:val="001E644A"/>
    <w:rsid w:val="001E7306"/>
    <w:rsid w:val="001F0805"/>
    <w:rsid w:val="001F3567"/>
    <w:rsid w:val="001F4BA4"/>
    <w:rsid w:val="002035D1"/>
    <w:rsid w:val="002138F6"/>
    <w:rsid w:val="00214A90"/>
    <w:rsid w:val="00220287"/>
    <w:rsid w:val="00234C3E"/>
    <w:rsid w:val="002441F0"/>
    <w:rsid w:val="0024536D"/>
    <w:rsid w:val="002526E1"/>
    <w:rsid w:val="0026099A"/>
    <w:rsid w:val="0026779C"/>
    <w:rsid w:val="00271AAF"/>
    <w:rsid w:val="00274824"/>
    <w:rsid w:val="00274908"/>
    <w:rsid w:val="002951BB"/>
    <w:rsid w:val="0029565B"/>
    <w:rsid w:val="00297C97"/>
    <w:rsid w:val="002B45D3"/>
    <w:rsid w:val="002C6B47"/>
    <w:rsid w:val="002E07BE"/>
    <w:rsid w:val="002E70CE"/>
    <w:rsid w:val="002F012D"/>
    <w:rsid w:val="002F3E65"/>
    <w:rsid w:val="00301324"/>
    <w:rsid w:val="003238AB"/>
    <w:rsid w:val="00326E51"/>
    <w:rsid w:val="003316B1"/>
    <w:rsid w:val="00335F15"/>
    <w:rsid w:val="00343809"/>
    <w:rsid w:val="00344A2D"/>
    <w:rsid w:val="00344C32"/>
    <w:rsid w:val="00362D01"/>
    <w:rsid w:val="003904F2"/>
    <w:rsid w:val="00390C1D"/>
    <w:rsid w:val="003A02C8"/>
    <w:rsid w:val="003B0A3D"/>
    <w:rsid w:val="003E0964"/>
    <w:rsid w:val="003E326E"/>
    <w:rsid w:val="003F4B6C"/>
    <w:rsid w:val="003F50C0"/>
    <w:rsid w:val="00406B81"/>
    <w:rsid w:val="0041509F"/>
    <w:rsid w:val="00450A01"/>
    <w:rsid w:val="004619DB"/>
    <w:rsid w:val="00474BDB"/>
    <w:rsid w:val="00490C2D"/>
    <w:rsid w:val="004A18BE"/>
    <w:rsid w:val="004A4040"/>
    <w:rsid w:val="004B55D9"/>
    <w:rsid w:val="004D2EC7"/>
    <w:rsid w:val="004D4EBA"/>
    <w:rsid w:val="004F0938"/>
    <w:rsid w:val="004F61B5"/>
    <w:rsid w:val="0051002E"/>
    <w:rsid w:val="00521B3D"/>
    <w:rsid w:val="00530223"/>
    <w:rsid w:val="00547389"/>
    <w:rsid w:val="00553A65"/>
    <w:rsid w:val="00562AF2"/>
    <w:rsid w:val="00571556"/>
    <w:rsid w:val="005842F3"/>
    <w:rsid w:val="00584E7A"/>
    <w:rsid w:val="005858CF"/>
    <w:rsid w:val="005A53CF"/>
    <w:rsid w:val="005A5FEB"/>
    <w:rsid w:val="005E4B25"/>
    <w:rsid w:val="005E6D54"/>
    <w:rsid w:val="005E76C3"/>
    <w:rsid w:val="005F6A87"/>
    <w:rsid w:val="005F6FE0"/>
    <w:rsid w:val="00606779"/>
    <w:rsid w:val="00615C7D"/>
    <w:rsid w:val="00621578"/>
    <w:rsid w:val="006301D4"/>
    <w:rsid w:val="00635897"/>
    <w:rsid w:val="00653AFF"/>
    <w:rsid w:val="00660137"/>
    <w:rsid w:val="00673856"/>
    <w:rsid w:val="00677230"/>
    <w:rsid w:val="006A661F"/>
    <w:rsid w:val="006B15B1"/>
    <w:rsid w:val="006C7792"/>
    <w:rsid w:val="006E0BE9"/>
    <w:rsid w:val="006E5917"/>
    <w:rsid w:val="006F5596"/>
    <w:rsid w:val="00711542"/>
    <w:rsid w:val="00716AB0"/>
    <w:rsid w:val="00721A04"/>
    <w:rsid w:val="007375F1"/>
    <w:rsid w:val="007518E5"/>
    <w:rsid w:val="00754B17"/>
    <w:rsid w:val="00755C62"/>
    <w:rsid w:val="00760A09"/>
    <w:rsid w:val="007647D3"/>
    <w:rsid w:val="00766965"/>
    <w:rsid w:val="00776049"/>
    <w:rsid w:val="00776B61"/>
    <w:rsid w:val="007775BB"/>
    <w:rsid w:val="007800AE"/>
    <w:rsid w:val="00791799"/>
    <w:rsid w:val="00793E14"/>
    <w:rsid w:val="007A0072"/>
    <w:rsid w:val="007C0CC9"/>
    <w:rsid w:val="007C4596"/>
    <w:rsid w:val="007D0972"/>
    <w:rsid w:val="007D1005"/>
    <w:rsid w:val="007D475C"/>
    <w:rsid w:val="007F2644"/>
    <w:rsid w:val="007F30F7"/>
    <w:rsid w:val="0081401E"/>
    <w:rsid w:val="008276C3"/>
    <w:rsid w:val="0083161A"/>
    <w:rsid w:val="00842530"/>
    <w:rsid w:val="008436EE"/>
    <w:rsid w:val="00846655"/>
    <w:rsid w:val="00851312"/>
    <w:rsid w:val="00851349"/>
    <w:rsid w:val="00871643"/>
    <w:rsid w:val="008804F1"/>
    <w:rsid w:val="00891186"/>
    <w:rsid w:val="008C2E80"/>
    <w:rsid w:val="008D7AB0"/>
    <w:rsid w:val="008E0637"/>
    <w:rsid w:val="008E5EF9"/>
    <w:rsid w:val="008F0A43"/>
    <w:rsid w:val="008F17F8"/>
    <w:rsid w:val="008F2C05"/>
    <w:rsid w:val="008F349D"/>
    <w:rsid w:val="009024CF"/>
    <w:rsid w:val="00921C2C"/>
    <w:rsid w:val="00932B85"/>
    <w:rsid w:val="00934F6D"/>
    <w:rsid w:val="00936AC7"/>
    <w:rsid w:val="00944BAA"/>
    <w:rsid w:val="0095379F"/>
    <w:rsid w:val="009555AD"/>
    <w:rsid w:val="00965ADE"/>
    <w:rsid w:val="009742F7"/>
    <w:rsid w:val="0097484B"/>
    <w:rsid w:val="00984547"/>
    <w:rsid w:val="009934C6"/>
    <w:rsid w:val="0099488E"/>
    <w:rsid w:val="00997715"/>
    <w:rsid w:val="009B11F2"/>
    <w:rsid w:val="009B6426"/>
    <w:rsid w:val="009E7304"/>
    <w:rsid w:val="009F3CDC"/>
    <w:rsid w:val="009F3F9B"/>
    <w:rsid w:val="00A2534A"/>
    <w:rsid w:val="00A25B61"/>
    <w:rsid w:val="00A328DA"/>
    <w:rsid w:val="00A374F7"/>
    <w:rsid w:val="00A4498B"/>
    <w:rsid w:val="00A47C93"/>
    <w:rsid w:val="00A70D97"/>
    <w:rsid w:val="00A75ED8"/>
    <w:rsid w:val="00A80AF6"/>
    <w:rsid w:val="00A96CAF"/>
    <w:rsid w:val="00AC4C02"/>
    <w:rsid w:val="00AD2EB3"/>
    <w:rsid w:val="00AE1CC2"/>
    <w:rsid w:val="00AE3FEB"/>
    <w:rsid w:val="00AF5973"/>
    <w:rsid w:val="00AF6BDD"/>
    <w:rsid w:val="00B00DDF"/>
    <w:rsid w:val="00B108B0"/>
    <w:rsid w:val="00B14404"/>
    <w:rsid w:val="00B1645E"/>
    <w:rsid w:val="00B24170"/>
    <w:rsid w:val="00B27E57"/>
    <w:rsid w:val="00B41180"/>
    <w:rsid w:val="00B4747A"/>
    <w:rsid w:val="00B55756"/>
    <w:rsid w:val="00B6188C"/>
    <w:rsid w:val="00B80414"/>
    <w:rsid w:val="00BB6D83"/>
    <w:rsid w:val="00BC1DEC"/>
    <w:rsid w:val="00BC630D"/>
    <w:rsid w:val="00BD0E0E"/>
    <w:rsid w:val="00BE0E26"/>
    <w:rsid w:val="00BE6F74"/>
    <w:rsid w:val="00C141CA"/>
    <w:rsid w:val="00C27320"/>
    <w:rsid w:val="00C45A4D"/>
    <w:rsid w:val="00C870E4"/>
    <w:rsid w:val="00CB32AC"/>
    <w:rsid w:val="00CB38FD"/>
    <w:rsid w:val="00CC67F9"/>
    <w:rsid w:val="00D022FC"/>
    <w:rsid w:val="00D03F4A"/>
    <w:rsid w:val="00D21529"/>
    <w:rsid w:val="00D21C12"/>
    <w:rsid w:val="00D21F59"/>
    <w:rsid w:val="00D2548B"/>
    <w:rsid w:val="00D26ECE"/>
    <w:rsid w:val="00D34A7E"/>
    <w:rsid w:val="00D43E1A"/>
    <w:rsid w:val="00D54EE1"/>
    <w:rsid w:val="00D67C17"/>
    <w:rsid w:val="00D755C3"/>
    <w:rsid w:val="00D829E4"/>
    <w:rsid w:val="00D8648A"/>
    <w:rsid w:val="00D97966"/>
    <w:rsid w:val="00DA351C"/>
    <w:rsid w:val="00DA43B4"/>
    <w:rsid w:val="00DB0543"/>
    <w:rsid w:val="00DC268B"/>
    <w:rsid w:val="00DC438D"/>
    <w:rsid w:val="00DE733E"/>
    <w:rsid w:val="00E15E05"/>
    <w:rsid w:val="00E165BB"/>
    <w:rsid w:val="00E252B0"/>
    <w:rsid w:val="00E32FF8"/>
    <w:rsid w:val="00E3739E"/>
    <w:rsid w:val="00E57A20"/>
    <w:rsid w:val="00E57FB2"/>
    <w:rsid w:val="00E63A3A"/>
    <w:rsid w:val="00E9113C"/>
    <w:rsid w:val="00E97FCB"/>
    <w:rsid w:val="00EA1AC1"/>
    <w:rsid w:val="00EA5967"/>
    <w:rsid w:val="00EB3CED"/>
    <w:rsid w:val="00EC3674"/>
    <w:rsid w:val="00F0045F"/>
    <w:rsid w:val="00F01B2D"/>
    <w:rsid w:val="00F07408"/>
    <w:rsid w:val="00F14BBD"/>
    <w:rsid w:val="00F174AB"/>
    <w:rsid w:val="00F217DE"/>
    <w:rsid w:val="00F26B00"/>
    <w:rsid w:val="00F40D54"/>
    <w:rsid w:val="00F447E3"/>
    <w:rsid w:val="00F63BF9"/>
    <w:rsid w:val="00F7102A"/>
    <w:rsid w:val="00F76BFA"/>
    <w:rsid w:val="00F828F5"/>
    <w:rsid w:val="00F85A3D"/>
    <w:rsid w:val="00FA339F"/>
    <w:rsid w:val="00FA4F9F"/>
    <w:rsid w:val="00FB37AB"/>
    <w:rsid w:val="00FB6508"/>
    <w:rsid w:val="00FC4414"/>
    <w:rsid w:val="00FE17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5965EBEC"/>
  <w15:chartTrackingRefBased/>
  <w15:docId w15:val="{073AEFDA-823B-4AB0-AFA7-86D3C0F87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08F0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0D08F0"/>
    <w:pPr>
      <w:keepNext/>
      <w:keepLines/>
      <w:spacing w:before="120" w:after="240" w:line="276" w:lineRule="auto"/>
      <w:outlineLvl w:val="0"/>
    </w:pPr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D08F0"/>
    <w:rPr>
      <w:rFonts w:eastAsiaTheme="majorEastAsia" w:cstheme="majorBidi"/>
      <w:b/>
      <w:bCs/>
      <w:color w:val="04526C"/>
      <w:sz w:val="36"/>
      <w:szCs w:val="28"/>
      <w:lang w:eastAsia="en-AU"/>
    </w:rPr>
  </w:style>
  <w:style w:type="character" w:styleId="Hyperlink">
    <w:name w:val="Hyperlink"/>
    <w:basedOn w:val="DefaultParagraphFont"/>
    <w:uiPriority w:val="99"/>
    <w:unhideWhenUsed/>
    <w:rsid w:val="000D08F0"/>
    <w:rPr>
      <w:color w:val="0563C1" w:themeColor="hyperlink"/>
      <w:u w:val="single"/>
    </w:rPr>
  </w:style>
  <w:style w:type="paragraph" w:styleId="ListParagraph">
    <w:name w:val="List Paragraph"/>
    <w:aliases w:val="Recommendation,L,List Paragraph1,List Paragraph11,CV text,Table text,F5 List Paragraph,Dot pt,List Paragraph111,Medium Grid 1 - Accent 21,List Paragraph2,NFP GP Bulleted List,FooterText,numbered,Paragraphe de liste1,列出段,List Bullet Cab"/>
    <w:basedOn w:val="Normal"/>
    <w:link w:val="ListParagraphChar"/>
    <w:uiPriority w:val="34"/>
    <w:qFormat/>
    <w:rsid w:val="000D08F0"/>
    <w:pPr>
      <w:spacing w:after="200" w:line="276" w:lineRule="auto"/>
      <w:ind w:left="720"/>
      <w:contextualSpacing/>
    </w:pPr>
    <w:rPr>
      <w:lang w:eastAsia="en-AU"/>
    </w:rPr>
  </w:style>
  <w:style w:type="character" w:customStyle="1" w:styleId="ListParagraphChar">
    <w:name w:val="List Paragraph Char"/>
    <w:aliases w:val="Recommendation Char,L Char,List Paragraph1 Char,List Paragraph11 Char,CV text Char,Table text Char,F5 List Paragraph Char,Dot pt Char,List Paragraph111 Char,Medium Grid 1 - Accent 21 Char,List Paragraph2 Char,FooterText Char,列出段 Char"/>
    <w:basedOn w:val="DefaultParagraphFont"/>
    <w:link w:val="ListParagraph"/>
    <w:uiPriority w:val="34"/>
    <w:locked/>
    <w:rsid w:val="00E15E05"/>
    <w:rPr>
      <w:lang w:eastAsia="en-AU"/>
    </w:rPr>
  </w:style>
  <w:style w:type="table" w:styleId="TableGrid">
    <w:name w:val="Table Grid"/>
    <w:basedOn w:val="TableNormal"/>
    <w:uiPriority w:val="39"/>
    <w:rsid w:val="00E15E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5ADE"/>
  </w:style>
  <w:style w:type="paragraph" w:styleId="Footer">
    <w:name w:val="footer"/>
    <w:basedOn w:val="Normal"/>
    <w:link w:val="FooterChar"/>
    <w:uiPriority w:val="99"/>
    <w:unhideWhenUsed/>
    <w:rsid w:val="00965A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5ADE"/>
  </w:style>
  <w:style w:type="paragraph" w:styleId="BalloonText">
    <w:name w:val="Balloon Text"/>
    <w:basedOn w:val="Normal"/>
    <w:link w:val="BalloonTextChar"/>
    <w:uiPriority w:val="99"/>
    <w:semiHidden/>
    <w:unhideWhenUsed/>
    <w:rsid w:val="00FC441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414"/>
    <w:rPr>
      <w:rFonts w:ascii="Segoe UI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97484B"/>
    <w:pPr>
      <w:autoSpaceDE w:val="0"/>
      <w:autoSpaceDN w:val="0"/>
      <w:adjustRightInd w:val="0"/>
    </w:pPr>
    <w:rPr>
      <w:rFonts w:ascii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97484B"/>
    <w:rPr>
      <w:rFonts w:ascii="Times New Roman" w:hAnsi="Times New Roman" w:cs="Times New Roman"/>
      <w:sz w:val="20"/>
      <w:szCs w:val="20"/>
    </w:rPr>
  </w:style>
  <w:style w:type="paragraph" w:styleId="NormalWeb">
    <w:name w:val="Normal (Web)"/>
    <w:basedOn w:val="Normal"/>
    <w:uiPriority w:val="99"/>
    <w:unhideWhenUsed/>
    <w:rsid w:val="00271AA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271AAF"/>
    <w:rPr>
      <w:b/>
      <w:bCs/>
    </w:rPr>
  </w:style>
  <w:style w:type="paragraph" w:styleId="FootnoteText">
    <w:name w:val="footnote text"/>
    <w:aliases w:val=" Char,Char"/>
    <w:basedOn w:val="Normal"/>
    <w:link w:val="FootnoteTextChar"/>
    <w:uiPriority w:val="99"/>
    <w:unhideWhenUsed/>
    <w:qFormat/>
    <w:rsid w:val="006F5596"/>
    <w:rPr>
      <w:sz w:val="20"/>
      <w:szCs w:val="20"/>
    </w:rPr>
  </w:style>
  <w:style w:type="character" w:customStyle="1" w:styleId="FootnoteTextChar">
    <w:name w:val="Footnote Text Char"/>
    <w:aliases w:val=" Char Char,Char Char"/>
    <w:basedOn w:val="DefaultParagraphFont"/>
    <w:link w:val="FootnoteText"/>
    <w:uiPriority w:val="99"/>
    <w:rsid w:val="006F5596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F5596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297C9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97C9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97C9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97C9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97C97"/>
    <w:rPr>
      <w:b/>
      <w:bCs/>
      <w:sz w:val="20"/>
      <w:szCs w:val="20"/>
    </w:rPr>
  </w:style>
  <w:style w:type="paragraph" w:customStyle="1" w:styleId="xmsonormal">
    <w:name w:val="x_msonormal"/>
    <w:basedOn w:val="Normal"/>
    <w:rsid w:val="00C870E4"/>
    <w:rPr>
      <w:rFonts w:ascii="Calibri" w:hAnsi="Calibri" w:cs="Times New Roman"/>
      <w:lang w:eastAsia="en-AU"/>
    </w:rPr>
  </w:style>
  <w:style w:type="paragraph" w:customStyle="1" w:styleId="xmsolistparagraph">
    <w:name w:val="x_msolistparagraph"/>
    <w:basedOn w:val="Normal"/>
    <w:rsid w:val="00C870E4"/>
    <w:pPr>
      <w:spacing w:after="160" w:line="252" w:lineRule="auto"/>
      <w:ind w:left="720"/>
    </w:pPr>
    <w:rPr>
      <w:rFonts w:ascii="Calibri" w:hAnsi="Calibri" w:cs="Times New Roman"/>
      <w:lang w:eastAsia="en-AU"/>
    </w:rPr>
  </w:style>
  <w:style w:type="paragraph" w:customStyle="1" w:styleId="default">
    <w:name w:val="default"/>
    <w:basedOn w:val="Normal"/>
    <w:uiPriority w:val="99"/>
    <w:rsid w:val="00C870E4"/>
    <w:pPr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eastAsia="en-AU"/>
    </w:rPr>
  </w:style>
  <w:style w:type="paragraph" w:customStyle="1" w:styleId="Default0">
    <w:name w:val="Default"/>
    <w:basedOn w:val="Normal"/>
    <w:rsid w:val="00C870E4"/>
    <w:pPr>
      <w:autoSpaceDE w:val="0"/>
      <w:autoSpaceDN w:val="0"/>
    </w:pPr>
    <w:rPr>
      <w:rFonts w:ascii="Calibri" w:hAnsi="Calibri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1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99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63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7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696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enise.healy@fcfcoa.gov.au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3795a17-e831-47ee-aaa8-c26c9c7c5cd4">
      <Terms xmlns="http://schemas.microsoft.com/office/infopath/2007/PartnerControls"/>
    </lcf76f155ced4ddcb4097134ff3c332f>
    <TaxCatchAll xmlns="8ab493d6-b151-47dc-95bc-f353e2fe703e" xsi:nil="true"/>
    <NavigatorClassification xmlns="8ab493d6-b151-47dc-95bc-f353e2fe703e">Chamber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3E295B95BA4E74E839F4BE5F738997C" ma:contentTypeVersion="16" ma:contentTypeDescription="Create a new document." ma:contentTypeScope="" ma:versionID="8ed529bdd539e44a249a1b22d321b5e0">
  <xsd:schema xmlns:xsd="http://www.w3.org/2001/XMLSchema" xmlns:xs="http://www.w3.org/2001/XMLSchema" xmlns:p="http://schemas.microsoft.com/office/2006/metadata/properties" xmlns:ns2="8ab493d6-b151-47dc-95bc-f353e2fe703e" xmlns:ns3="03795a17-e831-47ee-aaa8-c26c9c7c5cd4" targetNamespace="http://schemas.microsoft.com/office/2006/metadata/properties" ma:root="true" ma:fieldsID="2055a22d41bf3740d1c207c67e358fd9" ns2:_="" ns3:_="">
    <xsd:import namespace="8ab493d6-b151-47dc-95bc-f353e2fe703e"/>
    <xsd:import namespace="03795a17-e831-47ee-aaa8-c26c9c7c5cd4"/>
    <xsd:element name="properties">
      <xsd:complexType>
        <xsd:sequence>
          <xsd:element name="documentManagement">
            <xsd:complexType>
              <xsd:all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b493d6-b151-47dc-95bc-f353e2fe703e" elementFormDefault="qualified">
    <xsd:import namespace="http://schemas.microsoft.com/office/2006/documentManagement/types"/>
    <xsd:import namespace="http://schemas.microsoft.com/office/infopath/2007/PartnerControls"/>
    <xsd:element name="NavigatorClassification" ma:index="8" nillable="true" ma:displayName="Site Classification" ma:default="Chamber" ma:internalName="NavigatorClassification" ma:readOnly="true">
      <xsd:simpleType>
        <xsd:restriction base="dms:Text"/>
      </xsd:simple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b40256b2-ae50-40f6-8579-1abfdd858d8c}" ma:internalName="TaxCatchAll" ma:showField="CatchAllData" ma:web="8ab493d6-b151-47dc-95bc-f353e2fe70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3795a17-e831-47ee-aaa8-c26c9c7c5cd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7267fee-1754-45a8-ba16-746eaa2efd7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D3C0D4-9CA1-491A-BC5A-323411B5C562}">
  <ds:schemaRefs>
    <ds:schemaRef ds:uri="http://schemas.microsoft.com/office/2006/metadata/properties"/>
    <ds:schemaRef ds:uri="http://schemas.microsoft.com/office/2006/documentManagement/types"/>
    <ds:schemaRef ds:uri="http://purl.org/dc/terms/"/>
    <ds:schemaRef ds:uri="http://purl.org/dc/elements/1.1/"/>
    <ds:schemaRef ds:uri="http://schemas.microsoft.com/office/infopath/2007/PartnerControls"/>
    <ds:schemaRef ds:uri="8ab493d6-b151-47dc-95bc-f353e2fe703e"/>
    <ds:schemaRef ds:uri="http://schemas.openxmlformats.org/package/2006/metadata/core-properties"/>
    <ds:schemaRef ds:uri="03795a17-e831-47ee-aaa8-c26c9c7c5cd4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D4760716-6B20-4CE0-B2C9-807C657E85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552A742-3C28-4790-83E0-693FFDD4AFC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ab493d6-b151-47dc-95bc-f353e2fe703e"/>
    <ds:schemaRef ds:uri="03795a17-e831-47ee-aaa8-c26c9c7c5c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B01768B-15D7-47AC-9414-C114947E65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635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Media release: 2023-24 Commonwealth Budget provides support to the Federal Circuit and Family Court of Australia to tackle financial-related family violence and child abduction cases</vt:lpstr>
    </vt:vector>
  </TitlesOfParts>
  <Company>Federal Court of Australia</Company>
  <LinksUpToDate>false</LinksUpToDate>
  <CharactersWithSpaces>4253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Media release: 2023-24 Commonwealth Budget provides support to the Federal Circuit and Family Court of Australia to tackle financial-related family violence and child abduction cases</dc:title>
  <dc:subject/>
  <dc:creator>Federal Circuit and Family Court of Australia</dc:creator>
  <cp:keywords/>
  <dc:description/>
  <cp:lastModifiedBy>Christine Tuff</cp:lastModifiedBy>
  <cp:revision>5</cp:revision>
  <cp:lastPrinted>2022-10-25T02:28:00Z</cp:lastPrinted>
  <dcterms:created xsi:type="dcterms:W3CDTF">2023-05-09T07:09:00Z</dcterms:created>
  <dcterms:modified xsi:type="dcterms:W3CDTF">2023-05-09T07:16:00Z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0x01010013E295B95BA4E74E839F4BE5F738997C</vt:lpwstr>
  </property>
  <property fmtid="{D5CDD505-2E9C-101B-9397-08002B2CF9AE}" pid="3" name="MediaServiceImageTags">
    <vt:lpwstr/>
  </property>
</Properties>
</file>