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B26C3" w:rsidRPr="0017312B" w:rsidRDefault="00621578" w:rsidP="00DB4406">
      <w:pPr>
        <w:spacing w:before="120" w:after="840"/>
        <w:ind w:right="-330"/>
        <w:jc w:val="right"/>
        <w:rPr>
          <w:b/>
          <w:color w:val="04526C"/>
        </w:rPr>
      </w:pPr>
      <w:r>
        <w:rPr>
          <w:noProof/>
          <w:lang w:eastAsia="en-AU"/>
        </w:rPr>
        <w:drawing>
          <wp:anchor distT="0" distB="0" distL="114300" distR="114300" simplePos="0" relativeHeight="251659264" behindDoc="1" locked="0" layoutInCell="1" allowOverlap="1" wp14:anchorId="5EFF399C" wp14:editId="0051F1B0">
            <wp:simplePos x="0" y="0"/>
            <wp:positionH relativeFrom="page">
              <wp:align>right</wp:align>
            </wp:positionH>
            <wp:positionV relativeFrom="page">
              <wp:posOffset>48126</wp:posOffset>
            </wp:positionV>
            <wp:extent cx="7541895" cy="19577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edia_banner-01.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541895" cy="1957705"/>
                    </a:xfrm>
                    <a:prstGeom prst="rect">
                      <a:avLst/>
                    </a:prstGeom>
                  </pic:spPr>
                </pic:pic>
              </a:graphicData>
            </a:graphic>
            <wp14:sizeRelH relativeFrom="page">
              <wp14:pctWidth>0</wp14:pctWidth>
            </wp14:sizeRelH>
            <wp14:sizeRelV relativeFrom="page">
              <wp14:pctHeight>0</wp14:pctHeight>
            </wp14:sizeRelV>
          </wp:anchor>
        </w:drawing>
      </w:r>
      <w:r w:rsidR="006D17F9">
        <w:rPr>
          <w:b/>
          <w:color w:val="04526C"/>
        </w:rPr>
        <w:t>1 April 2023</w:t>
      </w:r>
    </w:p>
    <w:p w:rsidR="000D08F0" w:rsidRDefault="000D08F0" w:rsidP="0017312B">
      <w:pPr>
        <w:pStyle w:val="Heading1"/>
      </w:pPr>
      <w:r>
        <w:t xml:space="preserve">Media Release: </w:t>
      </w:r>
      <w:r w:rsidR="009031F1">
        <w:t>Federal Circuit and Family Court of Australia wins national award</w:t>
      </w:r>
      <w:r w:rsidR="006D17F9">
        <w:t xml:space="preserve"> for </w:t>
      </w:r>
      <w:r w:rsidR="009031F1">
        <w:t>Alternative Dispu</w:t>
      </w:r>
      <w:r w:rsidR="006D17F9">
        <w:t>te Resolution initiatives</w:t>
      </w:r>
    </w:p>
    <w:p w:rsidR="007E70EC" w:rsidRDefault="009031F1" w:rsidP="00782AB4">
      <w:pPr>
        <w:spacing w:after="0"/>
        <w:ind w:right="0"/>
        <w:rPr>
          <w:rFonts w:eastAsia="Times New Roman" w:cstheme="minorHAnsi"/>
          <w:bCs/>
          <w:lang w:eastAsia="zh-CN"/>
        </w:rPr>
      </w:pPr>
      <w:r>
        <w:rPr>
          <w:rFonts w:asciiTheme="majorHAnsi" w:eastAsiaTheme="majorEastAsia" w:hAnsiTheme="majorHAnsi" w:cstheme="majorBidi"/>
          <w:b/>
          <w:color w:val="04526C"/>
        </w:rPr>
        <w:t xml:space="preserve">At the Australian Alternative Dispute Resolution (ADR) Awards held on Friday 31 March 2023, </w:t>
      </w:r>
      <w:r w:rsidR="00C058B5" w:rsidRPr="00712D8B">
        <w:rPr>
          <w:rFonts w:asciiTheme="majorHAnsi" w:eastAsiaTheme="majorEastAsia" w:hAnsiTheme="majorHAnsi" w:cstheme="majorBidi"/>
          <w:b/>
          <w:color w:val="04526C"/>
        </w:rPr>
        <w:t>t</w:t>
      </w:r>
      <w:r w:rsidR="00F4189F" w:rsidRPr="00712D8B">
        <w:rPr>
          <w:rFonts w:asciiTheme="majorHAnsi" w:eastAsiaTheme="majorEastAsia" w:hAnsiTheme="majorHAnsi" w:cstheme="majorBidi"/>
          <w:b/>
          <w:color w:val="04526C"/>
        </w:rPr>
        <w:t xml:space="preserve">he </w:t>
      </w:r>
      <w:r w:rsidR="00CD59FE" w:rsidRPr="00712D8B">
        <w:rPr>
          <w:rFonts w:asciiTheme="majorHAnsi" w:eastAsiaTheme="majorEastAsia" w:hAnsiTheme="majorHAnsi" w:cstheme="majorBidi"/>
          <w:b/>
          <w:color w:val="04526C"/>
        </w:rPr>
        <w:t>Federal Circuit and Family Co</w:t>
      </w:r>
      <w:bookmarkStart w:id="0" w:name="_GoBack"/>
      <w:bookmarkEnd w:id="0"/>
      <w:r w:rsidR="00CD59FE" w:rsidRPr="00712D8B">
        <w:rPr>
          <w:rFonts w:asciiTheme="majorHAnsi" w:eastAsiaTheme="majorEastAsia" w:hAnsiTheme="majorHAnsi" w:cstheme="majorBidi"/>
          <w:b/>
          <w:color w:val="04526C"/>
        </w:rPr>
        <w:t xml:space="preserve">urt of Australia (Division 1 and Division 2) </w:t>
      </w:r>
      <w:r>
        <w:rPr>
          <w:rFonts w:asciiTheme="majorHAnsi" w:eastAsiaTheme="majorEastAsia" w:hAnsiTheme="majorHAnsi" w:cstheme="majorBidi"/>
          <w:b/>
          <w:color w:val="04526C"/>
        </w:rPr>
        <w:t xml:space="preserve">received national recognition for the </w:t>
      </w:r>
      <w:r w:rsidR="00364FEA">
        <w:rPr>
          <w:rFonts w:asciiTheme="majorHAnsi" w:eastAsiaTheme="majorEastAsia" w:hAnsiTheme="majorHAnsi" w:cstheme="majorBidi"/>
          <w:b/>
          <w:color w:val="04526C"/>
        </w:rPr>
        <w:t xml:space="preserve">Courts’ </w:t>
      </w:r>
      <w:r>
        <w:rPr>
          <w:rFonts w:asciiTheme="majorHAnsi" w:eastAsiaTheme="majorEastAsia" w:hAnsiTheme="majorHAnsi" w:cstheme="majorBidi"/>
          <w:b/>
          <w:color w:val="04526C"/>
        </w:rPr>
        <w:t xml:space="preserve">innovative </w:t>
      </w:r>
      <w:r w:rsidR="00364FEA">
        <w:rPr>
          <w:rFonts w:asciiTheme="majorHAnsi" w:eastAsiaTheme="majorEastAsia" w:hAnsiTheme="majorHAnsi" w:cstheme="majorBidi"/>
          <w:b/>
          <w:color w:val="04526C"/>
        </w:rPr>
        <w:t xml:space="preserve">and ground-breaking </w:t>
      </w:r>
      <w:r w:rsidR="00E920CF">
        <w:rPr>
          <w:rFonts w:asciiTheme="majorHAnsi" w:eastAsiaTheme="majorEastAsia" w:hAnsiTheme="majorHAnsi" w:cstheme="majorBidi"/>
          <w:b/>
          <w:color w:val="04526C"/>
        </w:rPr>
        <w:t>integration</w:t>
      </w:r>
      <w:r w:rsidR="007E70EC" w:rsidRPr="007E70EC">
        <w:rPr>
          <w:rFonts w:asciiTheme="majorHAnsi" w:eastAsiaTheme="majorEastAsia" w:hAnsiTheme="majorHAnsi" w:cstheme="majorBidi"/>
          <w:b/>
          <w:color w:val="04526C"/>
        </w:rPr>
        <w:t xml:space="preserve"> of </w:t>
      </w:r>
      <w:r w:rsidR="00E920CF">
        <w:rPr>
          <w:rFonts w:asciiTheme="majorHAnsi" w:eastAsiaTheme="majorEastAsia" w:hAnsiTheme="majorHAnsi" w:cstheme="majorBidi"/>
          <w:b/>
          <w:color w:val="04526C"/>
        </w:rPr>
        <w:t xml:space="preserve">safe </w:t>
      </w:r>
      <w:r w:rsidR="007E70EC" w:rsidRPr="007E70EC">
        <w:rPr>
          <w:rFonts w:asciiTheme="majorHAnsi" w:eastAsiaTheme="majorEastAsia" w:hAnsiTheme="majorHAnsi" w:cstheme="majorBidi"/>
          <w:b/>
          <w:color w:val="04526C"/>
        </w:rPr>
        <w:t>dispute resolution into the family law system</w:t>
      </w:r>
      <w:r w:rsidR="006D17F9">
        <w:rPr>
          <w:rFonts w:asciiTheme="majorHAnsi" w:eastAsiaTheme="majorEastAsia" w:hAnsiTheme="majorHAnsi" w:cstheme="majorBidi"/>
          <w:b/>
          <w:color w:val="04526C"/>
        </w:rPr>
        <w:t xml:space="preserve">, winning the </w:t>
      </w:r>
      <w:r w:rsidR="006D17F9" w:rsidRPr="006D17F9">
        <w:rPr>
          <w:rFonts w:asciiTheme="majorHAnsi" w:eastAsiaTheme="majorEastAsia" w:hAnsiTheme="majorHAnsi" w:cstheme="majorBidi"/>
          <w:b/>
          <w:color w:val="04526C"/>
        </w:rPr>
        <w:t xml:space="preserve">Courts and Tribunals - Alternative Dispute </w:t>
      </w:r>
      <w:r w:rsidR="006D17F9">
        <w:rPr>
          <w:rFonts w:asciiTheme="majorHAnsi" w:eastAsiaTheme="majorEastAsia" w:hAnsiTheme="majorHAnsi" w:cstheme="majorBidi"/>
          <w:b/>
          <w:color w:val="04526C"/>
        </w:rPr>
        <w:t>Resolution Group of the Year</w:t>
      </w:r>
      <w:r w:rsidR="007E70EC" w:rsidRPr="007E70EC">
        <w:rPr>
          <w:rFonts w:asciiTheme="majorHAnsi" w:eastAsiaTheme="majorEastAsia" w:hAnsiTheme="majorHAnsi" w:cstheme="majorBidi"/>
          <w:b/>
          <w:color w:val="04526C"/>
        </w:rPr>
        <w:t>.</w:t>
      </w:r>
    </w:p>
    <w:p w:rsidR="003D4628" w:rsidRDefault="003D4628" w:rsidP="00782AB4">
      <w:pPr>
        <w:spacing w:before="240" w:after="0"/>
        <w:ind w:right="425"/>
        <w:rPr>
          <w:rFonts w:eastAsia="Times New Roman" w:cstheme="minorHAnsi"/>
          <w:bCs/>
          <w:lang w:eastAsia="zh-CN"/>
        </w:rPr>
      </w:pPr>
      <w:r w:rsidRPr="003D4628">
        <w:rPr>
          <w:rFonts w:eastAsia="Times New Roman" w:cstheme="minorHAnsi"/>
          <w:bCs/>
          <w:lang w:eastAsia="zh-CN"/>
        </w:rPr>
        <w:t>Receiving the award on behalf of the Courts on Friday night, Deputy Chief Justice Robert McClelland said that the award provides due recognition by one of Australia’s leading dispute resolution organisations, of the transformative work that the Courts’ have undertaken to ensure that the safe resolution of disputes is at the core of family law matters.</w:t>
      </w:r>
    </w:p>
    <w:p w:rsidR="007E70EC" w:rsidRDefault="007E70EC" w:rsidP="00782AB4">
      <w:pPr>
        <w:spacing w:before="240" w:after="0"/>
        <w:ind w:right="425"/>
        <w:rPr>
          <w:rFonts w:eastAsia="Times New Roman" w:cstheme="minorHAnsi"/>
          <w:bCs/>
          <w:lang w:eastAsia="zh-CN"/>
        </w:rPr>
      </w:pPr>
      <w:r>
        <w:rPr>
          <w:rFonts w:eastAsia="Times New Roman" w:cstheme="minorHAnsi"/>
          <w:bCs/>
          <w:lang w:eastAsia="zh-CN"/>
        </w:rPr>
        <w:t xml:space="preserve">“Most importantly, it is an acknowledgment of the benefits that these changes have had on the many thousands of families that engage with the courts each year. </w:t>
      </w:r>
      <w:r w:rsidR="00843B0A" w:rsidRPr="00843B0A">
        <w:rPr>
          <w:rFonts w:eastAsia="Times New Roman" w:cstheme="minorHAnsi"/>
          <w:bCs/>
          <w:lang w:eastAsia="zh-CN"/>
        </w:rPr>
        <w:t>The Courts</w:t>
      </w:r>
      <w:r w:rsidR="009C3102">
        <w:rPr>
          <w:rFonts w:eastAsia="Times New Roman" w:cstheme="minorHAnsi"/>
          <w:bCs/>
          <w:lang w:eastAsia="zh-CN"/>
        </w:rPr>
        <w:t>’</w:t>
      </w:r>
      <w:r w:rsidR="00843B0A" w:rsidRPr="00843B0A">
        <w:rPr>
          <w:rFonts w:eastAsia="Times New Roman" w:cstheme="minorHAnsi"/>
          <w:bCs/>
          <w:lang w:eastAsia="zh-CN"/>
        </w:rPr>
        <w:t xml:space="preserve"> focus on dispute resolution</w:t>
      </w:r>
      <w:r w:rsidR="009C3102">
        <w:rPr>
          <w:rFonts w:eastAsia="Times New Roman" w:cstheme="minorHAnsi"/>
          <w:bCs/>
          <w:lang w:eastAsia="zh-CN"/>
        </w:rPr>
        <w:t>,</w:t>
      </w:r>
      <w:r w:rsidR="00843B0A" w:rsidRPr="00843B0A">
        <w:rPr>
          <w:rFonts w:eastAsia="Times New Roman" w:cstheme="minorHAnsi"/>
          <w:bCs/>
          <w:lang w:eastAsia="zh-CN"/>
        </w:rPr>
        <w:t xml:space="preserve"> </w:t>
      </w:r>
      <w:r w:rsidR="009C3102">
        <w:rPr>
          <w:rFonts w:eastAsia="Times New Roman" w:cstheme="minorHAnsi"/>
          <w:bCs/>
          <w:lang w:eastAsia="zh-CN"/>
        </w:rPr>
        <w:t xml:space="preserve">where it is safe to do so, </w:t>
      </w:r>
      <w:r w:rsidR="00843B0A" w:rsidRPr="00843B0A">
        <w:rPr>
          <w:rFonts w:eastAsia="Times New Roman" w:cstheme="minorHAnsi"/>
          <w:bCs/>
          <w:lang w:eastAsia="zh-CN"/>
        </w:rPr>
        <w:t xml:space="preserve">has allowed significant numbers of separated families to find </w:t>
      </w:r>
      <w:r w:rsidR="008C013E">
        <w:rPr>
          <w:rFonts w:eastAsia="Times New Roman" w:cstheme="minorHAnsi"/>
          <w:bCs/>
          <w:lang w:eastAsia="zh-CN"/>
        </w:rPr>
        <w:t xml:space="preserve">agreement and </w:t>
      </w:r>
      <w:r w:rsidR="00843B0A" w:rsidRPr="00843B0A">
        <w:rPr>
          <w:rFonts w:eastAsia="Times New Roman" w:cstheme="minorHAnsi"/>
          <w:bCs/>
          <w:lang w:eastAsia="zh-CN"/>
        </w:rPr>
        <w:t>closure</w:t>
      </w:r>
      <w:r w:rsidR="008C013E">
        <w:rPr>
          <w:rFonts w:eastAsia="Times New Roman" w:cstheme="minorHAnsi"/>
          <w:bCs/>
          <w:lang w:eastAsia="zh-CN"/>
        </w:rPr>
        <w:t>,</w:t>
      </w:r>
      <w:r w:rsidR="00843B0A" w:rsidRPr="00843B0A">
        <w:rPr>
          <w:rFonts w:eastAsia="Times New Roman" w:cstheme="minorHAnsi"/>
          <w:bCs/>
          <w:lang w:eastAsia="zh-CN"/>
        </w:rPr>
        <w:t xml:space="preserve"> and </w:t>
      </w:r>
      <w:r>
        <w:rPr>
          <w:rFonts w:eastAsia="Times New Roman" w:cstheme="minorHAnsi"/>
          <w:bCs/>
          <w:lang w:eastAsia="zh-CN"/>
        </w:rPr>
        <w:t xml:space="preserve">to </w:t>
      </w:r>
      <w:r w:rsidR="00843B0A" w:rsidRPr="00843B0A">
        <w:rPr>
          <w:rFonts w:eastAsia="Times New Roman" w:cstheme="minorHAnsi"/>
          <w:bCs/>
          <w:lang w:eastAsia="zh-CN"/>
        </w:rPr>
        <w:t>avoid the emotional and financial costs associated with protracted litigation</w:t>
      </w:r>
      <w:r w:rsidR="00273C99">
        <w:rPr>
          <w:rFonts w:eastAsia="Times New Roman" w:cstheme="minorHAnsi"/>
          <w:bCs/>
          <w:lang w:eastAsia="zh-CN"/>
        </w:rPr>
        <w:t>,” Deputy Chief Justice McClelland said</w:t>
      </w:r>
      <w:r w:rsidR="00843B0A" w:rsidRPr="00843B0A">
        <w:rPr>
          <w:rFonts w:eastAsia="Times New Roman" w:cstheme="minorHAnsi"/>
          <w:bCs/>
          <w:lang w:eastAsia="zh-CN"/>
        </w:rPr>
        <w:t xml:space="preserve">. </w:t>
      </w:r>
    </w:p>
    <w:p w:rsidR="008C013E" w:rsidRDefault="00273C99" w:rsidP="00782AB4">
      <w:pPr>
        <w:spacing w:before="240" w:after="0"/>
        <w:ind w:right="425"/>
        <w:rPr>
          <w:rFonts w:eastAsia="Times New Roman" w:cstheme="minorHAnsi"/>
          <w:bCs/>
          <w:lang w:eastAsia="zh-CN"/>
        </w:rPr>
      </w:pPr>
      <w:r>
        <w:rPr>
          <w:rFonts w:eastAsia="Times New Roman" w:cstheme="minorHAnsi"/>
          <w:bCs/>
          <w:lang w:eastAsia="zh-CN"/>
        </w:rPr>
        <w:t>Mr David Pringle, Chief Executive Officer and Principal Registrar said that t</w:t>
      </w:r>
      <w:r w:rsidR="00843B0A" w:rsidRPr="00843B0A">
        <w:rPr>
          <w:rFonts w:eastAsia="Times New Roman" w:cstheme="minorHAnsi"/>
          <w:bCs/>
          <w:lang w:eastAsia="zh-CN"/>
        </w:rPr>
        <w:t>he Courts require</w:t>
      </w:r>
      <w:r w:rsidR="00607EDC">
        <w:rPr>
          <w:rFonts w:eastAsia="Times New Roman" w:cstheme="minorHAnsi"/>
          <w:bCs/>
          <w:lang w:eastAsia="zh-CN"/>
        </w:rPr>
        <w:t xml:space="preserve"> </w:t>
      </w:r>
      <w:r w:rsidR="00843B0A" w:rsidRPr="00843B0A">
        <w:rPr>
          <w:rFonts w:eastAsia="Times New Roman" w:cstheme="minorHAnsi"/>
          <w:bCs/>
          <w:lang w:eastAsia="zh-CN"/>
        </w:rPr>
        <w:t xml:space="preserve">parties </w:t>
      </w:r>
      <w:r w:rsidR="00607EDC">
        <w:rPr>
          <w:rFonts w:eastAsia="Times New Roman" w:cstheme="minorHAnsi"/>
          <w:bCs/>
          <w:lang w:eastAsia="zh-CN"/>
        </w:rPr>
        <w:t xml:space="preserve">to </w:t>
      </w:r>
      <w:r w:rsidR="00843B0A" w:rsidRPr="00843B0A">
        <w:rPr>
          <w:rFonts w:eastAsia="Times New Roman" w:cstheme="minorHAnsi"/>
          <w:bCs/>
          <w:lang w:eastAsia="zh-CN"/>
        </w:rPr>
        <w:t>genuinely attempt to settle disputes before filing and then consistently work towards opportunities for resolution</w:t>
      </w:r>
      <w:r w:rsidR="00607EDC">
        <w:rPr>
          <w:rFonts w:eastAsia="Times New Roman" w:cstheme="minorHAnsi"/>
          <w:bCs/>
          <w:lang w:eastAsia="zh-CN"/>
        </w:rPr>
        <w:t>.</w:t>
      </w:r>
    </w:p>
    <w:p w:rsidR="008C013E" w:rsidRDefault="00273C99" w:rsidP="00782AB4">
      <w:pPr>
        <w:spacing w:before="240" w:after="0"/>
        <w:ind w:right="425"/>
        <w:rPr>
          <w:rFonts w:eastAsia="Times New Roman" w:cstheme="minorHAnsi"/>
          <w:bCs/>
          <w:lang w:eastAsia="zh-CN"/>
        </w:rPr>
      </w:pPr>
      <w:r>
        <w:rPr>
          <w:rFonts w:eastAsia="Times New Roman" w:cstheme="minorHAnsi"/>
          <w:bCs/>
          <w:lang w:eastAsia="zh-CN"/>
        </w:rPr>
        <w:t>“</w:t>
      </w:r>
      <w:r w:rsidR="00607EDC" w:rsidRPr="00607EDC">
        <w:rPr>
          <w:rFonts w:eastAsia="Times New Roman" w:cstheme="minorHAnsi"/>
          <w:bCs/>
          <w:lang w:eastAsia="zh-CN"/>
        </w:rPr>
        <w:t>In addition to offer</w:t>
      </w:r>
      <w:r w:rsidR="008C013E">
        <w:rPr>
          <w:rFonts w:eastAsia="Times New Roman" w:cstheme="minorHAnsi"/>
          <w:bCs/>
          <w:lang w:eastAsia="zh-CN"/>
        </w:rPr>
        <w:t>ing</w:t>
      </w:r>
      <w:r w:rsidR="00607EDC" w:rsidRPr="00607EDC">
        <w:rPr>
          <w:rFonts w:eastAsia="Times New Roman" w:cstheme="minorHAnsi"/>
          <w:bCs/>
          <w:lang w:eastAsia="zh-CN"/>
        </w:rPr>
        <w:t xml:space="preserve"> significant dispute resolution conferences in financial matters, the Court</w:t>
      </w:r>
      <w:r w:rsidR="004B27F6">
        <w:rPr>
          <w:rFonts w:eastAsia="Times New Roman" w:cstheme="minorHAnsi"/>
          <w:bCs/>
          <w:lang w:eastAsia="zh-CN"/>
        </w:rPr>
        <w:t>s</w:t>
      </w:r>
      <w:r w:rsidR="00607EDC" w:rsidRPr="00607EDC">
        <w:rPr>
          <w:rFonts w:eastAsia="Times New Roman" w:cstheme="minorHAnsi"/>
          <w:bCs/>
          <w:lang w:eastAsia="zh-CN"/>
        </w:rPr>
        <w:t xml:space="preserve"> ha</w:t>
      </w:r>
      <w:r w:rsidR="004B27F6">
        <w:rPr>
          <w:rFonts w:eastAsia="Times New Roman" w:cstheme="minorHAnsi"/>
          <w:bCs/>
          <w:lang w:eastAsia="zh-CN"/>
        </w:rPr>
        <w:t>ve</w:t>
      </w:r>
      <w:r w:rsidR="00607EDC" w:rsidRPr="00607EDC">
        <w:rPr>
          <w:rFonts w:eastAsia="Times New Roman" w:cstheme="minorHAnsi"/>
          <w:bCs/>
          <w:lang w:eastAsia="zh-CN"/>
        </w:rPr>
        <w:t xml:space="preserve"> developed a highly sophisticated and successful model to support parents and other care givers to reach safe, practical and lasting agreements without recourse to trial. </w:t>
      </w:r>
    </w:p>
    <w:p w:rsidR="008C013E" w:rsidRDefault="00273C99" w:rsidP="00782AB4">
      <w:pPr>
        <w:spacing w:before="240" w:after="0"/>
        <w:ind w:right="425"/>
        <w:rPr>
          <w:rFonts w:eastAsia="Times New Roman" w:cstheme="minorHAnsi"/>
          <w:bCs/>
          <w:lang w:eastAsia="zh-CN"/>
        </w:rPr>
      </w:pPr>
      <w:r>
        <w:rPr>
          <w:rFonts w:eastAsia="Times New Roman" w:cstheme="minorHAnsi"/>
          <w:bCs/>
          <w:lang w:eastAsia="zh-CN"/>
        </w:rPr>
        <w:t>“</w:t>
      </w:r>
      <w:r w:rsidR="008C013E">
        <w:rPr>
          <w:rFonts w:eastAsia="Times New Roman" w:cstheme="minorHAnsi"/>
          <w:bCs/>
          <w:lang w:eastAsia="zh-CN"/>
        </w:rPr>
        <w:t xml:space="preserve">Many families that come before the Courts </w:t>
      </w:r>
      <w:r w:rsidR="00607EDC" w:rsidRPr="00607EDC">
        <w:rPr>
          <w:rFonts w:eastAsia="Times New Roman" w:cstheme="minorHAnsi"/>
          <w:bCs/>
          <w:lang w:eastAsia="zh-CN"/>
        </w:rPr>
        <w:t>face challenges associated with domestic and family violence, drug and alcohol misuse, mental health</w:t>
      </w:r>
      <w:r w:rsidR="008C013E">
        <w:rPr>
          <w:rFonts w:eastAsia="Times New Roman" w:cstheme="minorHAnsi"/>
          <w:bCs/>
          <w:lang w:eastAsia="zh-CN"/>
        </w:rPr>
        <w:t xml:space="preserve"> issues</w:t>
      </w:r>
      <w:r w:rsidR="00607EDC" w:rsidRPr="00607EDC">
        <w:rPr>
          <w:rFonts w:eastAsia="Times New Roman" w:cstheme="minorHAnsi"/>
          <w:bCs/>
          <w:lang w:eastAsia="zh-CN"/>
        </w:rPr>
        <w:t xml:space="preserve"> and social and financial disadvantage. </w:t>
      </w:r>
      <w:r w:rsidR="008C013E">
        <w:rPr>
          <w:rFonts w:eastAsia="Times New Roman" w:cstheme="minorHAnsi"/>
          <w:bCs/>
          <w:lang w:eastAsia="zh-CN"/>
        </w:rPr>
        <w:t xml:space="preserve">Prior to the new approach to dispute resolution, </w:t>
      </w:r>
      <w:r w:rsidR="00607EDC" w:rsidRPr="00607EDC">
        <w:rPr>
          <w:rFonts w:eastAsia="Times New Roman" w:cstheme="minorHAnsi"/>
          <w:bCs/>
          <w:lang w:eastAsia="zh-CN"/>
        </w:rPr>
        <w:t>families in this situation had no opportunity to engage in court based conferences to safely negotiate outcomes that could provide certainty and reduce conflict</w:t>
      </w:r>
      <w:r w:rsidR="008C013E">
        <w:rPr>
          <w:rFonts w:eastAsia="Times New Roman" w:cstheme="minorHAnsi"/>
          <w:bCs/>
          <w:lang w:eastAsia="zh-CN"/>
        </w:rPr>
        <w:t xml:space="preserve"> </w:t>
      </w:r>
      <w:r w:rsidR="00607EDC" w:rsidRPr="00607EDC">
        <w:rPr>
          <w:rFonts w:eastAsia="Times New Roman" w:cstheme="minorHAnsi"/>
          <w:bCs/>
          <w:lang w:eastAsia="zh-CN"/>
        </w:rPr>
        <w:t xml:space="preserve">for their children. </w:t>
      </w:r>
    </w:p>
    <w:p w:rsidR="008C013E" w:rsidRDefault="00273C99" w:rsidP="00782AB4">
      <w:pPr>
        <w:spacing w:before="240" w:after="0"/>
        <w:ind w:right="425"/>
        <w:rPr>
          <w:rFonts w:eastAsia="Times New Roman" w:cstheme="minorHAnsi"/>
          <w:bCs/>
          <w:lang w:eastAsia="zh-CN"/>
        </w:rPr>
      </w:pPr>
      <w:r>
        <w:rPr>
          <w:rFonts w:eastAsia="Times New Roman" w:cstheme="minorHAnsi"/>
          <w:bCs/>
          <w:lang w:eastAsia="zh-CN"/>
        </w:rPr>
        <w:t>“</w:t>
      </w:r>
      <w:r w:rsidR="00607EDC" w:rsidRPr="00607EDC">
        <w:rPr>
          <w:rFonts w:eastAsia="Times New Roman" w:cstheme="minorHAnsi"/>
          <w:bCs/>
          <w:lang w:eastAsia="zh-CN"/>
        </w:rPr>
        <w:t>To address this need, the Court</w:t>
      </w:r>
      <w:r w:rsidR="008C013E">
        <w:rPr>
          <w:rFonts w:eastAsia="Times New Roman" w:cstheme="minorHAnsi"/>
          <w:bCs/>
          <w:lang w:eastAsia="zh-CN"/>
        </w:rPr>
        <w:t>s</w:t>
      </w:r>
      <w:r w:rsidR="00607EDC" w:rsidRPr="00607EDC">
        <w:rPr>
          <w:rFonts w:eastAsia="Times New Roman" w:cstheme="minorHAnsi"/>
          <w:bCs/>
          <w:lang w:eastAsia="zh-CN"/>
        </w:rPr>
        <w:t xml:space="preserve"> ha</w:t>
      </w:r>
      <w:r w:rsidR="008C013E">
        <w:rPr>
          <w:rFonts w:eastAsia="Times New Roman" w:cstheme="minorHAnsi"/>
          <w:bCs/>
          <w:lang w:eastAsia="zh-CN"/>
        </w:rPr>
        <w:t>ve</w:t>
      </w:r>
      <w:r w:rsidR="00607EDC" w:rsidRPr="00607EDC">
        <w:rPr>
          <w:rFonts w:eastAsia="Times New Roman" w:cstheme="minorHAnsi"/>
          <w:bCs/>
          <w:lang w:eastAsia="zh-CN"/>
        </w:rPr>
        <w:t xml:space="preserve"> developed a specialised co-mediation model drawing on the expertise of the Registrars and Court Child Experts (CCE). The multidisciplinary model harnesses the legal and mediation skills of the </w:t>
      </w:r>
      <w:r w:rsidR="008C013E">
        <w:rPr>
          <w:rFonts w:eastAsia="Times New Roman" w:cstheme="minorHAnsi"/>
          <w:bCs/>
          <w:lang w:eastAsia="zh-CN"/>
        </w:rPr>
        <w:t xml:space="preserve">Courts’ </w:t>
      </w:r>
      <w:r w:rsidR="00607EDC" w:rsidRPr="00607EDC">
        <w:rPr>
          <w:rFonts w:eastAsia="Times New Roman" w:cstheme="minorHAnsi"/>
          <w:bCs/>
          <w:lang w:eastAsia="zh-CN"/>
        </w:rPr>
        <w:t xml:space="preserve">Registrars </w:t>
      </w:r>
      <w:r w:rsidR="008C013E">
        <w:rPr>
          <w:rFonts w:eastAsia="Times New Roman" w:cstheme="minorHAnsi"/>
          <w:bCs/>
          <w:lang w:eastAsia="zh-CN"/>
        </w:rPr>
        <w:t xml:space="preserve">together </w:t>
      </w:r>
      <w:r w:rsidR="00607EDC" w:rsidRPr="00607EDC">
        <w:rPr>
          <w:rFonts w:eastAsia="Times New Roman" w:cstheme="minorHAnsi"/>
          <w:bCs/>
          <w:lang w:eastAsia="zh-CN"/>
        </w:rPr>
        <w:t xml:space="preserve">with the invaluable social science expertise of the CCEs to deliver a comprehensive model </w:t>
      </w:r>
      <w:r w:rsidR="008C013E">
        <w:rPr>
          <w:rFonts w:eastAsia="Times New Roman" w:cstheme="minorHAnsi"/>
          <w:bCs/>
          <w:lang w:eastAsia="zh-CN"/>
        </w:rPr>
        <w:t xml:space="preserve">that is </w:t>
      </w:r>
      <w:r w:rsidR="00607EDC" w:rsidRPr="00607EDC">
        <w:rPr>
          <w:rFonts w:eastAsia="Times New Roman" w:cstheme="minorHAnsi"/>
          <w:bCs/>
          <w:lang w:eastAsia="zh-CN"/>
        </w:rPr>
        <w:t xml:space="preserve">able to </w:t>
      </w:r>
      <w:r w:rsidR="008C013E">
        <w:rPr>
          <w:rFonts w:eastAsia="Times New Roman" w:cstheme="minorHAnsi"/>
          <w:bCs/>
          <w:lang w:eastAsia="zh-CN"/>
        </w:rPr>
        <w:t xml:space="preserve">place the best interests of the child at the heart of every dispute, and to </w:t>
      </w:r>
      <w:r w:rsidR="00607EDC" w:rsidRPr="00607EDC">
        <w:rPr>
          <w:rFonts w:eastAsia="Times New Roman" w:cstheme="minorHAnsi"/>
          <w:bCs/>
          <w:lang w:eastAsia="zh-CN"/>
        </w:rPr>
        <w:t>address the considerable complexities pre</w:t>
      </w:r>
      <w:r>
        <w:rPr>
          <w:rFonts w:eastAsia="Times New Roman" w:cstheme="minorHAnsi"/>
          <w:bCs/>
          <w:lang w:eastAsia="zh-CN"/>
        </w:rPr>
        <w:t>sent in many parenting disputes.</w:t>
      </w:r>
    </w:p>
    <w:p w:rsidR="00607EDC" w:rsidRDefault="00273C99" w:rsidP="00782AB4">
      <w:pPr>
        <w:spacing w:before="240" w:after="0"/>
        <w:ind w:right="425"/>
        <w:rPr>
          <w:rFonts w:eastAsia="Times New Roman" w:cstheme="minorHAnsi"/>
          <w:bCs/>
          <w:lang w:eastAsia="zh-CN"/>
        </w:rPr>
      </w:pPr>
      <w:r>
        <w:rPr>
          <w:rFonts w:eastAsia="Times New Roman" w:cstheme="minorHAnsi"/>
          <w:bCs/>
          <w:lang w:eastAsia="zh-CN"/>
        </w:rPr>
        <w:lastRenderedPageBreak/>
        <w:t>“</w:t>
      </w:r>
      <w:r w:rsidR="00607EDC" w:rsidRPr="00607EDC">
        <w:rPr>
          <w:rFonts w:eastAsia="Times New Roman" w:cstheme="minorHAnsi"/>
          <w:bCs/>
          <w:lang w:eastAsia="zh-CN"/>
        </w:rPr>
        <w:t>In the past 12 months, the Court</w:t>
      </w:r>
      <w:r w:rsidR="004B27F6">
        <w:rPr>
          <w:rFonts w:eastAsia="Times New Roman" w:cstheme="minorHAnsi"/>
          <w:bCs/>
          <w:lang w:eastAsia="zh-CN"/>
        </w:rPr>
        <w:t>s</w:t>
      </w:r>
      <w:r w:rsidR="00607EDC" w:rsidRPr="00607EDC">
        <w:rPr>
          <w:rFonts w:eastAsia="Times New Roman" w:cstheme="minorHAnsi"/>
          <w:bCs/>
          <w:lang w:eastAsia="zh-CN"/>
        </w:rPr>
        <w:t xml:space="preserve"> ha</w:t>
      </w:r>
      <w:r w:rsidR="004B27F6">
        <w:rPr>
          <w:rFonts w:eastAsia="Times New Roman" w:cstheme="minorHAnsi"/>
          <w:bCs/>
          <w:lang w:eastAsia="zh-CN"/>
        </w:rPr>
        <w:t>ve</w:t>
      </w:r>
      <w:r w:rsidR="00607EDC" w:rsidRPr="00607EDC">
        <w:rPr>
          <w:rFonts w:eastAsia="Times New Roman" w:cstheme="minorHAnsi"/>
          <w:bCs/>
          <w:lang w:eastAsia="zh-CN"/>
        </w:rPr>
        <w:t xml:space="preserve"> offered families with complex needs over 5,000 dispute resolution conferences with </w:t>
      </w:r>
      <w:r w:rsidR="008C6768">
        <w:rPr>
          <w:rFonts w:eastAsia="Times New Roman" w:cstheme="minorHAnsi"/>
          <w:bCs/>
          <w:lang w:eastAsia="zh-CN"/>
        </w:rPr>
        <w:t>high settlement rates despite the complex nature of the cases</w:t>
      </w:r>
      <w:r>
        <w:rPr>
          <w:rFonts w:eastAsia="Times New Roman" w:cstheme="minorHAnsi"/>
          <w:bCs/>
          <w:lang w:eastAsia="zh-CN"/>
        </w:rPr>
        <w:t>,” Mr Pringle added.</w:t>
      </w:r>
    </w:p>
    <w:p w:rsidR="00CB1597" w:rsidRPr="00CB1597" w:rsidRDefault="00CB1597" w:rsidP="00782AB4">
      <w:pPr>
        <w:spacing w:before="240" w:after="0"/>
        <w:rPr>
          <w:rFonts w:eastAsia="Times New Roman" w:cstheme="minorHAnsi"/>
          <w:bCs/>
          <w:lang w:eastAsia="zh-CN"/>
        </w:rPr>
      </w:pPr>
      <w:r w:rsidRPr="00CB1597">
        <w:rPr>
          <w:rFonts w:eastAsia="Times New Roman" w:cstheme="minorHAnsi"/>
          <w:bCs/>
          <w:lang w:eastAsia="zh-CN"/>
        </w:rPr>
        <w:t xml:space="preserve">Leading the development and implementation of the </w:t>
      </w:r>
      <w:r>
        <w:rPr>
          <w:rFonts w:eastAsia="Times New Roman" w:cstheme="minorHAnsi"/>
          <w:bCs/>
          <w:lang w:eastAsia="zh-CN"/>
        </w:rPr>
        <w:t xml:space="preserve">Courts’ </w:t>
      </w:r>
      <w:r w:rsidRPr="00CB1597">
        <w:rPr>
          <w:rFonts w:eastAsia="Times New Roman" w:cstheme="minorHAnsi"/>
          <w:bCs/>
          <w:lang w:eastAsia="zh-CN"/>
        </w:rPr>
        <w:t xml:space="preserve">dispute resolution initiatives is Senior Judicial Registrar and Executive Director – National Registrar Operations and Practice, Ms Anne-Marie Rice. </w:t>
      </w:r>
    </w:p>
    <w:p w:rsidR="003737AA" w:rsidRDefault="00CB1597" w:rsidP="00782AB4">
      <w:pPr>
        <w:spacing w:before="240" w:after="0"/>
        <w:rPr>
          <w:rFonts w:eastAsia="Times New Roman" w:cstheme="minorHAnsi"/>
          <w:bCs/>
          <w:lang w:eastAsia="zh-CN"/>
        </w:rPr>
      </w:pPr>
      <w:r w:rsidRPr="00CB1597">
        <w:rPr>
          <w:rFonts w:eastAsia="Times New Roman" w:cstheme="minorHAnsi"/>
          <w:bCs/>
          <w:lang w:eastAsia="zh-CN"/>
        </w:rPr>
        <w:t xml:space="preserve">“The interdisciplinary dispute resolution model applied in the Federal Circuit and Family Court </w:t>
      </w:r>
      <w:r w:rsidR="00C71DEB">
        <w:rPr>
          <w:rFonts w:eastAsia="Times New Roman" w:cstheme="minorHAnsi"/>
          <w:bCs/>
          <w:lang w:eastAsia="zh-CN"/>
        </w:rPr>
        <w:t xml:space="preserve">of Australia </w:t>
      </w:r>
      <w:r w:rsidRPr="00CB1597">
        <w:rPr>
          <w:rFonts w:eastAsia="Times New Roman" w:cstheme="minorHAnsi"/>
          <w:bCs/>
          <w:lang w:eastAsia="zh-CN"/>
        </w:rPr>
        <w:t xml:space="preserve">invites parties to </w:t>
      </w:r>
      <w:r w:rsidR="00025262">
        <w:rPr>
          <w:rFonts w:eastAsia="Times New Roman" w:cstheme="minorHAnsi"/>
          <w:bCs/>
          <w:lang w:eastAsia="zh-CN"/>
        </w:rPr>
        <w:t>consider</w:t>
      </w:r>
      <w:r w:rsidRPr="00CB1597">
        <w:rPr>
          <w:rFonts w:eastAsia="Times New Roman" w:cstheme="minorHAnsi"/>
          <w:bCs/>
          <w:lang w:eastAsia="zh-CN"/>
        </w:rPr>
        <w:t xml:space="preserve"> </w:t>
      </w:r>
      <w:r w:rsidR="00025262">
        <w:rPr>
          <w:rFonts w:eastAsia="Times New Roman" w:cstheme="minorHAnsi"/>
          <w:bCs/>
          <w:lang w:eastAsia="zh-CN"/>
        </w:rPr>
        <w:t xml:space="preserve">realistic </w:t>
      </w:r>
      <w:r w:rsidRPr="00CB1597">
        <w:rPr>
          <w:rFonts w:eastAsia="Times New Roman" w:cstheme="minorHAnsi"/>
          <w:bCs/>
          <w:lang w:eastAsia="zh-CN"/>
        </w:rPr>
        <w:t>solutions</w:t>
      </w:r>
      <w:r w:rsidR="004B27F6">
        <w:rPr>
          <w:rFonts w:eastAsia="Times New Roman" w:cstheme="minorHAnsi"/>
          <w:bCs/>
          <w:lang w:eastAsia="zh-CN"/>
        </w:rPr>
        <w:t xml:space="preserve"> to their dispute</w:t>
      </w:r>
      <w:r w:rsidRPr="00CB1597">
        <w:rPr>
          <w:rFonts w:eastAsia="Times New Roman" w:cstheme="minorHAnsi"/>
          <w:bCs/>
          <w:lang w:eastAsia="zh-CN"/>
        </w:rPr>
        <w:t>. By taking a deeply respectful, safety focussed view of dispute resolution, the Court</w:t>
      </w:r>
      <w:r w:rsidR="004B27F6">
        <w:rPr>
          <w:rFonts w:eastAsia="Times New Roman" w:cstheme="minorHAnsi"/>
          <w:bCs/>
          <w:lang w:eastAsia="zh-CN"/>
        </w:rPr>
        <w:t>s are</w:t>
      </w:r>
      <w:r w:rsidRPr="00CB1597">
        <w:rPr>
          <w:rFonts w:eastAsia="Times New Roman" w:cstheme="minorHAnsi"/>
          <w:bCs/>
          <w:lang w:eastAsia="zh-CN"/>
        </w:rPr>
        <w:t xml:space="preserve"> leading fundamental change </w:t>
      </w:r>
      <w:r w:rsidR="00025262">
        <w:rPr>
          <w:rFonts w:eastAsia="Times New Roman" w:cstheme="minorHAnsi"/>
          <w:bCs/>
          <w:lang w:eastAsia="zh-CN"/>
        </w:rPr>
        <w:t xml:space="preserve">where </w:t>
      </w:r>
      <w:r w:rsidRPr="00CB1597">
        <w:rPr>
          <w:rFonts w:eastAsia="Times New Roman" w:cstheme="minorHAnsi"/>
          <w:bCs/>
          <w:lang w:eastAsia="zh-CN"/>
        </w:rPr>
        <w:t>dispute resolution</w:t>
      </w:r>
      <w:r w:rsidR="004B27F6">
        <w:rPr>
          <w:rFonts w:eastAsia="Times New Roman" w:cstheme="minorHAnsi"/>
          <w:bCs/>
          <w:lang w:eastAsia="zh-CN"/>
        </w:rPr>
        <w:t xml:space="preserve"> is at the heart of what we do</w:t>
      </w:r>
      <w:r w:rsidR="003737AA">
        <w:rPr>
          <w:rFonts w:eastAsia="Times New Roman" w:cstheme="minorHAnsi"/>
          <w:bCs/>
          <w:lang w:eastAsia="zh-CN"/>
        </w:rPr>
        <w:t>.</w:t>
      </w:r>
    </w:p>
    <w:p w:rsidR="003737AA" w:rsidRDefault="00F92C7E" w:rsidP="00782AB4">
      <w:pPr>
        <w:spacing w:before="240" w:after="0"/>
        <w:rPr>
          <w:rFonts w:eastAsia="Times New Roman" w:cstheme="minorHAnsi"/>
          <w:bCs/>
          <w:lang w:eastAsia="zh-CN"/>
        </w:rPr>
      </w:pPr>
      <w:r>
        <w:rPr>
          <w:rFonts w:eastAsia="Times New Roman" w:cstheme="minorHAnsi"/>
          <w:bCs/>
          <w:lang w:eastAsia="zh-CN"/>
        </w:rPr>
        <w:t>“</w:t>
      </w:r>
      <w:r w:rsidRPr="00F92C7E">
        <w:rPr>
          <w:rFonts w:eastAsia="Times New Roman" w:cstheme="minorHAnsi"/>
          <w:bCs/>
          <w:lang w:eastAsia="zh-CN"/>
        </w:rPr>
        <w:t xml:space="preserve">The </w:t>
      </w:r>
      <w:r w:rsidRPr="003737AA">
        <w:rPr>
          <w:rFonts w:eastAsia="Times New Roman" w:cstheme="minorHAnsi"/>
          <w:bCs/>
          <w:i/>
          <w:lang w:eastAsia="zh-CN"/>
        </w:rPr>
        <w:t>resolution revolution</w:t>
      </w:r>
      <w:r w:rsidR="003737AA">
        <w:rPr>
          <w:rFonts w:eastAsia="Times New Roman" w:cstheme="minorHAnsi"/>
          <w:bCs/>
          <w:i/>
          <w:lang w:eastAsia="zh-CN"/>
        </w:rPr>
        <w:t>,</w:t>
      </w:r>
      <w:r w:rsidR="003737AA">
        <w:rPr>
          <w:rFonts w:eastAsia="Times New Roman" w:cstheme="minorHAnsi"/>
          <w:bCs/>
          <w:lang w:eastAsia="zh-CN"/>
        </w:rPr>
        <w:t xml:space="preserve"> which has provided ongoing benefits to thousands of Australian families, could </w:t>
      </w:r>
      <w:r w:rsidRPr="00F92C7E">
        <w:rPr>
          <w:rFonts w:eastAsia="Times New Roman" w:cstheme="minorHAnsi"/>
          <w:bCs/>
          <w:lang w:eastAsia="zh-CN"/>
        </w:rPr>
        <w:t xml:space="preserve">not </w:t>
      </w:r>
      <w:r w:rsidR="003737AA">
        <w:rPr>
          <w:rFonts w:eastAsia="Times New Roman" w:cstheme="minorHAnsi"/>
          <w:bCs/>
          <w:lang w:eastAsia="zh-CN"/>
        </w:rPr>
        <w:t xml:space="preserve">have </w:t>
      </w:r>
      <w:r w:rsidRPr="00F92C7E">
        <w:rPr>
          <w:rFonts w:eastAsia="Times New Roman" w:cstheme="minorHAnsi"/>
          <w:bCs/>
          <w:lang w:eastAsia="zh-CN"/>
        </w:rPr>
        <w:t>occurr</w:t>
      </w:r>
      <w:r w:rsidR="003737AA">
        <w:rPr>
          <w:rFonts w:eastAsia="Times New Roman" w:cstheme="minorHAnsi"/>
          <w:bCs/>
          <w:lang w:eastAsia="zh-CN"/>
        </w:rPr>
        <w:t xml:space="preserve">ed </w:t>
      </w:r>
      <w:r w:rsidRPr="00F92C7E">
        <w:rPr>
          <w:rFonts w:eastAsia="Times New Roman" w:cstheme="minorHAnsi"/>
          <w:bCs/>
          <w:lang w:eastAsia="zh-CN"/>
        </w:rPr>
        <w:t>so successfully w</w:t>
      </w:r>
      <w:r>
        <w:rPr>
          <w:rFonts w:eastAsia="Times New Roman" w:cstheme="minorHAnsi"/>
          <w:bCs/>
          <w:lang w:eastAsia="zh-CN"/>
        </w:rPr>
        <w:t xml:space="preserve">ithin the </w:t>
      </w:r>
      <w:r w:rsidR="001F441A">
        <w:rPr>
          <w:rFonts w:eastAsia="Times New Roman" w:cstheme="minorHAnsi"/>
          <w:bCs/>
          <w:lang w:eastAsia="zh-CN"/>
        </w:rPr>
        <w:t>c</w:t>
      </w:r>
      <w:r>
        <w:rPr>
          <w:rFonts w:eastAsia="Times New Roman" w:cstheme="minorHAnsi"/>
          <w:bCs/>
          <w:lang w:eastAsia="zh-CN"/>
        </w:rPr>
        <w:t xml:space="preserve">ourt context without </w:t>
      </w:r>
      <w:r w:rsidR="001F441A">
        <w:rPr>
          <w:rFonts w:eastAsia="Times New Roman" w:cstheme="minorHAnsi"/>
          <w:bCs/>
          <w:lang w:eastAsia="zh-CN"/>
        </w:rPr>
        <w:t xml:space="preserve">beneficial </w:t>
      </w:r>
      <w:r w:rsidRPr="00F92C7E">
        <w:rPr>
          <w:rFonts w:eastAsia="Times New Roman" w:cstheme="minorHAnsi"/>
          <w:bCs/>
          <w:lang w:eastAsia="zh-CN"/>
        </w:rPr>
        <w:t>engag</w:t>
      </w:r>
      <w:r w:rsidR="001F441A">
        <w:rPr>
          <w:rFonts w:eastAsia="Times New Roman" w:cstheme="minorHAnsi"/>
          <w:bCs/>
          <w:lang w:eastAsia="zh-CN"/>
        </w:rPr>
        <w:t xml:space="preserve">ement </w:t>
      </w:r>
      <w:r w:rsidR="00025262">
        <w:rPr>
          <w:rFonts w:eastAsia="Times New Roman" w:cstheme="minorHAnsi"/>
          <w:bCs/>
          <w:lang w:eastAsia="zh-CN"/>
        </w:rPr>
        <w:t>with t</w:t>
      </w:r>
      <w:r w:rsidR="001F441A">
        <w:rPr>
          <w:rFonts w:eastAsia="Times New Roman" w:cstheme="minorHAnsi"/>
          <w:bCs/>
          <w:lang w:eastAsia="zh-CN"/>
        </w:rPr>
        <w:t>he legal profession</w:t>
      </w:r>
      <w:r w:rsidR="00025262">
        <w:rPr>
          <w:rFonts w:eastAsia="Times New Roman" w:cstheme="minorHAnsi"/>
          <w:bCs/>
          <w:lang w:eastAsia="zh-CN"/>
        </w:rPr>
        <w:t>, and the</w:t>
      </w:r>
      <w:r w:rsidR="001F441A">
        <w:rPr>
          <w:rFonts w:eastAsia="Times New Roman" w:cstheme="minorHAnsi"/>
          <w:bCs/>
          <w:lang w:eastAsia="zh-CN"/>
        </w:rPr>
        <w:t xml:space="preserve">y are </w:t>
      </w:r>
      <w:r w:rsidR="003737AA">
        <w:rPr>
          <w:rFonts w:eastAsia="Times New Roman" w:cstheme="minorHAnsi"/>
          <w:bCs/>
          <w:lang w:eastAsia="zh-CN"/>
        </w:rPr>
        <w:t xml:space="preserve">to be commended for </w:t>
      </w:r>
      <w:r w:rsidR="00025262">
        <w:rPr>
          <w:rFonts w:eastAsia="Times New Roman" w:cstheme="minorHAnsi"/>
          <w:bCs/>
          <w:lang w:eastAsia="zh-CN"/>
        </w:rPr>
        <w:t xml:space="preserve">their cooperation and </w:t>
      </w:r>
      <w:r w:rsidR="003737AA">
        <w:rPr>
          <w:rFonts w:eastAsia="Times New Roman" w:cstheme="minorHAnsi"/>
          <w:bCs/>
          <w:lang w:eastAsia="zh-CN"/>
        </w:rPr>
        <w:t>support</w:t>
      </w:r>
      <w:r w:rsidR="00025262">
        <w:rPr>
          <w:rFonts w:eastAsia="Times New Roman" w:cstheme="minorHAnsi"/>
          <w:bCs/>
          <w:lang w:eastAsia="zh-CN"/>
        </w:rPr>
        <w:t xml:space="preserve"> of </w:t>
      </w:r>
      <w:r w:rsidR="001F441A">
        <w:rPr>
          <w:rFonts w:eastAsia="Times New Roman" w:cstheme="minorHAnsi"/>
          <w:bCs/>
          <w:lang w:eastAsia="zh-CN"/>
        </w:rPr>
        <w:t xml:space="preserve">the Courts’ objective </w:t>
      </w:r>
      <w:r w:rsidR="00025262">
        <w:rPr>
          <w:rFonts w:eastAsia="Times New Roman" w:cstheme="minorHAnsi"/>
          <w:bCs/>
          <w:lang w:eastAsia="zh-CN"/>
        </w:rPr>
        <w:t xml:space="preserve">to </w:t>
      </w:r>
      <w:r w:rsidR="003737AA">
        <w:rPr>
          <w:rFonts w:eastAsia="Times New Roman" w:cstheme="minorHAnsi"/>
          <w:bCs/>
          <w:lang w:eastAsia="zh-CN"/>
        </w:rPr>
        <w:t>achiev</w:t>
      </w:r>
      <w:r w:rsidR="00025262">
        <w:rPr>
          <w:rFonts w:eastAsia="Times New Roman" w:cstheme="minorHAnsi"/>
          <w:bCs/>
          <w:lang w:eastAsia="zh-CN"/>
        </w:rPr>
        <w:t>e</w:t>
      </w:r>
      <w:r w:rsidR="003737AA">
        <w:rPr>
          <w:rFonts w:eastAsia="Times New Roman" w:cstheme="minorHAnsi"/>
          <w:bCs/>
          <w:lang w:eastAsia="zh-CN"/>
        </w:rPr>
        <w:t xml:space="preserve"> safe and meaningful </w:t>
      </w:r>
      <w:r w:rsidRPr="00F92C7E">
        <w:rPr>
          <w:rFonts w:eastAsia="Times New Roman" w:cstheme="minorHAnsi"/>
          <w:bCs/>
          <w:lang w:eastAsia="zh-CN"/>
        </w:rPr>
        <w:t>resolution</w:t>
      </w:r>
      <w:r w:rsidR="003737AA">
        <w:rPr>
          <w:rFonts w:eastAsia="Times New Roman" w:cstheme="minorHAnsi"/>
          <w:bCs/>
          <w:lang w:eastAsia="zh-CN"/>
        </w:rPr>
        <w:t xml:space="preserve"> to family law disputes,” Senior Judicial Registrar Rice added</w:t>
      </w:r>
      <w:r w:rsidR="003737AA" w:rsidRPr="00CB1597">
        <w:rPr>
          <w:rFonts w:eastAsia="Times New Roman" w:cstheme="minorHAnsi"/>
          <w:bCs/>
          <w:lang w:eastAsia="zh-CN"/>
        </w:rPr>
        <w:t>.</w:t>
      </w:r>
    </w:p>
    <w:sectPr w:rsidR="003737AA" w:rsidSect="00837FC0">
      <w:headerReference w:type="even" r:id="rId8"/>
      <w:headerReference w:type="default" r:id="rId9"/>
      <w:footerReference w:type="even" r:id="rId10"/>
      <w:footerReference w:type="default" r:id="rId11"/>
      <w:headerReference w:type="first" r:id="rId12"/>
      <w:footerReference w:type="first" r:id="rId13"/>
      <w:pgSz w:w="11906" w:h="16838"/>
      <w:pgMar w:top="1440" w:right="1440" w:bottom="851"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47DF7" w:rsidRDefault="00847DF7" w:rsidP="0017312B">
      <w:r>
        <w:separator/>
      </w:r>
    </w:p>
  </w:endnote>
  <w:endnote w:type="continuationSeparator" w:id="0">
    <w:p w:rsidR="00847DF7" w:rsidRDefault="00847DF7" w:rsidP="0017312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PGothic">
    <w:panose1 w:val="020B0600070205080204"/>
    <w:charset w:val="80"/>
    <w:family w:val="swiss"/>
    <w:pitch w:val="variable"/>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883228817"/>
      <w:docPartObj>
        <w:docPartGallery w:val="Page Numbers (Bottom of Page)"/>
        <w:docPartUnique/>
      </w:docPartObj>
    </w:sdtPr>
    <w:sdtEndPr>
      <w:rPr>
        <w:color w:val="7F7F7F" w:themeColor="background1" w:themeShade="7F"/>
        <w:spacing w:val="60"/>
      </w:rPr>
    </w:sdtEndPr>
    <w:sdtContent>
      <w:p w:rsidR="00D2548B" w:rsidRPr="0017312B" w:rsidRDefault="00D2548B" w:rsidP="0017312B">
        <w:pPr>
          <w:pStyle w:val="Footer"/>
          <w:jc w:val="right"/>
          <w:rPr>
            <w:b/>
            <w:bCs/>
            <w:sz w:val="20"/>
            <w:szCs w:val="20"/>
          </w:rPr>
        </w:pPr>
        <w:r w:rsidRPr="0017312B">
          <w:rPr>
            <w:sz w:val="20"/>
            <w:szCs w:val="20"/>
          </w:rPr>
          <w:fldChar w:fldCharType="begin"/>
        </w:r>
        <w:r w:rsidRPr="0017312B">
          <w:rPr>
            <w:sz w:val="20"/>
            <w:szCs w:val="20"/>
          </w:rPr>
          <w:instrText xml:space="preserve"> PAGE   \* MERGEFORMAT </w:instrText>
        </w:r>
        <w:r w:rsidRPr="0017312B">
          <w:rPr>
            <w:sz w:val="20"/>
            <w:szCs w:val="20"/>
          </w:rPr>
          <w:fldChar w:fldCharType="separate"/>
        </w:r>
        <w:r w:rsidR="00782AB4" w:rsidRPr="00782AB4">
          <w:rPr>
            <w:b/>
            <w:bCs/>
            <w:noProof/>
            <w:sz w:val="20"/>
            <w:szCs w:val="20"/>
          </w:rPr>
          <w:t>1</w:t>
        </w:r>
        <w:r w:rsidRPr="0017312B">
          <w:rPr>
            <w:b/>
            <w:bCs/>
            <w:noProof/>
            <w:sz w:val="20"/>
            <w:szCs w:val="20"/>
          </w:rPr>
          <w:fldChar w:fldCharType="end"/>
        </w:r>
        <w:r w:rsidRPr="0017312B">
          <w:rPr>
            <w:b/>
            <w:bCs/>
            <w:sz w:val="20"/>
            <w:szCs w:val="20"/>
          </w:rPr>
          <w:t xml:space="preserve"> | </w:t>
        </w:r>
        <w:r w:rsidR="00DB4406">
          <w:rPr>
            <w:color w:val="7F7F7F" w:themeColor="background1" w:themeShade="7F"/>
            <w:spacing w:val="60"/>
            <w:sz w:val="20"/>
            <w:szCs w:val="20"/>
          </w:rPr>
          <w:t>Page</w:t>
        </w:r>
      </w:p>
    </w:sdtContent>
  </w:sdt>
  <w:p w:rsidR="00965ADE" w:rsidRDefault="00582736" w:rsidP="00DB4406">
    <w:r>
      <w:rPr>
        <w:b/>
        <w:bCs/>
        <w:noProof/>
        <w:color w:val="44546A"/>
        <w:lang w:eastAsia="en-AU"/>
      </w:rPr>
      <w:t xml:space="preserve">Denise Healy, </w:t>
    </w:r>
    <w:r>
      <w:rPr>
        <w:noProof/>
        <w:lang w:eastAsia="en-AU"/>
      </w:rPr>
      <w:t>Director – Media &amp; Public Affairs, Federal Circui</w:t>
    </w:r>
    <w:r w:rsidR="00DB4406">
      <w:rPr>
        <w:noProof/>
        <w:lang w:eastAsia="en-AU"/>
      </w:rPr>
      <w:t>t and Family Court of Australia</w:t>
    </w:r>
    <w:r w:rsidR="00DB4406">
      <w:rPr>
        <w:noProof/>
        <w:lang w:eastAsia="en-AU"/>
      </w:rPr>
      <w:br/>
    </w:r>
    <w:r>
      <w:rPr>
        <w:rFonts w:ascii="Calibri Light" w:eastAsiaTheme="minorEastAsia" w:hAnsi="Calibri Light" w:cs="Calibri Light"/>
        <w:b/>
        <w:bCs/>
        <w:noProof/>
        <w:color w:val="44546A"/>
        <w:lang w:eastAsia="en-AU"/>
      </w:rPr>
      <w:t xml:space="preserve">m. </w:t>
    </w:r>
    <w:r>
      <w:rPr>
        <w:rFonts w:ascii="Calibri Light" w:eastAsiaTheme="minorEastAsia" w:hAnsi="Calibri Light" w:cs="Calibri Light"/>
        <w:noProof/>
        <w:color w:val="666666"/>
        <w:lang w:eastAsia="en-AU"/>
      </w:rPr>
      <w:t xml:space="preserve">0409 743 695 </w:t>
    </w:r>
    <w:r>
      <w:rPr>
        <w:rFonts w:ascii="Calibri Light" w:eastAsiaTheme="minorEastAsia" w:hAnsi="Calibri Light" w:cs="Calibri Light"/>
        <w:b/>
        <w:bCs/>
        <w:noProof/>
        <w:color w:val="44546A"/>
        <w:lang w:eastAsia="en-AU"/>
      </w:rPr>
      <w:t>e.</w:t>
    </w:r>
    <w:r>
      <w:rPr>
        <w:rFonts w:ascii="Calibri Light" w:eastAsiaTheme="minorEastAsia" w:hAnsi="Calibri Light" w:cs="Calibri Light"/>
        <w:b/>
        <w:bCs/>
        <w:noProof/>
        <w:color w:val="000000"/>
        <w:lang w:eastAsia="en-AU"/>
      </w:rPr>
      <w:t xml:space="preserve"> </w:t>
    </w:r>
    <w:hyperlink r:id="rId1" w:history="1">
      <w:r>
        <w:rPr>
          <w:rStyle w:val="Hyperlink"/>
          <w:rFonts w:ascii="Calibri Light" w:eastAsiaTheme="minorEastAsia" w:hAnsi="Calibri Light" w:cs="Calibri Light"/>
          <w:noProof/>
        </w:rPr>
        <w:t>denise.healy@fcfcoa.gov.au</w:t>
      </w:r>
    </w:hyperlink>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47DF7" w:rsidRDefault="00847DF7" w:rsidP="0017312B">
      <w:r>
        <w:separator/>
      </w:r>
    </w:p>
  </w:footnote>
  <w:footnote w:type="continuationSeparator" w:id="0">
    <w:p w:rsidR="00847DF7" w:rsidRDefault="00847DF7" w:rsidP="0017312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D16D2" w:rsidRDefault="000D16D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35260"/>
    <w:multiLevelType w:val="hybridMultilevel"/>
    <w:tmpl w:val="D106930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 w15:restartNumberingAfterBreak="0">
    <w:nsid w:val="1FD31EF6"/>
    <w:multiLevelType w:val="hybridMultilevel"/>
    <w:tmpl w:val="F73A110E"/>
    <w:lvl w:ilvl="0" w:tplc="0C090001">
      <w:start w:val="1"/>
      <w:numFmt w:val="bullet"/>
      <w:lvlText w:val=""/>
      <w:lvlJc w:val="left"/>
      <w:pPr>
        <w:ind w:left="767" w:hanging="360"/>
      </w:pPr>
      <w:rPr>
        <w:rFonts w:ascii="Symbol" w:hAnsi="Symbol" w:hint="default"/>
      </w:rPr>
    </w:lvl>
    <w:lvl w:ilvl="1" w:tplc="0C090003" w:tentative="1">
      <w:start w:val="1"/>
      <w:numFmt w:val="bullet"/>
      <w:lvlText w:val="o"/>
      <w:lvlJc w:val="left"/>
      <w:pPr>
        <w:ind w:left="1487" w:hanging="360"/>
      </w:pPr>
      <w:rPr>
        <w:rFonts w:ascii="Courier New" w:hAnsi="Courier New" w:cs="Courier New" w:hint="default"/>
      </w:rPr>
    </w:lvl>
    <w:lvl w:ilvl="2" w:tplc="0C090005" w:tentative="1">
      <w:start w:val="1"/>
      <w:numFmt w:val="bullet"/>
      <w:lvlText w:val=""/>
      <w:lvlJc w:val="left"/>
      <w:pPr>
        <w:ind w:left="2207" w:hanging="360"/>
      </w:pPr>
      <w:rPr>
        <w:rFonts w:ascii="Wingdings" w:hAnsi="Wingdings" w:hint="default"/>
      </w:rPr>
    </w:lvl>
    <w:lvl w:ilvl="3" w:tplc="0C090001" w:tentative="1">
      <w:start w:val="1"/>
      <w:numFmt w:val="bullet"/>
      <w:lvlText w:val=""/>
      <w:lvlJc w:val="left"/>
      <w:pPr>
        <w:ind w:left="2927" w:hanging="360"/>
      </w:pPr>
      <w:rPr>
        <w:rFonts w:ascii="Symbol" w:hAnsi="Symbol" w:hint="default"/>
      </w:rPr>
    </w:lvl>
    <w:lvl w:ilvl="4" w:tplc="0C090003" w:tentative="1">
      <w:start w:val="1"/>
      <w:numFmt w:val="bullet"/>
      <w:lvlText w:val="o"/>
      <w:lvlJc w:val="left"/>
      <w:pPr>
        <w:ind w:left="3647" w:hanging="360"/>
      </w:pPr>
      <w:rPr>
        <w:rFonts w:ascii="Courier New" w:hAnsi="Courier New" w:cs="Courier New" w:hint="default"/>
      </w:rPr>
    </w:lvl>
    <w:lvl w:ilvl="5" w:tplc="0C090005" w:tentative="1">
      <w:start w:val="1"/>
      <w:numFmt w:val="bullet"/>
      <w:lvlText w:val=""/>
      <w:lvlJc w:val="left"/>
      <w:pPr>
        <w:ind w:left="4367" w:hanging="360"/>
      </w:pPr>
      <w:rPr>
        <w:rFonts w:ascii="Wingdings" w:hAnsi="Wingdings" w:hint="default"/>
      </w:rPr>
    </w:lvl>
    <w:lvl w:ilvl="6" w:tplc="0C090001" w:tentative="1">
      <w:start w:val="1"/>
      <w:numFmt w:val="bullet"/>
      <w:lvlText w:val=""/>
      <w:lvlJc w:val="left"/>
      <w:pPr>
        <w:ind w:left="5087" w:hanging="360"/>
      </w:pPr>
      <w:rPr>
        <w:rFonts w:ascii="Symbol" w:hAnsi="Symbol" w:hint="default"/>
      </w:rPr>
    </w:lvl>
    <w:lvl w:ilvl="7" w:tplc="0C090003" w:tentative="1">
      <w:start w:val="1"/>
      <w:numFmt w:val="bullet"/>
      <w:lvlText w:val="o"/>
      <w:lvlJc w:val="left"/>
      <w:pPr>
        <w:ind w:left="5807" w:hanging="360"/>
      </w:pPr>
      <w:rPr>
        <w:rFonts w:ascii="Courier New" w:hAnsi="Courier New" w:cs="Courier New" w:hint="default"/>
      </w:rPr>
    </w:lvl>
    <w:lvl w:ilvl="8" w:tplc="0C090005" w:tentative="1">
      <w:start w:val="1"/>
      <w:numFmt w:val="bullet"/>
      <w:lvlText w:val=""/>
      <w:lvlJc w:val="left"/>
      <w:pPr>
        <w:ind w:left="6527" w:hanging="360"/>
      </w:pPr>
      <w:rPr>
        <w:rFonts w:ascii="Wingdings" w:hAnsi="Wingdings" w:hint="default"/>
      </w:rPr>
    </w:lvl>
  </w:abstractNum>
  <w:abstractNum w:abstractNumId="2" w15:restartNumberingAfterBreak="0">
    <w:nsid w:val="24ED405E"/>
    <w:multiLevelType w:val="hybridMultilevel"/>
    <w:tmpl w:val="48C07D64"/>
    <w:lvl w:ilvl="0" w:tplc="0C090003">
      <w:start w:val="1"/>
      <w:numFmt w:val="bullet"/>
      <w:lvlText w:val="o"/>
      <w:lvlJc w:val="left"/>
      <w:pPr>
        <w:ind w:left="360" w:hanging="360"/>
      </w:pPr>
      <w:rPr>
        <w:rFonts w:ascii="Courier New" w:hAnsi="Courier New" w:cs="Courier New"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start w:val="1"/>
      <w:numFmt w:val="bullet"/>
      <w:lvlText w:val=""/>
      <w:lvlJc w:val="left"/>
      <w:pPr>
        <w:ind w:left="2520" w:hanging="360"/>
      </w:pPr>
      <w:rPr>
        <w:rFonts w:ascii="Symbol" w:hAnsi="Symbol" w:hint="default"/>
      </w:rPr>
    </w:lvl>
    <w:lvl w:ilvl="4" w:tplc="0C090003">
      <w:start w:val="1"/>
      <w:numFmt w:val="bullet"/>
      <w:lvlText w:val="o"/>
      <w:lvlJc w:val="left"/>
      <w:pPr>
        <w:ind w:left="3240" w:hanging="360"/>
      </w:pPr>
      <w:rPr>
        <w:rFonts w:ascii="Courier New" w:hAnsi="Courier New" w:cs="Courier New" w:hint="default"/>
      </w:rPr>
    </w:lvl>
    <w:lvl w:ilvl="5" w:tplc="0C090005">
      <w:start w:val="1"/>
      <w:numFmt w:val="bullet"/>
      <w:lvlText w:val=""/>
      <w:lvlJc w:val="left"/>
      <w:pPr>
        <w:ind w:left="3960" w:hanging="360"/>
      </w:pPr>
      <w:rPr>
        <w:rFonts w:ascii="Wingdings" w:hAnsi="Wingdings" w:hint="default"/>
      </w:rPr>
    </w:lvl>
    <w:lvl w:ilvl="6" w:tplc="0C090001">
      <w:start w:val="1"/>
      <w:numFmt w:val="bullet"/>
      <w:lvlText w:val=""/>
      <w:lvlJc w:val="left"/>
      <w:pPr>
        <w:ind w:left="4680" w:hanging="360"/>
      </w:pPr>
      <w:rPr>
        <w:rFonts w:ascii="Symbol" w:hAnsi="Symbol" w:hint="default"/>
      </w:rPr>
    </w:lvl>
    <w:lvl w:ilvl="7" w:tplc="0C090003">
      <w:start w:val="1"/>
      <w:numFmt w:val="bullet"/>
      <w:lvlText w:val="o"/>
      <w:lvlJc w:val="left"/>
      <w:pPr>
        <w:ind w:left="5400" w:hanging="360"/>
      </w:pPr>
      <w:rPr>
        <w:rFonts w:ascii="Courier New" w:hAnsi="Courier New" w:cs="Courier New" w:hint="default"/>
      </w:rPr>
    </w:lvl>
    <w:lvl w:ilvl="8" w:tplc="0C090005">
      <w:start w:val="1"/>
      <w:numFmt w:val="bullet"/>
      <w:lvlText w:val=""/>
      <w:lvlJc w:val="left"/>
      <w:pPr>
        <w:ind w:left="6120" w:hanging="360"/>
      </w:pPr>
      <w:rPr>
        <w:rFonts w:ascii="Wingdings" w:hAnsi="Wingdings" w:hint="default"/>
      </w:rPr>
    </w:lvl>
  </w:abstractNum>
  <w:abstractNum w:abstractNumId="3" w15:restartNumberingAfterBreak="0">
    <w:nsid w:val="267D47D2"/>
    <w:multiLevelType w:val="hybridMultilevel"/>
    <w:tmpl w:val="1186B0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4FB0472A"/>
    <w:multiLevelType w:val="hybridMultilevel"/>
    <w:tmpl w:val="C5CEF7FE"/>
    <w:lvl w:ilvl="0" w:tplc="FA5AFBEA">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08F0"/>
    <w:rsid w:val="00025262"/>
    <w:rsid w:val="00036592"/>
    <w:rsid w:val="0006637E"/>
    <w:rsid w:val="000918EF"/>
    <w:rsid w:val="00091E50"/>
    <w:rsid w:val="000B47F9"/>
    <w:rsid w:val="000C1F89"/>
    <w:rsid w:val="000D08F0"/>
    <w:rsid w:val="000D16D2"/>
    <w:rsid w:val="000D18BD"/>
    <w:rsid w:val="00101C4D"/>
    <w:rsid w:val="00112F65"/>
    <w:rsid w:val="00122089"/>
    <w:rsid w:val="00140722"/>
    <w:rsid w:val="00142AE7"/>
    <w:rsid w:val="0017312B"/>
    <w:rsid w:val="001802F6"/>
    <w:rsid w:val="00192A52"/>
    <w:rsid w:val="001E7306"/>
    <w:rsid w:val="001F441A"/>
    <w:rsid w:val="00221310"/>
    <w:rsid w:val="00222BCE"/>
    <w:rsid w:val="00265229"/>
    <w:rsid w:val="00273C99"/>
    <w:rsid w:val="002A747B"/>
    <w:rsid w:val="002B26C3"/>
    <w:rsid w:val="002C3438"/>
    <w:rsid w:val="002D0B01"/>
    <w:rsid w:val="00310637"/>
    <w:rsid w:val="00325046"/>
    <w:rsid w:val="003364B9"/>
    <w:rsid w:val="00344A2D"/>
    <w:rsid w:val="00344C32"/>
    <w:rsid w:val="00364FEA"/>
    <w:rsid w:val="003737AA"/>
    <w:rsid w:val="003A02C8"/>
    <w:rsid w:val="003B5C6C"/>
    <w:rsid w:val="003C7D24"/>
    <w:rsid w:val="003D0BAD"/>
    <w:rsid w:val="003D4628"/>
    <w:rsid w:val="003E66A1"/>
    <w:rsid w:val="003F50C0"/>
    <w:rsid w:val="00445E08"/>
    <w:rsid w:val="00453247"/>
    <w:rsid w:val="00470C83"/>
    <w:rsid w:val="00475651"/>
    <w:rsid w:val="00485C9C"/>
    <w:rsid w:val="004B27F6"/>
    <w:rsid w:val="004B3650"/>
    <w:rsid w:val="004D3BAD"/>
    <w:rsid w:val="004F0938"/>
    <w:rsid w:val="0053594D"/>
    <w:rsid w:val="00542C96"/>
    <w:rsid w:val="00561C39"/>
    <w:rsid w:val="00582736"/>
    <w:rsid w:val="005842F3"/>
    <w:rsid w:val="00595D85"/>
    <w:rsid w:val="005D182F"/>
    <w:rsid w:val="005D62A7"/>
    <w:rsid w:val="005F7999"/>
    <w:rsid w:val="00607EDC"/>
    <w:rsid w:val="00614DB3"/>
    <w:rsid w:val="00621578"/>
    <w:rsid w:val="006301D4"/>
    <w:rsid w:val="006A661F"/>
    <w:rsid w:val="006D17F9"/>
    <w:rsid w:val="006E58CD"/>
    <w:rsid w:val="00712D8B"/>
    <w:rsid w:val="007429CB"/>
    <w:rsid w:val="007518E5"/>
    <w:rsid w:val="007647D3"/>
    <w:rsid w:val="00782AB4"/>
    <w:rsid w:val="0079437F"/>
    <w:rsid w:val="007B65B6"/>
    <w:rsid w:val="007B6732"/>
    <w:rsid w:val="007C3651"/>
    <w:rsid w:val="007E038D"/>
    <w:rsid w:val="007E70EC"/>
    <w:rsid w:val="007F2644"/>
    <w:rsid w:val="008277F8"/>
    <w:rsid w:val="00837FC0"/>
    <w:rsid w:val="00843B0A"/>
    <w:rsid w:val="00847DF7"/>
    <w:rsid w:val="00851312"/>
    <w:rsid w:val="0088272E"/>
    <w:rsid w:val="0088799A"/>
    <w:rsid w:val="008C013E"/>
    <w:rsid w:val="008C26C6"/>
    <w:rsid w:val="008C310E"/>
    <w:rsid w:val="008C6768"/>
    <w:rsid w:val="008D5DE3"/>
    <w:rsid w:val="008E6402"/>
    <w:rsid w:val="009031F1"/>
    <w:rsid w:val="00904332"/>
    <w:rsid w:val="00922F97"/>
    <w:rsid w:val="009528D7"/>
    <w:rsid w:val="00965ADE"/>
    <w:rsid w:val="009733DF"/>
    <w:rsid w:val="00976F05"/>
    <w:rsid w:val="00977A79"/>
    <w:rsid w:val="00990FA2"/>
    <w:rsid w:val="009942B6"/>
    <w:rsid w:val="009A1ECF"/>
    <w:rsid w:val="009C3102"/>
    <w:rsid w:val="009C3689"/>
    <w:rsid w:val="00A11315"/>
    <w:rsid w:val="00A5690C"/>
    <w:rsid w:val="00A77024"/>
    <w:rsid w:val="00A80511"/>
    <w:rsid w:val="00A809CD"/>
    <w:rsid w:val="00AC673E"/>
    <w:rsid w:val="00AC7B00"/>
    <w:rsid w:val="00AF41C0"/>
    <w:rsid w:val="00B108B0"/>
    <w:rsid w:val="00B1650D"/>
    <w:rsid w:val="00B222CD"/>
    <w:rsid w:val="00B22813"/>
    <w:rsid w:val="00B36F99"/>
    <w:rsid w:val="00B711F3"/>
    <w:rsid w:val="00B83755"/>
    <w:rsid w:val="00BB11D0"/>
    <w:rsid w:val="00BE6F74"/>
    <w:rsid w:val="00BF3C71"/>
    <w:rsid w:val="00C058B5"/>
    <w:rsid w:val="00C163A9"/>
    <w:rsid w:val="00C27320"/>
    <w:rsid w:val="00C3204D"/>
    <w:rsid w:val="00C36148"/>
    <w:rsid w:val="00C64032"/>
    <w:rsid w:val="00C71DEB"/>
    <w:rsid w:val="00C94D88"/>
    <w:rsid w:val="00C9508F"/>
    <w:rsid w:val="00CB1597"/>
    <w:rsid w:val="00CC4257"/>
    <w:rsid w:val="00CC4C16"/>
    <w:rsid w:val="00CD59FE"/>
    <w:rsid w:val="00CF10B9"/>
    <w:rsid w:val="00D06951"/>
    <w:rsid w:val="00D2548B"/>
    <w:rsid w:val="00D45819"/>
    <w:rsid w:val="00D53961"/>
    <w:rsid w:val="00D94DE4"/>
    <w:rsid w:val="00DA43B4"/>
    <w:rsid w:val="00DB0950"/>
    <w:rsid w:val="00DB4406"/>
    <w:rsid w:val="00DC268B"/>
    <w:rsid w:val="00DE6501"/>
    <w:rsid w:val="00E15E05"/>
    <w:rsid w:val="00E32FF8"/>
    <w:rsid w:val="00E417FF"/>
    <w:rsid w:val="00E63A3A"/>
    <w:rsid w:val="00E9113C"/>
    <w:rsid w:val="00E920CF"/>
    <w:rsid w:val="00EF6B47"/>
    <w:rsid w:val="00F13A7A"/>
    <w:rsid w:val="00F35F93"/>
    <w:rsid w:val="00F4189F"/>
    <w:rsid w:val="00F65521"/>
    <w:rsid w:val="00F92C7E"/>
    <w:rsid w:val="00FF7E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0CDD637"/>
  <w15:chartTrackingRefBased/>
  <w15:docId w15:val="{E8E6B9EE-2DB4-4224-844A-1E200F8BC4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7312B"/>
    <w:pPr>
      <w:spacing w:after="240" w:line="240" w:lineRule="auto"/>
      <w:ind w:right="-187"/>
    </w:pPr>
  </w:style>
  <w:style w:type="paragraph" w:styleId="Heading1">
    <w:name w:val="heading 1"/>
    <w:basedOn w:val="Normal"/>
    <w:next w:val="Normal"/>
    <w:link w:val="Heading1Char"/>
    <w:uiPriority w:val="9"/>
    <w:qFormat/>
    <w:rsid w:val="000D08F0"/>
    <w:pPr>
      <w:keepNext/>
      <w:keepLines/>
      <w:spacing w:before="120" w:line="276" w:lineRule="auto"/>
      <w:outlineLvl w:val="0"/>
    </w:pPr>
    <w:rPr>
      <w:rFonts w:eastAsiaTheme="majorEastAsia" w:cstheme="majorBidi"/>
      <w:b/>
      <w:bCs/>
      <w:color w:val="04526C"/>
      <w:sz w:val="36"/>
      <w:szCs w:val="28"/>
      <w:lang w:eastAsia="en-AU"/>
    </w:rPr>
  </w:style>
  <w:style w:type="paragraph" w:styleId="Heading2">
    <w:name w:val="heading 2"/>
    <w:basedOn w:val="Normal"/>
    <w:next w:val="Normal"/>
    <w:link w:val="Heading2Char"/>
    <w:uiPriority w:val="9"/>
    <w:unhideWhenUsed/>
    <w:qFormat/>
    <w:rsid w:val="00A809CD"/>
    <w:pPr>
      <w:keepNext/>
      <w:keepLines/>
      <w:spacing w:before="240"/>
      <w:outlineLvl w:val="1"/>
    </w:pPr>
    <w:rPr>
      <w:rFonts w:asciiTheme="majorHAnsi" w:eastAsiaTheme="majorEastAsia" w:hAnsiTheme="majorHAnsi" w:cstheme="majorBidi"/>
      <w:b/>
      <w:color w:val="04526C"/>
      <w:sz w:val="26"/>
      <w:szCs w:val="26"/>
    </w:rPr>
  </w:style>
  <w:style w:type="paragraph" w:styleId="Heading3">
    <w:name w:val="heading 3"/>
    <w:basedOn w:val="Normal"/>
    <w:next w:val="Normal"/>
    <w:link w:val="Heading3Char"/>
    <w:autoRedefine/>
    <w:uiPriority w:val="9"/>
    <w:unhideWhenUsed/>
    <w:qFormat/>
    <w:rsid w:val="00A809CD"/>
    <w:pPr>
      <w:keepNext/>
      <w:keepLines/>
      <w:spacing w:before="40"/>
      <w:outlineLvl w:val="2"/>
    </w:pPr>
    <w:rPr>
      <w:rFonts w:asciiTheme="majorHAnsi" w:eastAsiaTheme="majorEastAsia" w:hAnsiTheme="majorHAnsi" w:cstheme="majorBidi"/>
      <w:b/>
      <w:color w:val="04526C"/>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D08F0"/>
    <w:rPr>
      <w:rFonts w:eastAsiaTheme="majorEastAsia" w:cstheme="majorBidi"/>
      <w:b/>
      <w:bCs/>
      <w:color w:val="04526C"/>
      <w:sz w:val="36"/>
      <w:szCs w:val="28"/>
      <w:lang w:eastAsia="en-AU"/>
    </w:rPr>
  </w:style>
  <w:style w:type="character" w:styleId="Hyperlink">
    <w:name w:val="Hyperlink"/>
    <w:basedOn w:val="DefaultParagraphFont"/>
    <w:uiPriority w:val="99"/>
    <w:unhideWhenUsed/>
    <w:rsid w:val="000D08F0"/>
    <w:rPr>
      <w:color w:val="0563C1" w:themeColor="hyperlink"/>
      <w:u w:val="single"/>
    </w:rPr>
  </w:style>
  <w:style w:type="paragraph" w:styleId="ListParagraph">
    <w:name w:val="List Paragraph"/>
    <w:aliases w:val="Recommendation,L,List Paragraph1,List Paragraph11,CV text,Table text,F5 List Paragraph,Dot pt,List Paragraph111,Medium Grid 1 - Accent 21,List Paragraph2,NFP GP Bulleted List,FooterText,numbered,Paragraphe de liste1,列出段,List Bullet Cab"/>
    <w:basedOn w:val="Normal"/>
    <w:link w:val="ListParagraphChar"/>
    <w:uiPriority w:val="34"/>
    <w:qFormat/>
    <w:rsid w:val="000D08F0"/>
    <w:pPr>
      <w:spacing w:after="200" w:line="276" w:lineRule="auto"/>
      <w:ind w:left="720"/>
      <w:contextualSpacing/>
    </w:pPr>
    <w:rPr>
      <w:lang w:eastAsia="en-AU"/>
    </w:rPr>
  </w:style>
  <w:style w:type="character" w:customStyle="1" w:styleId="ListParagraphChar">
    <w:name w:val="List Paragraph Char"/>
    <w:aliases w:val="Recommendation Char,L Char,List Paragraph1 Char,List Paragraph11 Char,CV text Char,Table text Char,F5 List Paragraph Char,Dot pt Char,List Paragraph111 Char,Medium Grid 1 - Accent 21 Char,List Paragraph2 Char,FooterText Char,列出段 Char"/>
    <w:basedOn w:val="DefaultParagraphFont"/>
    <w:link w:val="ListParagraph"/>
    <w:uiPriority w:val="1"/>
    <w:locked/>
    <w:rsid w:val="00E15E05"/>
    <w:rPr>
      <w:lang w:eastAsia="en-AU"/>
    </w:rPr>
  </w:style>
  <w:style w:type="table" w:styleId="TableGrid">
    <w:name w:val="Table Grid"/>
    <w:basedOn w:val="TableNormal"/>
    <w:uiPriority w:val="39"/>
    <w:rsid w:val="00E15E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965ADE"/>
    <w:pPr>
      <w:tabs>
        <w:tab w:val="center" w:pos="4513"/>
        <w:tab w:val="right" w:pos="9026"/>
      </w:tabs>
    </w:pPr>
  </w:style>
  <w:style w:type="character" w:customStyle="1" w:styleId="HeaderChar">
    <w:name w:val="Header Char"/>
    <w:basedOn w:val="DefaultParagraphFont"/>
    <w:link w:val="Header"/>
    <w:uiPriority w:val="99"/>
    <w:rsid w:val="00965ADE"/>
  </w:style>
  <w:style w:type="paragraph" w:styleId="Footer">
    <w:name w:val="footer"/>
    <w:basedOn w:val="Normal"/>
    <w:link w:val="FooterChar"/>
    <w:uiPriority w:val="99"/>
    <w:unhideWhenUsed/>
    <w:rsid w:val="00965ADE"/>
    <w:pPr>
      <w:tabs>
        <w:tab w:val="center" w:pos="4513"/>
        <w:tab w:val="right" w:pos="9026"/>
      </w:tabs>
    </w:pPr>
  </w:style>
  <w:style w:type="character" w:customStyle="1" w:styleId="FooterChar">
    <w:name w:val="Footer Char"/>
    <w:basedOn w:val="DefaultParagraphFont"/>
    <w:link w:val="Footer"/>
    <w:uiPriority w:val="99"/>
    <w:rsid w:val="00965ADE"/>
  </w:style>
  <w:style w:type="paragraph" w:styleId="BalloonText">
    <w:name w:val="Balloon Text"/>
    <w:basedOn w:val="Normal"/>
    <w:link w:val="BalloonTextChar"/>
    <w:uiPriority w:val="99"/>
    <w:semiHidden/>
    <w:unhideWhenUsed/>
    <w:rsid w:val="009C3689"/>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C3689"/>
    <w:rPr>
      <w:rFonts w:ascii="Segoe UI" w:hAnsi="Segoe UI" w:cs="Segoe UI"/>
      <w:sz w:val="18"/>
      <w:szCs w:val="18"/>
    </w:rPr>
  </w:style>
  <w:style w:type="table" w:styleId="GridTable6Colorful">
    <w:name w:val="Grid Table 6 Colorful"/>
    <w:basedOn w:val="TableNormal"/>
    <w:uiPriority w:val="51"/>
    <w:rsid w:val="003B5C6C"/>
    <w:pPr>
      <w:spacing w:after="0" w:line="240" w:lineRule="auto"/>
    </w:pPr>
    <w:rPr>
      <w:color w:val="000000" w:themeColor="text1"/>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rPr>
      <w:tblPr/>
      <w:tcPr>
        <w:tcBorders>
          <w:bottom w:val="single" w:sz="12" w:space="0" w:color="666666" w:themeColor="text1" w:themeTint="99"/>
        </w:tcBorders>
      </w:tcPr>
    </w:tblStylePr>
    <w:tblStylePr w:type="lastRow">
      <w:rPr>
        <w:b/>
        <w:bCs/>
      </w:rPr>
      <w:tblPr/>
      <w:tcPr>
        <w:tcBorders>
          <w:top w:val="double" w:sz="4" w:space="0" w:color="666666" w:themeColor="text1" w:themeTint="99"/>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character" w:customStyle="1" w:styleId="Heading2Char">
    <w:name w:val="Heading 2 Char"/>
    <w:basedOn w:val="DefaultParagraphFont"/>
    <w:link w:val="Heading2"/>
    <w:uiPriority w:val="9"/>
    <w:rsid w:val="00A809CD"/>
    <w:rPr>
      <w:rFonts w:asciiTheme="majorHAnsi" w:eastAsiaTheme="majorEastAsia" w:hAnsiTheme="majorHAnsi" w:cstheme="majorBidi"/>
      <w:b/>
      <w:color w:val="04526C"/>
      <w:sz w:val="26"/>
      <w:szCs w:val="26"/>
    </w:rPr>
  </w:style>
  <w:style w:type="character" w:customStyle="1" w:styleId="Heading3Char">
    <w:name w:val="Heading 3 Char"/>
    <w:basedOn w:val="DefaultParagraphFont"/>
    <w:link w:val="Heading3"/>
    <w:uiPriority w:val="9"/>
    <w:rsid w:val="00A809CD"/>
    <w:rPr>
      <w:rFonts w:asciiTheme="majorHAnsi" w:eastAsiaTheme="majorEastAsia" w:hAnsiTheme="majorHAnsi" w:cstheme="majorBidi"/>
      <w:b/>
      <w:color w:val="04526C"/>
      <w:sz w:val="24"/>
      <w:szCs w:val="24"/>
    </w:rPr>
  </w:style>
  <w:style w:type="paragraph" w:styleId="NormalWeb">
    <w:name w:val="Normal (Web)"/>
    <w:basedOn w:val="Normal"/>
    <w:uiPriority w:val="99"/>
    <w:semiHidden/>
    <w:unhideWhenUsed/>
    <w:rsid w:val="00453247"/>
    <w:pPr>
      <w:spacing w:before="100" w:beforeAutospacing="1" w:after="100" w:afterAutospacing="1"/>
    </w:pPr>
    <w:rPr>
      <w:rFonts w:ascii="Times New Roman" w:eastAsia="Times New Roman" w:hAnsi="Times New Roman" w:cs="Times New Roman"/>
      <w:sz w:val="24"/>
      <w:szCs w:val="24"/>
      <w:lang w:eastAsia="en-AU"/>
    </w:rPr>
  </w:style>
  <w:style w:type="paragraph" w:styleId="NoSpacing">
    <w:name w:val="No Spacing"/>
    <w:basedOn w:val="Normal"/>
    <w:uiPriority w:val="1"/>
    <w:qFormat/>
    <w:rsid w:val="00CD59FE"/>
    <w:pPr>
      <w:spacing w:after="0"/>
      <w:ind w:right="0"/>
    </w:pPr>
    <w:rPr>
      <w:rFonts w:ascii="Calibri" w:eastAsia="MS PGothic" w:hAnsi="Calibri" w:cs="Calibri"/>
      <w:lang w:eastAsia="ja-JP"/>
    </w:rPr>
  </w:style>
  <w:style w:type="paragraph" w:customStyle="1" w:styleId="Default">
    <w:name w:val="Default"/>
    <w:rsid w:val="00F4189F"/>
    <w:pPr>
      <w:autoSpaceDE w:val="0"/>
      <w:autoSpaceDN w:val="0"/>
      <w:adjustRightInd w:val="0"/>
      <w:spacing w:after="0" w:line="240" w:lineRule="auto"/>
    </w:pPr>
    <w:rPr>
      <w:rFonts w:ascii="Calibri" w:hAnsi="Calibri" w:cs="Calibri"/>
      <w:color w:val="000000"/>
      <w:sz w:val="24"/>
      <w:szCs w:val="24"/>
    </w:rPr>
  </w:style>
  <w:style w:type="character" w:customStyle="1" w:styleId="ui-provider">
    <w:name w:val="ui-provider"/>
    <w:basedOn w:val="DefaultParagraphFont"/>
    <w:rsid w:val="0088799A"/>
  </w:style>
  <w:style w:type="character" w:styleId="CommentReference">
    <w:name w:val="annotation reference"/>
    <w:basedOn w:val="DefaultParagraphFont"/>
    <w:uiPriority w:val="99"/>
    <w:semiHidden/>
    <w:unhideWhenUsed/>
    <w:rsid w:val="00B711F3"/>
    <w:rPr>
      <w:sz w:val="16"/>
      <w:szCs w:val="16"/>
    </w:rPr>
  </w:style>
  <w:style w:type="paragraph" w:styleId="CommentText">
    <w:name w:val="annotation text"/>
    <w:basedOn w:val="Normal"/>
    <w:link w:val="CommentTextChar"/>
    <w:uiPriority w:val="99"/>
    <w:semiHidden/>
    <w:unhideWhenUsed/>
    <w:rsid w:val="00B711F3"/>
    <w:rPr>
      <w:sz w:val="20"/>
      <w:szCs w:val="20"/>
    </w:rPr>
  </w:style>
  <w:style w:type="character" w:customStyle="1" w:styleId="CommentTextChar">
    <w:name w:val="Comment Text Char"/>
    <w:basedOn w:val="DefaultParagraphFont"/>
    <w:link w:val="CommentText"/>
    <w:uiPriority w:val="99"/>
    <w:semiHidden/>
    <w:rsid w:val="00B711F3"/>
    <w:rPr>
      <w:sz w:val="20"/>
      <w:szCs w:val="20"/>
    </w:rPr>
  </w:style>
  <w:style w:type="paragraph" w:styleId="CommentSubject">
    <w:name w:val="annotation subject"/>
    <w:basedOn w:val="CommentText"/>
    <w:next w:val="CommentText"/>
    <w:link w:val="CommentSubjectChar"/>
    <w:uiPriority w:val="99"/>
    <w:semiHidden/>
    <w:unhideWhenUsed/>
    <w:rsid w:val="00B711F3"/>
    <w:rPr>
      <w:b/>
      <w:bCs/>
    </w:rPr>
  </w:style>
  <w:style w:type="character" w:customStyle="1" w:styleId="CommentSubjectChar">
    <w:name w:val="Comment Subject Char"/>
    <w:basedOn w:val="CommentTextChar"/>
    <w:link w:val="CommentSubject"/>
    <w:uiPriority w:val="99"/>
    <w:semiHidden/>
    <w:rsid w:val="00B711F3"/>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416516">
      <w:bodyDiv w:val="1"/>
      <w:marLeft w:val="0"/>
      <w:marRight w:val="0"/>
      <w:marTop w:val="0"/>
      <w:marBottom w:val="0"/>
      <w:divBdr>
        <w:top w:val="none" w:sz="0" w:space="0" w:color="auto"/>
        <w:left w:val="none" w:sz="0" w:space="0" w:color="auto"/>
        <w:bottom w:val="none" w:sz="0" w:space="0" w:color="auto"/>
        <w:right w:val="none" w:sz="0" w:space="0" w:color="auto"/>
      </w:divBdr>
    </w:div>
    <w:div w:id="104424278">
      <w:bodyDiv w:val="1"/>
      <w:marLeft w:val="0"/>
      <w:marRight w:val="0"/>
      <w:marTop w:val="0"/>
      <w:marBottom w:val="0"/>
      <w:divBdr>
        <w:top w:val="none" w:sz="0" w:space="0" w:color="auto"/>
        <w:left w:val="none" w:sz="0" w:space="0" w:color="auto"/>
        <w:bottom w:val="none" w:sz="0" w:space="0" w:color="auto"/>
        <w:right w:val="none" w:sz="0" w:space="0" w:color="auto"/>
      </w:divBdr>
    </w:div>
    <w:div w:id="457993874">
      <w:bodyDiv w:val="1"/>
      <w:marLeft w:val="0"/>
      <w:marRight w:val="0"/>
      <w:marTop w:val="0"/>
      <w:marBottom w:val="0"/>
      <w:divBdr>
        <w:top w:val="none" w:sz="0" w:space="0" w:color="auto"/>
        <w:left w:val="none" w:sz="0" w:space="0" w:color="auto"/>
        <w:bottom w:val="none" w:sz="0" w:space="0" w:color="auto"/>
        <w:right w:val="none" w:sz="0" w:space="0" w:color="auto"/>
      </w:divBdr>
    </w:div>
    <w:div w:id="482896014">
      <w:bodyDiv w:val="1"/>
      <w:marLeft w:val="0"/>
      <w:marRight w:val="0"/>
      <w:marTop w:val="0"/>
      <w:marBottom w:val="0"/>
      <w:divBdr>
        <w:top w:val="none" w:sz="0" w:space="0" w:color="auto"/>
        <w:left w:val="none" w:sz="0" w:space="0" w:color="auto"/>
        <w:bottom w:val="none" w:sz="0" w:space="0" w:color="auto"/>
        <w:right w:val="none" w:sz="0" w:space="0" w:color="auto"/>
      </w:divBdr>
    </w:div>
    <w:div w:id="1125657681">
      <w:bodyDiv w:val="1"/>
      <w:marLeft w:val="0"/>
      <w:marRight w:val="0"/>
      <w:marTop w:val="0"/>
      <w:marBottom w:val="0"/>
      <w:divBdr>
        <w:top w:val="none" w:sz="0" w:space="0" w:color="auto"/>
        <w:left w:val="none" w:sz="0" w:space="0" w:color="auto"/>
        <w:bottom w:val="none" w:sz="0" w:space="0" w:color="auto"/>
        <w:right w:val="none" w:sz="0" w:space="0" w:color="auto"/>
      </w:divBdr>
    </w:div>
    <w:div w:id="1366057250">
      <w:bodyDiv w:val="1"/>
      <w:marLeft w:val="0"/>
      <w:marRight w:val="0"/>
      <w:marTop w:val="0"/>
      <w:marBottom w:val="0"/>
      <w:divBdr>
        <w:top w:val="none" w:sz="0" w:space="0" w:color="auto"/>
        <w:left w:val="none" w:sz="0" w:space="0" w:color="auto"/>
        <w:bottom w:val="none" w:sz="0" w:space="0" w:color="auto"/>
        <w:right w:val="none" w:sz="0" w:space="0" w:color="auto"/>
      </w:divBdr>
    </w:div>
    <w:div w:id="1836916894">
      <w:bodyDiv w:val="1"/>
      <w:marLeft w:val="0"/>
      <w:marRight w:val="0"/>
      <w:marTop w:val="0"/>
      <w:marBottom w:val="0"/>
      <w:divBdr>
        <w:top w:val="none" w:sz="0" w:space="0" w:color="auto"/>
        <w:left w:val="none" w:sz="0" w:space="0" w:color="auto"/>
        <w:bottom w:val="none" w:sz="0" w:space="0" w:color="auto"/>
        <w:right w:val="none" w:sz="0" w:space="0" w:color="auto"/>
      </w:divBdr>
    </w:div>
    <w:div w:id="2047679942">
      <w:bodyDiv w:val="1"/>
      <w:marLeft w:val="0"/>
      <w:marRight w:val="0"/>
      <w:marTop w:val="0"/>
      <w:marBottom w:val="0"/>
      <w:divBdr>
        <w:top w:val="none" w:sz="0" w:space="0" w:color="auto"/>
        <w:left w:val="none" w:sz="0" w:space="0" w:color="auto"/>
        <w:bottom w:val="none" w:sz="0" w:space="0" w:color="auto"/>
        <w:right w:val="none" w:sz="0" w:space="0" w:color="auto"/>
      </w:divBdr>
    </w:div>
    <w:div w:id="2139299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hyperlink" Target="mailto:denise.healy@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2</Pages>
  <Words>589</Words>
  <Characters>3358</Characters>
  <Application>Microsoft Office Word</Application>
  <DocSecurity>4</DocSecurity>
  <Lines>27</Lines>
  <Paragraphs>7</Paragraphs>
  <ScaleCrop>false</ScaleCrop>
  <HeadingPairs>
    <vt:vector size="2" baseType="variant">
      <vt:variant>
        <vt:lpstr>Title</vt:lpstr>
      </vt:variant>
      <vt:variant>
        <vt:i4>1</vt:i4>
      </vt:variant>
    </vt:vector>
  </HeadingPairs>
  <TitlesOfParts>
    <vt:vector size="1" baseType="lpstr">
      <vt:lpstr>Media Release: Heading</vt:lpstr>
    </vt:vector>
  </TitlesOfParts>
  <Company>Federal Court of Australia</Company>
  <LinksUpToDate>false</LinksUpToDate>
  <CharactersWithSpaces>3940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Media Release: Federal Circuit and Family Court of Australia wins national award for Alternative Dispute Resolution initiatives</dc:title>
  <dc:subject/>
  <dc:creator>Federal Circuit and Family Court of Australia</dc:creator>
  <cp:keywords>award;dispute resolution</cp:keywords>
  <dc:description/>
  <cp:lastModifiedBy>Christine Tuff</cp:lastModifiedBy>
  <cp:revision>2</cp:revision>
  <cp:lastPrinted>2021-10-14T02:44:00Z</cp:lastPrinted>
  <dcterms:created xsi:type="dcterms:W3CDTF">2023-04-02T22:28:00Z</dcterms:created>
  <dcterms:modified xsi:type="dcterms:W3CDTF">2023-04-02T22:28:00Z</dcterms:modified>
</cp:coreProperties>
</file>