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A3C24F" w14:textId="552EC794" w:rsidR="00716AB0" w:rsidRPr="00716AB0" w:rsidRDefault="003C368C" w:rsidP="005C2A72">
      <w:pPr>
        <w:pStyle w:val="Heading1"/>
        <w:ind w:left="5040" w:firstLine="720"/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3522EEA2" wp14:editId="1BAEFC11">
            <wp:simplePos x="0" y="0"/>
            <wp:positionH relativeFrom="column">
              <wp:posOffset>3724910</wp:posOffset>
            </wp:positionH>
            <wp:positionV relativeFrom="paragraph">
              <wp:posOffset>0</wp:posOffset>
            </wp:positionV>
            <wp:extent cx="1943100" cy="1241425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3100" cy="12414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01B66">
        <w:rPr>
          <w:noProof/>
        </w:rPr>
        <w:drawing>
          <wp:anchor distT="0" distB="0" distL="114300" distR="114300" simplePos="0" relativeHeight="251658240" behindDoc="0" locked="0" layoutInCell="1" allowOverlap="1" wp14:anchorId="7CF3F635" wp14:editId="07DB1B2C">
            <wp:simplePos x="914400" y="990600"/>
            <wp:positionH relativeFrom="column">
              <wp:align>left</wp:align>
            </wp:positionH>
            <wp:positionV relativeFrom="paragraph">
              <wp:align>top</wp:align>
            </wp:positionV>
            <wp:extent cx="1339124" cy="116205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CFCOA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9124" cy="1162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55A61">
        <w:rPr>
          <w:sz w:val="24"/>
          <w:szCs w:val="24"/>
        </w:rPr>
        <w:t>9</w:t>
      </w:r>
      <w:r w:rsidR="00D0376E">
        <w:rPr>
          <w:sz w:val="24"/>
          <w:szCs w:val="24"/>
        </w:rPr>
        <w:t xml:space="preserve"> </w:t>
      </w:r>
      <w:r w:rsidR="00655A61">
        <w:rPr>
          <w:sz w:val="24"/>
          <w:szCs w:val="24"/>
        </w:rPr>
        <w:t>February</w:t>
      </w:r>
      <w:r w:rsidR="00D54EE1">
        <w:rPr>
          <w:sz w:val="24"/>
          <w:szCs w:val="24"/>
        </w:rPr>
        <w:t xml:space="preserve"> 202</w:t>
      </w:r>
      <w:r w:rsidR="00655A61">
        <w:rPr>
          <w:sz w:val="24"/>
          <w:szCs w:val="24"/>
        </w:rPr>
        <w:t>3</w:t>
      </w:r>
    </w:p>
    <w:p w14:paraId="27623C99" w14:textId="269CF0B1" w:rsidR="00D54EE1" w:rsidRDefault="005E5249" w:rsidP="00125891">
      <w:pPr>
        <w:pStyle w:val="Heading1"/>
        <w:spacing w:before="480" w:after="360"/>
        <w:jc w:val="center"/>
        <w:rPr>
          <w:noProof/>
        </w:rPr>
      </w:pPr>
      <w:bookmarkStart w:id="0" w:name="_GoBack"/>
      <w:r>
        <w:rPr>
          <w:noProof/>
        </w:rPr>
        <w:t>International focus on family violence and safety reforms as the Federal Circuit and Family Court of Australia hosts</w:t>
      </w:r>
      <w:r w:rsidR="005C2A72">
        <w:rPr>
          <w:noProof/>
        </w:rPr>
        <w:br/>
      </w:r>
      <w:r>
        <w:rPr>
          <w:noProof/>
        </w:rPr>
        <w:t>New Zealand Family Court judges</w:t>
      </w:r>
      <w:bookmarkEnd w:id="0"/>
      <w:r>
        <w:rPr>
          <w:noProof/>
        </w:rPr>
        <w:t xml:space="preserve"> </w:t>
      </w:r>
    </w:p>
    <w:p w14:paraId="7EBB82A2" w14:textId="686D1FD5" w:rsidR="00B36DE3" w:rsidRDefault="00E4388A" w:rsidP="005C2A72">
      <w:pPr>
        <w:spacing w:before="240"/>
        <w:jc w:val="both"/>
        <w:rPr>
          <w:lang w:val="en-NZ"/>
        </w:rPr>
      </w:pPr>
      <w:r>
        <w:rPr>
          <w:lang w:val="en-NZ"/>
        </w:rPr>
        <w:t>T</w:t>
      </w:r>
      <w:r w:rsidR="007006FE">
        <w:rPr>
          <w:lang w:val="en-NZ"/>
        </w:rPr>
        <w:t xml:space="preserve">wo </w:t>
      </w:r>
      <w:r>
        <w:rPr>
          <w:lang w:val="en-NZ"/>
        </w:rPr>
        <w:t xml:space="preserve">senior </w:t>
      </w:r>
      <w:r w:rsidR="00655A61" w:rsidRPr="005E5249">
        <w:rPr>
          <w:lang w:val="en-NZ"/>
        </w:rPr>
        <w:t xml:space="preserve">New Zealand Family Court judges </w:t>
      </w:r>
      <w:r w:rsidR="005E5249">
        <w:rPr>
          <w:lang w:val="en-NZ"/>
        </w:rPr>
        <w:t xml:space="preserve">and </w:t>
      </w:r>
      <w:r w:rsidR="00655A61" w:rsidRPr="005E5249">
        <w:rPr>
          <w:lang w:val="en-NZ"/>
        </w:rPr>
        <w:t xml:space="preserve">representatives from the </w:t>
      </w:r>
      <w:r w:rsidR="008C6C4C">
        <w:rPr>
          <w:lang w:val="en-NZ"/>
        </w:rPr>
        <w:t>New Zealand Ministry of Justice</w:t>
      </w:r>
      <w:r w:rsidR="0022065B">
        <w:rPr>
          <w:lang w:val="en-NZ"/>
        </w:rPr>
        <w:t xml:space="preserve"> </w:t>
      </w:r>
      <w:r>
        <w:rPr>
          <w:lang w:val="en-NZ"/>
        </w:rPr>
        <w:t>are vi</w:t>
      </w:r>
      <w:r w:rsidR="00587690">
        <w:rPr>
          <w:lang w:val="en-NZ"/>
        </w:rPr>
        <w:t>siting the Federal Circuit and F</w:t>
      </w:r>
      <w:r>
        <w:rPr>
          <w:lang w:val="en-NZ"/>
        </w:rPr>
        <w:t xml:space="preserve">amily Court of Australia </w:t>
      </w:r>
      <w:r w:rsidR="00587690">
        <w:rPr>
          <w:lang w:val="en-NZ"/>
        </w:rPr>
        <w:t>this week</w:t>
      </w:r>
      <w:r w:rsidR="0022065B">
        <w:rPr>
          <w:lang w:val="en-NZ"/>
        </w:rPr>
        <w:t xml:space="preserve"> </w:t>
      </w:r>
      <w:r w:rsidR="008C6C4C">
        <w:rPr>
          <w:lang w:val="en-NZ"/>
        </w:rPr>
        <w:t xml:space="preserve">to share </w:t>
      </w:r>
      <w:r w:rsidR="007006FE">
        <w:rPr>
          <w:lang w:val="en-NZ"/>
        </w:rPr>
        <w:t>ideas and discuss initiatives t</w:t>
      </w:r>
      <w:r w:rsidR="00B36DE3">
        <w:rPr>
          <w:lang w:val="en-NZ"/>
        </w:rPr>
        <w:t xml:space="preserve">hat </w:t>
      </w:r>
      <w:r w:rsidR="00587690">
        <w:rPr>
          <w:lang w:val="en-NZ"/>
        </w:rPr>
        <w:t>address</w:t>
      </w:r>
      <w:r w:rsidR="007006FE">
        <w:rPr>
          <w:lang w:val="en-NZ"/>
        </w:rPr>
        <w:t xml:space="preserve"> family violence, risk screening and safety measures </w:t>
      </w:r>
      <w:r w:rsidR="00B36DE3">
        <w:rPr>
          <w:lang w:val="en-NZ"/>
        </w:rPr>
        <w:t>in</w:t>
      </w:r>
      <w:r w:rsidR="007006FE">
        <w:rPr>
          <w:lang w:val="en-NZ"/>
        </w:rPr>
        <w:t xml:space="preserve"> family law cases.</w:t>
      </w:r>
    </w:p>
    <w:p w14:paraId="6EE9614F" w14:textId="77777777" w:rsidR="00655A61" w:rsidRPr="005E5249" w:rsidRDefault="00B36DE3" w:rsidP="005C2A72">
      <w:pPr>
        <w:spacing w:before="240"/>
        <w:jc w:val="both"/>
        <w:rPr>
          <w:lang w:val="en-NZ"/>
        </w:rPr>
      </w:pPr>
      <w:r>
        <w:rPr>
          <w:lang w:val="en-NZ"/>
        </w:rPr>
        <w:t xml:space="preserve">The delegation will be visiting the </w:t>
      </w:r>
      <w:r w:rsidR="0022065B">
        <w:rPr>
          <w:lang w:val="en-NZ"/>
        </w:rPr>
        <w:t xml:space="preserve">Courts’ </w:t>
      </w:r>
      <w:r>
        <w:rPr>
          <w:lang w:val="en-NZ"/>
        </w:rPr>
        <w:t xml:space="preserve">Parramatta and Sydney registries on 9 and 10 February.  </w:t>
      </w:r>
    </w:p>
    <w:p w14:paraId="631B5EF1" w14:textId="0FE9C6EF" w:rsidR="00914E14" w:rsidRDefault="00790059" w:rsidP="005C2A72">
      <w:pPr>
        <w:spacing w:before="240"/>
        <w:jc w:val="both"/>
        <w:rPr>
          <w:rFonts w:cstheme="minorHAnsi"/>
        </w:rPr>
      </w:pPr>
      <w:r>
        <w:rPr>
          <w:rFonts w:cstheme="minorHAnsi"/>
        </w:rPr>
        <w:t>Chief Justice</w:t>
      </w:r>
      <w:r w:rsidR="007006FE">
        <w:rPr>
          <w:rFonts w:cstheme="minorHAnsi"/>
        </w:rPr>
        <w:t xml:space="preserve">, Will Alstergren AO, said that the visit from Principal Family Court Judge Jacquelyn Moran </w:t>
      </w:r>
      <w:r w:rsidR="00914E14">
        <w:rPr>
          <w:rFonts w:cstheme="minorHAnsi"/>
        </w:rPr>
        <w:t xml:space="preserve">and Judge Alayne Wills is an excellent opportunity for the courts to learn from each other </w:t>
      </w:r>
      <w:r w:rsidR="00B36DE3">
        <w:rPr>
          <w:rFonts w:cstheme="minorHAnsi"/>
        </w:rPr>
        <w:t xml:space="preserve">as we continue to </w:t>
      </w:r>
      <w:r w:rsidR="003B5860">
        <w:rPr>
          <w:rFonts w:cstheme="minorHAnsi"/>
        </w:rPr>
        <w:t xml:space="preserve">reform and </w:t>
      </w:r>
      <w:r w:rsidR="00914E14">
        <w:rPr>
          <w:rFonts w:cstheme="minorHAnsi"/>
        </w:rPr>
        <w:t>develop initiatives that</w:t>
      </w:r>
      <w:r w:rsidR="00B36DE3">
        <w:rPr>
          <w:rFonts w:cstheme="minorHAnsi"/>
        </w:rPr>
        <w:t xml:space="preserve"> aim to </w:t>
      </w:r>
      <w:r w:rsidR="00DA47EB">
        <w:rPr>
          <w:rFonts w:cstheme="minorHAnsi"/>
        </w:rPr>
        <w:t xml:space="preserve">improve </w:t>
      </w:r>
      <w:r w:rsidR="00B36DE3">
        <w:rPr>
          <w:rFonts w:cstheme="minorHAnsi"/>
        </w:rPr>
        <w:t>family law systems</w:t>
      </w:r>
      <w:r w:rsidR="00465D49">
        <w:rPr>
          <w:rFonts w:cstheme="minorHAnsi"/>
        </w:rPr>
        <w:t xml:space="preserve">. </w:t>
      </w:r>
      <w:r w:rsidR="00DA47EB">
        <w:rPr>
          <w:rFonts w:cstheme="minorHAnsi"/>
        </w:rPr>
        <w:t xml:space="preserve"> </w:t>
      </w:r>
      <w:r w:rsidR="00914E14">
        <w:rPr>
          <w:rFonts w:cstheme="minorHAnsi"/>
        </w:rPr>
        <w:t xml:space="preserve"> </w:t>
      </w:r>
    </w:p>
    <w:p w14:paraId="67B47406" w14:textId="063B477C" w:rsidR="0022065B" w:rsidRDefault="00DA47EB" w:rsidP="005C2A72">
      <w:pPr>
        <w:spacing w:before="240"/>
        <w:jc w:val="both"/>
        <w:rPr>
          <w:rFonts w:cstheme="minorHAnsi"/>
        </w:rPr>
      </w:pPr>
      <w:r>
        <w:rPr>
          <w:rFonts w:cstheme="minorHAnsi"/>
          <w:bCs/>
          <w:lang w:eastAsia="zh-CN"/>
        </w:rPr>
        <w:t>“</w:t>
      </w:r>
      <w:r w:rsidRPr="00752C1E">
        <w:rPr>
          <w:rFonts w:cstheme="minorHAnsi"/>
          <w:bCs/>
          <w:lang w:eastAsia="zh-CN"/>
        </w:rPr>
        <w:t>Family Violen</w:t>
      </w:r>
      <w:r>
        <w:rPr>
          <w:rFonts w:cstheme="minorHAnsi"/>
          <w:bCs/>
          <w:lang w:eastAsia="zh-CN"/>
        </w:rPr>
        <w:t xml:space="preserve">ce in our society is a </w:t>
      </w:r>
      <w:r w:rsidRPr="00752C1E">
        <w:rPr>
          <w:rFonts w:cstheme="minorHAnsi"/>
          <w:bCs/>
          <w:lang w:eastAsia="zh-CN"/>
        </w:rPr>
        <w:t>disgrace</w:t>
      </w:r>
      <w:r w:rsidR="00B0378F">
        <w:rPr>
          <w:rFonts w:cstheme="minorHAnsi"/>
          <w:bCs/>
          <w:lang w:eastAsia="zh-CN"/>
        </w:rPr>
        <w:t xml:space="preserve"> both nationally and internationally.</w:t>
      </w:r>
      <w:r w:rsidR="00790059">
        <w:rPr>
          <w:rFonts w:cstheme="minorHAnsi"/>
          <w:bCs/>
          <w:lang w:eastAsia="zh-CN"/>
        </w:rPr>
        <w:t xml:space="preserve"> </w:t>
      </w:r>
      <w:r w:rsidR="008656E0">
        <w:rPr>
          <w:rFonts w:cstheme="minorHAnsi"/>
          <w:bCs/>
          <w:lang w:eastAsia="zh-CN"/>
        </w:rPr>
        <w:t xml:space="preserve">It should not be tolerated and </w:t>
      </w:r>
      <w:r w:rsidR="00587690">
        <w:rPr>
          <w:rFonts w:cstheme="minorHAnsi"/>
          <w:bCs/>
          <w:lang w:eastAsia="zh-CN"/>
        </w:rPr>
        <w:t>we as c</w:t>
      </w:r>
      <w:r w:rsidR="00B649D5">
        <w:rPr>
          <w:rFonts w:cstheme="minorHAnsi"/>
          <w:bCs/>
          <w:lang w:eastAsia="zh-CN"/>
        </w:rPr>
        <w:t>ourts have an obligation t</w:t>
      </w:r>
      <w:r w:rsidR="00587690">
        <w:rPr>
          <w:rFonts w:cstheme="minorHAnsi"/>
          <w:bCs/>
          <w:lang w:eastAsia="zh-CN"/>
        </w:rPr>
        <w:t>o do what we can to diminish it</w:t>
      </w:r>
      <w:r w:rsidR="00B649D5">
        <w:rPr>
          <w:rFonts w:cstheme="minorHAnsi"/>
          <w:bCs/>
          <w:lang w:eastAsia="zh-CN"/>
        </w:rPr>
        <w:t xml:space="preserve">s impact on </w:t>
      </w:r>
      <w:r w:rsidR="002C7C29">
        <w:rPr>
          <w:rFonts w:cstheme="minorHAnsi"/>
          <w:bCs/>
          <w:lang w:eastAsia="zh-CN"/>
        </w:rPr>
        <w:t xml:space="preserve">those who </w:t>
      </w:r>
      <w:r w:rsidR="00587690">
        <w:rPr>
          <w:rFonts w:cstheme="minorHAnsi"/>
          <w:bCs/>
          <w:lang w:eastAsia="zh-CN"/>
        </w:rPr>
        <w:t>come into the c</w:t>
      </w:r>
      <w:r w:rsidR="00373445">
        <w:rPr>
          <w:rFonts w:cstheme="minorHAnsi"/>
          <w:bCs/>
          <w:lang w:eastAsia="zh-CN"/>
        </w:rPr>
        <w:t>ourt system.</w:t>
      </w:r>
      <w:r w:rsidR="00587690">
        <w:rPr>
          <w:rFonts w:cstheme="minorHAnsi"/>
          <w:bCs/>
          <w:lang w:eastAsia="zh-CN"/>
        </w:rPr>
        <w:t xml:space="preserve"> </w:t>
      </w:r>
      <w:r w:rsidR="00782D70">
        <w:rPr>
          <w:rFonts w:cstheme="minorHAnsi"/>
          <w:bCs/>
          <w:lang w:eastAsia="zh-CN"/>
        </w:rPr>
        <w:t>As part of that obligation, i</w:t>
      </w:r>
      <w:r>
        <w:rPr>
          <w:rFonts w:cstheme="minorHAnsi"/>
          <w:bCs/>
          <w:lang w:eastAsia="zh-CN"/>
        </w:rPr>
        <w:t xml:space="preserve">t is </w:t>
      </w:r>
      <w:r>
        <w:rPr>
          <w:rFonts w:cstheme="minorHAnsi"/>
        </w:rPr>
        <w:t xml:space="preserve">incredibly important that we all continue to maintain focus on </w:t>
      </w:r>
      <w:r w:rsidRPr="00752C1E">
        <w:rPr>
          <w:rFonts w:cstheme="minorHAnsi"/>
          <w:bCs/>
          <w:lang w:eastAsia="zh-CN"/>
        </w:rPr>
        <w:t>improv</w:t>
      </w:r>
      <w:r>
        <w:rPr>
          <w:rFonts w:cstheme="minorHAnsi"/>
          <w:bCs/>
          <w:lang w:eastAsia="zh-CN"/>
        </w:rPr>
        <w:t xml:space="preserve">ing </w:t>
      </w:r>
      <w:r w:rsidRPr="00752C1E">
        <w:rPr>
          <w:rFonts w:cstheme="minorHAnsi"/>
          <w:bCs/>
          <w:lang w:eastAsia="zh-CN"/>
        </w:rPr>
        <w:t>the outcome of matters involving family violence</w:t>
      </w:r>
      <w:r>
        <w:rPr>
          <w:rFonts w:cstheme="minorHAnsi"/>
          <w:bCs/>
          <w:lang w:eastAsia="zh-CN"/>
        </w:rPr>
        <w:t xml:space="preserve"> and other risks</w:t>
      </w:r>
      <w:r w:rsidR="00862593">
        <w:rPr>
          <w:rFonts w:cstheme="minorHAnsi"/>
          <w:bCs/>
          <w:lang w:eastAsia="zh-CN"/>
        </w:rPr>
        <w:t xml:space="preserve">, and </w:t>
      </w:r>
      <w:r w:rsidRPr="00752C1E">
        <w:rPr>
          <w:rFonts w:cstheme="minorHAnsi"/>
          <w:bCs/>
          <w:lang w:eastAsia="zh-CN"/>
        </w:rPr>
        <w:t>to keep children and vulnerab</w:t>
      </w:r>
      <w:r w:rsidR="00587690">
        <w:rPr>
          <w:rFonts w:cstheme="minorHAnsi"/>
          <w:bCs/>
          <w:lang w:eastAsia="zh-CN"/>
        </w:rPr>
        <w:t>le parties safe. W</w:t>
      </w:r>
      <w:r w:rsidR="0022065B">
        <w:rPr>
          <w:rFonts w:cstheme="minorHAnsi"/>
          <w:bCs/>
          <w:lang w:eastAsia="zh-CN"/>
        </w:rPr>
        <w:t xml:space="preserve">ith that in mind, we </w:t>
      </w:r>
      <w:r w:rsidR="0022065B">
        <w:rPr>
          <w:rFonts w:cstheme="minorHAnsi"/>
        </w:rPr>
        <w:t xml:space="preserve">are absolutely delighted to welcome our New Zealand counterparts to Australia. </w:t>
      </w:r>
    </w:p>
    <w:p w14:paraId="5B28E2D3" w14:textId="3677E839" w:rsidR="0022065B" w:rsidRPr="005C2A72" w:rsidRDefault="0022065B" w:rsidP="005C2A72">
      <w:pPr>
        <w:spacing w:before="240"/>
        <w:jc w:val="both"/>
        <w:rPr>
          <w:rFonts w:cstheme="minorHAnsi"/>
        </w:rPr>
      </w:pPr>
      <w:r>
        <w:rPr>
          <w:rFonts w:cstheme="minorHAnsi"/>
        </w:rPr>
        <w:t>“</w:t>
      </w:r>
      <w:r w:rsidR="004264EE">
        <w:rPr>
          <w:rFonts w:cstheme="minorHAnsi"/>
        </w:rPr>
        <w:t>It comes at a time when our Court</w:t>
      </w:r>
      <w:r w:rsidR="00587690">
        <w:rPr>
          <w:rFonts w:cstheme="minorHAnsi"/>
        </w:rPr>
        <w:t>s</w:t>
      </w:r>
      <w:r w:rsidR="004264EE">
        <w:rPr>
          <w:rFonts w:cstheme="minorHAnsi"/>
        </w:rPr>
        <w:t xml:space="preserve"> </w:t>
      </w:r>
      <w:r w:rsidR="00587690">
        <w:rPr>
          <w:rFonts w:cstheme="minorHAnsi"/>
        </w:rPr>
        <w:t>have</w:t>
      </w:r>
      <w:r w:rsidR="00C03510">
        <w:rPr>
          <w:rFonts w:cstheme="minorHAnsi"/>
        </w:rPr>
        <w:t xml:space="preserve"> engaged in </w:t>
      </w:r>
      <w:r w:rsidR="001E3B27">
        <w:rPr>
          <w:rFonts w:cstheme="minorHAnsi"/>
        </w:rPr>
        <w:t xml:space="preserve">substantial reforms and </w:t>
      </w:r>
      <w:r>
        <w:rPr>
          <w:rFonts w:cstheme="minorHAnsi"/>
        </w:rPr>
        <w:t xml:space="preserve">successfully </w:t>
      </w:r>
      <w:hyperlink r:id="rId13" w:history="1">
        <w:r w:rsidRPr="001D100B">
          <w:rPr>
            <w:rStyle w:val="Hyperlink"/>
            <w:rFonts w:cstheme="minorHAnsi"/>
          </w:rPr>
          <w:t>launched</w:t>
        </w:r>
      </w:hyperlink>
      <w:r w:rsidR="00587690">
        <w:rPr>
          <w:rFonts w:cstheme="minorHAnsi"/>
        </w:rPr>
        <w:t xml:space="preserve"> the</w:t>
      </w:r>
      <w:r>
        <w:rPr>
          <w:rFonts w:cstheme="minorHAnsi"/>
        </w:rPr>
        <w:t xml:space="preserve"> risk-screening and safety initiative (known as the </w:t>
      </w:r>
      <w:hyperlink r:id="rId14" w:history="1">
        <w:r w:rsidRPr="001D100B">
          <w:rPr>
            <w:rStyle w:val="Hyperlink"/>
            <w:rFonts w:cstheme="minorHAnsi"/>
          </w:rPr>
          <w:t>Lighthouse</w:t>
        </w:r>
      </w:hyperlink>
      <w:r>
        <w:rPr>
          <w:rFonts w:cstheme="minorHAnsi"/>
        </w:rPr>
        <w:t>) late last year, which has generated significant intere</w:t>
      </w:r>
      <w:r w:rsidR="005C2A72">
        <w:rPr>
          <w:rFonts w:cstheme="minorHAnsi"/>
        </w:rPr>
        <w:t>st from courts internationally.</w:t>
      </w:r>
    </w:p>
    <w:p w14:paraId="4A929D6E" w14:textId="77777777" w:rsidR="00DA47EB" w:rsidRDefault="00DA47EB" w:rsidP="005C2A72">
      <w:pPr>
        <w:spacing w:before="240"/>
        <w:jc w:val="both"/>
        <w:rPr>
          <w:rFonts w:cstheme="minorHAnsi"/>
          <w:bCs/>
          <w:lang w:eastAsia="zh-CN"/>
        </w:rPr>
      </w:pPr>
      <w:r>
        <w:rPr>
          <w:rFonts w:cstheme="minorHAnsi"/>
          <w:bCs/>
          <w:lang w:eastAsia="zh-CN"/>
        </w:rPr>
        <w:t>“</w:t>
      </w:r>
      <w:r w:rsidRPr="00752C1E">
        <w:rPr>
          <w:rFonts w:cstheme="minorHAnsi"/>
          <w:bCs/>
          <w:lang w:eastAsia="zh-CN"/>
        </w:rPr>
        <w:t xml:space="preserve">Lighthouse focuses on the safety </w:t>
      </w:r>
      <w:r>
        <w:rPr>
          <w:rFonts w:cstheme="minorHAnsi"/>
          <w:bCs/>
          <w:lang w:eastAsia="zh-CN"/>
        </w:rPr>
        <w:t xml:space="preserve">and support </w:t>
      </w:r>
      <w:r w:rsidRPr="00752C1E">
        <w:rPr>
          <w:rFonts w:cstheme="minorHAnsi"/>
          <w:bCs/>
          <w:lang w:eastAsia="zh-CN"/>
        </w:rPr>
        <w:t>of children and vulnerable parties</w:t>
      </w:r>
      <w:r>
        <w:rPr>
          <w:rFonts w:cstheme="minorHAnsi"/>
          <w:bCs/>
          <w:lang w:eastAsia="zh-CN"/>
        </w:rPr>
        <w:t xml:space="preserve"> </w:t>
      </w:r>
      <w:r w:rsidRPr="00752C1E">
        <w:rPr>
          <w:rFonts w:cstheme="minorHAnsi"/>
          <w:bCs/>
          <w:lang w:eastAsia="zh-CN"/>
        </w:rPr>
        <w:t xml:space="preserve">through the early identification of safety risks at the very start of the proceedings, and </w:t>
      </w:r>
      <w:r>
        <w:rPr>
          <w:rFonts w:cstheme="minorHAnsi"/>
          <w:bCs/>
          <w:lang w:eastAsia="zh-CN"/>
        </w:rPr>
        <w:t xml:space="preserve">by </w:t>
      </w:r>
      <w:r w:rsidRPr="00752C1E">
        <w:rPr>
          <w:rFonts w:cstheme="minorHAnsi"/>
          <w:bCs/>
          <w:lang w:eastAsia="zh-CN"/>
        </w:rPr>
        <w:t xml:space="preserve">utilising the most effective and appropriate case management pathway </w:t>
      </w:r>
      <w:r>
        <w:rPr>
          <w:rFonts w:cstheme="minorHAnsi"/>
          <w:bCs/>
          <w:lang w:eastAsia="zh-CN"/>
        </w:rPr>
        <w:t>tailored to meet the needs of each individual case</w:t>
      </w:r>
      <w:r w:rsidR="001D100B">
        <w:rPr>
          <w:rFonts w:cstheme="minorHAnsi"/>
          <w:bCs/>
          <w:lang w:eastAsia="zh-CN"/>
        </w:rPr>
        <w:t xml:space="preserve">. This </w:t>
      </w:r>
      <w:r>
        <w:rPr>
          <w:rFonts w:cstheme="minorHAnsi"/>
          <w:bCs/>
          <w:lang w:eastAsia="zh-CN"/>
        </w:rPr>
        <w:t>includ</w:t>
      </w:r>
      <w:r w:rsidR="001D100B">
        <w:rPr>
          <w:rFonts w:cstheme="minorHAnsi"/>
          <w:bCs/>
          <w:lang w:eastAsia="zh-CN"/>
        </w:rPr>
        <w:t>es</w:t>
      </w:r>
      <w:r>
        <w:rPr>
          <w:rFonts w:cstheme="minorHAnsi"/>
          <w:bCs/>
          <w:lang w:eastAsia="zh-CN"/>
        </w:rPr>
        <w:t xml:space="preserve"> a high risk court list with specially trained judges, registrars and staff.  These procedures also allow the Courts to make</w:t>
      </w:r>
      <w:r w:rsidRPr="00752C1E">
        <w:rPr>
          <w:rFonts w:cstheme="minorHAnsi"/>
          <w:bCs/>
          <w:lang w:eastAsia="zh-CN"/>
        </w:rPr>
        <w:t xml:space="preserve"> referrals</w:t>
      </w:r>
      <w:r w:rsidR="00286DFC">
        <w:rPr>
          <w:rFonts w:cstheme="minorHAnsi"/>
          <w:bCs/>
          <w:lang w:eastAsia="zh-CN"/>
        </w:rPr>
        <w:t>, utilising highly skilled Triage Counsellors,</w:t>
      </w:r>
      <w:r w:rsidRPr="00752C1E">
        <w:rPr>
          <w:rFonts w:cstheme="minorHAnsi"/>
          <w:bCs/>
          <w:lang w:eastAsia="zh-CN"/>
        </w:rPr>
        <w:t xml:space="preserve"> to much needed support and health services</w:t>
      </w:r>
      <w:r>
        <w:rPr>
          <w:rFonts w:cstheme="minorHAnsi"/>
          <w:bCs/>
          <w:lang w:eastAsia="zh-CN"/>
        </w:rPr>
        <w:t>,</w:t>
      </w:r>
      <w:r w:rsidRPr="00752C1E">
        <w:rPr>
          <w:rFonts w:cstheme="minorHAnsi"/>
          <w:bCs/>
          <w:lang w:eastAsia="zh-CN"/>
        </w:rPr>
        <w:t xml:space="preserve"> particularly for people at high risk</w:t>
      </w:r>
      <w:r w:rsidR="00286DFC">
        <w:rPr>
          <w:rFonts w:cstheme="minorHAnsi"/>
          <w:bCs/>
          <w:lang w:eastAsia="zh-CN"/>
        </w:rPr>
        <w:t>, including Aboriginal and Torres Strait families at high risk</w:t>
      </w:r>
      <w:r w:rsidRPr="00752C1E">
        <w:rPr>
          <w:rFonts w:cstheme="minorHAnsi"/>
          <w:bCs/>
          <w:lang w:eastAsia="zh-CN"/>
        </w:rPr>
        <w:t>.</w:t>
      </w:r>
    </w:p>
    <w:p w14:paraId="3F3AFBD7" w14:textId="3E0F2D46" w:rsidR="00DA47EB" w:rsidRPr="00752C1E" w:rsidRDefault="00DA47EB" w:rsidP="005C2A72">
      <w:pPr>
        <w:spacing w:before="240"/>
        <w:jc w:val="both"/>
        <w:rPr>
          <w:rFonts w:cstheme="minorHAnsi"/>
          <w:bCs/>
          <w:lang w:eastAsia="zh-CN"/>
        </w:rPr>
      </w:pPr>
      <w:r>
        <w:rPr>
          <w:rFonts w:cstheme="minorHAnsi"/>
          <w:bCs/>
          <w:lang w:eastAsia="zh-CN"/>
        </w:rPr>
        <w:t xml:space="preserve">“We look forward to </w:t>
      </w:r>
      <w:r w:rsidR="007B38F8">
        <w:rPr>
          <w:rFonts w:cstheme="minorHAnsi"/>
          <w:bCs/>
          <w:lang w:eastAsia="zh-CN"/>
        </w:rPr>
        <w:t xml:space="preserve">presenting information on our initiatives, and importantly, we look forward to </w:t>
      </w:r>
      <w:r>
        <w:rPr>
          <w:rFonts w:cstheme="minorHAnsi"/>
          <w:bCs/>
          <w:lang w:eastAsia="zh-CN"/>
        </w:rPr>
        <w:t>hearing about the great work that the New Zealand Family Court is implementing</w:t>
      </w:r>
      <w:r w:rsidR="007B38F8">
        <w:rPr>
          <w:rFonts w:cstheme="minorHAnsi"/>
          <w:bCs/>
          <w:lang w:eastAsia="zh-CN"/>
        </w:rPr>
        <w:t>,”</w:t>
      </w:r>
      <w:r w:rsidR="005C2A72">
        <w:rPr>
          <w:rFonts w:cstheme="minorHAnsi"/>
          <w:bCs/>
          <w:lang w:eastAsia="zh-CN"/>
        </w:rPr>
        <w:t xml:space="preserve"> Chief Justice Alstergren said.</w:t>
      </w:r>
    </w:p>
    <w:p w14:paraId="52DEADE2" w14:textId="77777777" w:rsidR="00876CEC" w:rsidRPr="00876CEC" w:rsidRDefault="00876CEC" w:rsidP="005C2A72">
      <w:pPr>
        <w:spacing w:before="240"/>
        <w:jc w:val="both"/>
        <w:rPr>
          <w:iCs/>
          <w:lang w:val="en-NZ" w:eastAsia="zh-CN"/>
        </w:rPr>
      </w:pPr>
      <w:r w:rsidRPr="00876CEC">
        <w:rPr>
          <w:iCs/>
          <w:lang w:val="en-NZ" w:eastAsia="zh-CN"/>
        </w:rPr>
        <w:lastRenderedPageBreak/>
        <w:t>“Family and sexual violence is a big focus of the work of the Family Court in New Zealand and we have a number of important initiatives underway,” Principal Family Court Judge Jacquelyn Moran said.</w:t>
      </w:r>
    </w:p>
    <w:p w14:paraId="75BC89E2" w14:textId="525B55B1" w:rsidR="00876CEC" w:rsidRPr="00876CEC" w:rsidRDefault="00876CEC" w:rsidP="005C2A72">
      <w:pPr>
        <w:spacing w:before="240"/>
        <w:jc w:val="both"/>
        <w:rPr>
          <w:iCs/>
          <w:lang w:val="en-NZ" w:eastAsia="zh-CN"/>
        </w:rPr>
      </w:pPr>
      <w:r w:rsidRPr="00876CEC">
        <w:rPr>
          <w:iCs/>
          <w:lang w:val="en-NZ" w:eastAsia="zh-CN"/>
        </w:rPr>
        <w:t>“It is a fantastic opportunity to hear from the people at the forefront of the Lighthouse project and the triage response. I am keen to see if we could implement something similar in Aotearoa</w:t>
      </w:r>
      <w:r w:rsidR="00862593">
        <w:rPr>
          <w:iCs/>
          <w:lang w:val="en-NZ" w:eastAsia="zh-CN"/>
        </w:rPr>
        <w:t>, New Zealand</w:t>
      </w:r>
      <w:r w:rsidRPr="00876CEC">
        <w:rPr>
          <w:iCs/>
          <w:lang w:val="en-NZ" w:eastAsia="zh-CN"/>
        </w:rPr>
        <w:t xml:space="preserve">.” </w:t>
      </w:r>
    </w:p>
    <w:p w14:paraId="79441375" w14:textId="60010566" w:rsidR="002908E3" w:rsidRPr="005C2A72" w:rsidRDefault="00876CEC" w:rsidP="005C2A72">
      <w:pPr>
        <w:spacing w:before="240"/>
        <w:jc w:val="both"/>
        <w:rPr>
          <w:iCs/>
          <w:lang w:val="en-NZ" w:eastAsia="zh-CN"/>
        </w:rPr>
      </w:pPr>
      <w:r w:rsidRPr="00876CEC">
        <w:rPr>
          <w:iCs/>
          <w:lang w:val="en-NZ" w:eastAsia="zh-CN"/>
        </w:rPr>
        <w:t>Judge Moran said the family jurisdictions in Australia and New Zealand have always had a strong relationship and she welcomed the chance to meet colleagues in person again to share initiatives.</w:t>
      </w:r>
    </w:p>
    <w:p w14:paraId="43AB79AC" w14:textId="77777777" w:rsidR="00752C1E" w:rsidRPr="008F7E2A" w:rsidRDefault="007B38F8" w:rsidP="005C2A72">
      <w:pPr>
        <w:pStyle w:val="Heading2"/>
      </w:pPr>
      <w:r w:rsidRPr="005C2A72">
        <w:t>Federal</w:t>
      </w:r>
      <w:r w:rsidRPr="008F7E2A">
        <w:t xml:space="preserve"> Circuit and Family Court of Australia s</w:t>
      </w:r>
      <w:r w:rsidR="00752C1E" w:rsidRPr="008F7E2A">
        <w:t>tatistics</w:t>
      </w:r>
    </w:p>
    <w:p w14:paraId="2467933A" w14:textId="3B2C73E2" w:rsidR="00752C1E" w:rsidRPr="00752C1E" w:rsidRDefault="00752C1E" w:rsidP="00752C1E">
      <w:pPr>
        <w:jc w:val="both"/>
        <w:rPr>
          <w:rFonts w:cstheme="minorHAnsi"/>
          <w:bCs/>
          <w:lang w:eastAsia="zh-CN"/>
        </w:rPr>
      </w:pPr>
      <w:r>
        <w:rPr>
          <w:rFonts w:cstheme="minorHAnsi"/>
          <w:bCs/>
          <w:lang w:eastAsia="zh-CN"/>
        </w:rPr>
        <w:t xml:space="preserve">Court </w:t>
      </w:r>
      <w:r w:rsidRPr="00752C1E">
        <w:rPr>
          <w:rFonts w:cstheme="minorHAnsi"/>
          <w:bCs/>
          <w:lang w:eastAsia="zh-CN"/>
        </w:rPr>
        <w:t xml:space="preserve">data </w:t>
      </w:r>
      <w:r>
        <w:rPr>
          <w:rFonts w:cstheme="minorHAnsi"/>
          <w:bCs/>
          <w:lang w:eastAsia="zh-CN"/>
        </w:rPr>
        <w:t>shows that ma</w:t>
      </w:r>
      <w:r w:rsidRPr="00752C1E">
        <w:rPr>
          <w:rFonts w:cstheme="minorHAnsi"/>
          <w:bCs/>
          <w:lang w:eastAsia="zh-CN"/>
        </w:rPr>
        <w:t xml:space="preserve">jor risk factors are alleged </w:t>
      </w:r>
      <w:r w:rsidR="00304655">
        <w:rPr>
          <w:rFonts w:cstheme="minorHAnsi"/>
          <w:bCs/>
          <w:lang w:eastAsia="zh-CN"/>
        </w:rPr>
        <w:t>in</w:t>
      </w:r>
      <w:r w:rsidR="00304655" w:rsidRPr="00752C1E">
        <w:rPr>
          <w:rFonts w:cstheme="minorHAnsi"/>
          <w:bCs/>
          <w:lang w:eastAsia="zh-CN"/>
        </w:rPr>
        <w:t xml:space="preserve"> </w:t>
      </w:r>
      <w:r w:rsidRPr="00752C1E">
        <w:rPr>
          <w:rFonts w:cstheme="minorHAnsi"/>
          <w:bCs/>
          <w:lang w:eastAsia="zh-CN"/>
        </w:rPr>
        <w:t xml:space="preserve">the following proportions </w:t>
      </w:r>
      <w:r w:rsidR="002A36E3">
        <w:rPr>
          <w:rFonts w:cstheme="minorHAnsi"/>
          <w:bCs/>
          <w:lang w:eastAsia="zh-CN"/>
        </w:rPr>
        <w:t>in</w:t>
      </w:r>
      <w:r w:rsidRPr="00752C1E">
        <w:rPr>
          <w:rFonts w:cstheme="minorHAnsi"/>
          <w:bCs/>
          <w:lang w:eastAsia="zh-CN"/>
        </w:rPr>
        <w:t xml:space="preserve"> parenting cases filed in our Courts:</w:t>
      </w:r>
    </w:p>
    <w:p w14:paraId="3487E672" w14:textId="77777777" w:rsidR="00752C1E" w:rsidRPr="00752C1E" w:rsidRDefault="00752C1E" w:rsidP="00752C1E">
      <w:pPr>
        <w:pStyle w:val="ListParagraph"/>
        <w:numPr>
          <w:ilvl w:val="0"/>
          <w:numId w:val="10"/>
        </w:numPr>
        <w:jc w:val="both"/>
        <w:rPr>
          <w:rFonts w:cstheme="minorHAnsi"/>
          <w:bCs/>
          <w:lang w:eastAsia="zh-CN"/>
        </w:rPr>
      </w:pPr>
      <w:r w:rsidRPr="00752C1E">
        <w:rPr>
          <w:rFonts w:cstheme="minorHAnsi"/>
          <w:bCs/>
          <w:lang w:eastAsia="zh-CN"/>
        </w:rPr>
        <w:t>Family violence - in 80% of matters;</w:t>
      </w:r>
    </w:p>
    <w:p w14:paraId="5CA07D1A" w14:textId="77777777" w:rsidR="00752C1E" w:rsidRPr="00752C1E" w:rsidRDefault="00752C1E" w:rsidP="00752C1E">
      <w:pPr>
        <w:pStyle w:val="ListParagraph"/>
        <w:numPr>
          <w:ilvl w:val="0"/>
          <w:numId w:val="10"/>
        </w:numPr>
        <w:jc w:val="both"/>
        <w:rPr>
          <w:rFonts w:cstheme="minorHAnsi"/>
          <w:bCs/>
          <w:lang w:eastAsia="zh-CN"/>
        </w:rPr>
      </w:pPr>
      <w:r w:rsidRPr="00752C1E">
        <w:rPr>
          <w:rFonts w:cstheme="minorHAnsi"/>
          <w:bCs/>
          <w:lang w:eastAsia="zh-CN"/>
        </w:rPr>
        <w:t>Child abuse of risk of child abuse – in 70% of matters;</w:t>
      </w:r>
    </w:p>
    <w:p w14:paraId="13EC388C" w14:textId="77777777" w:rsidR="00752C1E" w:rsidRPr="00752C1E" w:rsidRDefault="00752C1E" w:rsidP="00752C1E">
      <w:pPr>
        <w:pStyle w:val="ListParagraph"/>
        <w:numPr>
          <w:ilvl w:val="0"/>
          <w:numId w:val="10"/>
        </w:numPr>
        <w:jc w:val="both"/>
        <w:rPr>
          <w:rFonts w:cstheme="minorHAnsi"/>
          <w:bCs/>
          <w:lang w:eastAsia="zh-CN"/>
        </w:rPr>
      </w:pPr>
      <w:r w:rsidRPr="00752C1E">
        <w:rPr>
          <w:rFonts w:cstheme="minorHAnsi"/>
          <w:bCs/>
          <w:lang w:eastAsia="zh-CN"/>
        </w:rPr>
        <w:t>Mental health issues harming a child or putting a child at risk – in 58% of matters; and</w:t>
      </w:r>
    </w:p>
    <w:p w14:paraId="68420E20" w14:textId="77777777" w:rsidR="00752C1E" w:rsidRPr="00752C1E" w:rsidRDefault="00752C1E" w:rsidP="00752C1E">
      <w:pPr>
        <w:pStyle w:val="ListParagraph"/>
        <w:numPr>
          <w:ilvl w:val="0"/>
          <w:numId w:val="10"/>
        </w:numPr>
        <w:jc w:val="both"/>
        <w:rPr>
          <w:rFonts w:cstheme="minorHAnsi"/>
          <w:bCs/>
          <w:lang w:eastAsia="zh-CN"/>
        </w:rPr>
      </w:pPr>
      <w:r w:rsidRPr="00752C1E">
        <w:rPr>
          <w:rFonts w:cstheme="minorHAnsi"/>
          <w:bCs/>
          <w:lang w:eastAsia="zh-CN"/>
        </w:rPr>
        <w:t>Drug, alcohol or substance misuse harming a child or putting a child at risk – in 53% of matters</w:t>
      </w:r>
      <w:r w:rsidR="00523ACD">
        <w:rPr>
          <w:rFonts w:cstheme="minorHAnsi"/>
          <w:bCs/>
          <w:lang w:eastAsia="zh-CN"/>
        </w:rPr>
        <w:t>;</w:t>
      </w:r>
    </w:p>
    <w:p w14:paraId="6BFFB491" w14:textId="13D1224F" w:rsidR="008F43D4" w:rsidRPr="005C2A72" w:rsidRDefault="00523ACD" w:rsidP="005C2A72">
      <w:pPr>
        <w:jc w:val="both"/>
        <w:rPr>
          <w:rFonts w:ascii="Calibri" w:hAnsi="Calibri" w:cs="Calibri"/>
          <w:bCs/>
          <w:lang w:eastAsia="zh-CN"/>
        </w:rPr>
      </w:pPr>
      <w:r>
        <w:rPr>
          <w:rFonts w:cstheme="minorHAnsi"/>
          <w:bCs/>
          <w:lang w:eastAsia="zh-CN"/>
        </w:rPr>
        <w:t>a</w:t>
      </w:r>
      <w:r w:rsidR="00752C1E" w:rsidRPr="00752C1E">
        <w:rPr>
          <w:rFonts w:cstheme="minorHAnsi"/>
          <w:bCs/>
          <w:lang w:eastAsia="zh-CN"/>
        </w:rPr>
        <w:t xml:space="preserve">nd the data reveals that these cases do not just have one risk factor in them.  In 66% of matters the parties disclosed four or more risk factors – a prevalence much higher than previously understood.  </w:t>
      </w:r>
      <w:r>
        <w:rPr>
          <w:rFonts w:cstheme="minorHAnsi"/>
          <w:bCs/>
          <w:lang w:eastAsia="zh-CN"/>
        </w:rPr>
        <w:t>In fact</w:t>
      </w:r>
      <w:r w:rsidR="00752C1E" w:rsidRPr="00752C1E">
        <w:rPr>
          <w:rFonts w:cstheme="minorHAnsi"/>
          <w:bCs/>
          <w:lang w:eastAsia="zh-CN"/>
        </w:rPr>
        <w:t>, almost 80% of all parenting cases filed last financial year were referred to State or Territory child welfare agencies due to the risks alleged.</w:t>
      </w:r>
      <w:r w:rsidR="00752C1E">
        <w:rPr>
          <w:rFonts w:ascii="Calibri" w:hAnsi="Calibri" w:cs="Calibri"/>
          <w:bCs/>
          <w:lang w:eastAsia="zh-CN"/>
        </w:rPr>
        <w:t xml:space="preserve"> </w:t>
      </w:r>
    </w:p>
    <w:p w14:paraId="7AE6B697" w14:textId="2A26ED60" w:rsidR="008F43D4" w:rsidRDefault="008F43D4" w:rsidP="005C2A72">
      <w:pPr>
        <w:pStyle w:val="Heading2"/>
        <w:rPr>
          <w:noProof/>
        </w:rPr>
      </w:pPr>
      <w:r w:rsidRPr="008F43D4">
        <w:rPr>
          <w:noProof/>
        </w:rPr>
        <w:t>Further information</w:t>
      </w:r>
    </w:p>
    <w:p w14:paraId="36AD7C8A" w14:textId="6825CFBB" w:rsidR="007B38F8" w:rsidRDefault="007B38F8" w:rsidP="00D54EE1">
      <w:pPr>
        <w:pStyle w:val="ListParagraph"/>
        <w:numPr>
          <w:ilvl w:val="0"/>
          <w:numId w:val="12"/>
        </w:numPr>
        <w:rPr>
          <w:noProof/>
        </w:rPr>
      </w:pPr>
      <w:r>
        <w:rPr>
          <w:noProof/>
        </w:rPr>
        <w:t xml:space="preserve">More information on </w:t>
      </w:r>
      <w:r w:rsidR="00A44A4A">
        <w:rPr>
          <w:noProof/>
        </w:rPr>
        <w:t xml:space="preserve">family violence initiatives in the Federal Circuit and Family Court of Australia is available from the </w:t>
      </w:r>
      <w:r>
        <w:rPr>
          <w:noProof/>
        </w:rPr>
        <w:t xml:space="preserve">Courts’ </w:t>
      </w:r>
      <w:hyperlink r:id="rId15" w:history="1">
        <w:r w:rsidRPr="00A44A4A">
          <w:rPr>
            <w:rStyle w:val="Hyperlink"/>
            <w:noProof/>
          </w:rPr>
          <w:t>website</w:t>
        </w:r>
      </w:hyperlink>
      <w:r>
        <w:rPr>
          <w:noProof/>
        </w:rPr>
        <w:t xml:space="preserve">. </w:t>
      </w:r>
    </w:p>
    <w:p w14:paraId="03AAB42A" w14:textId="531227BF" w:rsidR="00793745" w:rsidRDefault="003C368C" w:rsidP="00D54EE1">
      <w:pPr>
        <w:pStyle w:val="ListParagraph"/>
        <w:numPr>
          <w:ilvl w:val="0"/>
          <w:numId w:val="12"/>
        </w:numPr>
        <w:rPr>
          <w:noProof/>
        </w:rPr>
      </w:pPr>
      <w:r>
        <w:rPr>
          <w:noProof/>
        </w:rPr>
        <w:t xml:space="preserve">More information on the New Zealand Family Court is available from: </w:t>
      </w:r>
      <w:hyperlink r:id="rId16" w:history="1">
        <w:r w:rsidRPr="001A1C07">
          <w:rPr>
            <w:rStyle w:val="Hyperlink"/>
            <w:lang w:val="en-NZ"/>
          </w:rPr>
          <w:t>Family Co</w:t>
        </w:r>
        <w:r w:rsidRPr="001A1C07">
          <w:rPr>
            <w:rStyle w:val="Hyperlink"/>
            <w:lang w:val="en-NZ"/>
          </w:rPr>
          <w:t>u</w:t>
        </w:r>
        <w:r w:rsidRPr="001A1C07">
          <w:rPr>
            <w:rStyle w:val="Hyperlink"/>
            <w:lang w:val="en-NZ"/>
          </w:rPr>
          <w:t>rt | The District Court of New Zealand (districtcourts.govt.nz)</w:t>
        </w:r>
      </w:hyperlink>
    </w:p>
    <w:p w14:paraId="4388A04C" w14:textId="77777777" w:rsidR="00D54EE1" w:rsidRPr="00A4498B" w:rsidRDefault="00D54EE1" w:rsidP="005C2A72">
      <w:pPr>
        <w:spacing w:before="240" w:after="240"/>
        <w:rPr>
          <w:noProof/>
          <w:lang w:eastAsia="en-AU"/>
        </w:rPr>
      </w:pPr>
      <w:r w:rsidRPr="00A4498B">
        <w:rPr>
          <w:noProof/>
          <w:lang w:eastAsia="en-AU"/>
        </w:rPr>
        <w:t>-ENDS-</w:t>
      </w:r>
    </w:p>
    <w:p w14:paraId="4DD073EF" w14:textId="77777777" w:rsidR="000D08F0" w:rsidRDefault="00B22579" w:rsidP="000D08F0">
      <w:pPr>
        <w:autoSpaceDE w:val="0"/>
        <w:autoSpaceDN w:val="0"/>
        <w:rPr>
          <w:rFonts w:ascii="Calibri Light" w:eastAsiaTheme="minorEastAsia" w:hAnsi="Calibri Light" w:cs="Calibri Light"/>
          <w:noProof/>
          <w:color w:val="666666"/>
          <w:lang w:eastAsia="en-AU"/>
        </w:rPr>
      </w:pPr>
      <w:r>
        <w:rPr>
          <w:rFonts w:ascii="Calibri Light" w:eastAsiaTheme="minorEastAsia" w:hAnsi="Calibri Light" w:cs="Calibri Light"/>
          <w:b/>
          <w:bCs/>
          <w:noProof/>
          <w:color w:val="44546A"/>
          <w:lang w:eastAsia="en-AU"/>
        </w:rPr>
        <w:t>D</w:t>
      </w:r>
      <w:r w:rsidR="000D08F0">
        <w:rPr>
          <w:rFonts w:ascii="Calibri Light" w:eastAsiaTheme="minorEastAsia" w:hAnsi="Calibri Light" w:cs="Calibri Light"/>
          <w:b/>
          <w:bCs/>
          <w:noProof/>
          <w:color w:val="44546A"/>
          <w:lang w:eastAsia="en-AU"/>
        </w:rPr>
        <w:t>enise Healy</w:t>
      </w:r>
      <w:r w:rsidR="000C2763">
        <w:rPr>
          <w:rFonts w:ascii="Calibri Light" w:eastAsiaTheme="minorEastAsia" w:hAnsi="Calibri Light" w:cs="Calibri Light"/>
          <w:b/>
          <w:bCs/>
          <w:noProof/>
          <w:color w:val="44546A"/>
          <w:lang w:eastAsia="en-AU"/>
        </w:rPr>
        <w:t xml:space="preserve">, </w:t>
      </w:r>
      <w:r w:rsidR="000D08F0">
        <w:rPr>
          <w:rFonts w:ascii="Calibri Light" w:eastAsiaTheme="minorEastAsia" w:hAnsi="Calibri Light" w:cs="Calibri Light"/>
          <w:noProof/>
          <w:color w:val="666666"/>
          <w:lang w:eastAsia="en-AU"/>
        </w:rPr>
        <w:t>Director – Media &amp; Public Affairs</w:t>
      </w:r>
      <w:r w:rsidR="00716AB0">
        <w:rPr>
          <w:rFonts w:ascii="Calibri Light" w:eastAsiaTheme="minorEastAsia" w:hAnsi="Calibri Light" w:cs="Calibri Light"/>
          <w:noProof/>
          <w:color w:val="666666"/>
          <w:lang w:eastAsia="en-AU"/>
        </w:rPr>
        <w:t xml:space="preserve">, </w:t>
      </w:r>
      <w:r w:rsidR="000D08F0">
        <w:rPr>
          <w:rFonts w:ascii="Calibri Light" w:eastAsiaTheme="minorEastAsia" w:hAnsi="Calibri Light" w:cs="Calibri Light"/>
          <w:noProof/>
          <w:color w:val="666666"/>
          <w:lang w:eastAsia="en-AU"/>
        </w:rPr>
        <w:t xml:space="preserve">Federal Circuit and Family Court of Australia </w:t>
      </w:r>
    </w:p>
    <w:p w14:paraId="50FC843F" w14:textId="77777777" w:rsidR="00D54EE1" w:rsidRDefault="000D08F0" w:rsidP="000D08F0">
      <w:pPr>
        <w:rPr>
          <w:rFonts w:ascii="Calibri Light" w:eastAsiaTheme="minorEastAsia" w:hAnsi="Calibri Light" w:cs="Calibri Light"/>
          <w:noProof/>
          <w:color w:val="666666"/>
          <w:lang w:eastAsia="en-AU"/>
        </w:rPr>
      </w:pPr>
      <w:r>
        <w:rPr>
          <w:rFonts w:ascii="Calibri Light" w:eastAsiaTheme="minorEastAsia" w:hAnsi="Calibri Light" w:cs="Calibri Light"/>
          <w:b/>
          <w:bCs/>
          <w:noProof/>
          <w:color w:val="44546A"/>
          <w:lang w:eastAsia="en-AU"/>
        </w:rPr>
        <w:t xml:space="preserve">m. </w:t>
      </w:r>
      <w:r>
        <w:rPr>
          <w:rFonts w:ascii="Calibri Light" w:eastAsiaTheme="minorEastAsia" w:hAnsi="Calibri Light" w:cs="Calibri Light"/>
          <w:noProof/>
          <w:color w:val="666666"/>
          <w:lang w:eastAsia="en-AU"/>
        </w:rPr>
        <w:t>040</w:t>
      </w:r>
      <w:r w:rsidR="001953C0">
        <w:rPr>
          <w:rFonts w:ascii="Calibri Light" w:eastAsiaTheme="minorEastAsia" w:hAnsi="Calibri Light" w:cs="Calibri Light"/>
          <w:noProof/>
          <w:color w:val="666666"/>
          <w:lang w:eastAsia="en-AU"/>
        </w:rPr>
        <w:t>97</w:t>
      </w:r>
      <w:r>
        <w:rPr>
          <w:rFonts w:ascii="Calibri Light" w:eastAsiaTheme="minorEastAsia" w:hAnsi="Calibri Light" w:cs="Calibri Light"/>
          <w:noProof/>
          <w:color w:val="666666"/>
          <w:lang w:eastAsia="en-AU"/>
        </w:rPr>
        <w:t>43 695</w:t>
      </w:r>
      <w:r w:rsidR="001953C0">
        <w:rPr>
          <w:rFonts w:ascii="Calibri Light" w:eastAsiaTheme="minorEastAsia" w:hAnsi="Calibri Light" w:cs="Calibri Light"/>
          <w:noProof/>
          <w:color w:val="666666"/>
          <w:lang w:eastAsia="en-AU"/>
        </w:rPr>
        <w:t xml:space="preserve"> </w:t>
      </w:r>
      <w:r>
        <w:rPr>
          <w:rFonts w:ascii="Calibri Light" w:eastAsiaTheme="minorEastAsia" w:hAnsi="Calibri Light" w:cs="Calibri Light"/>
          <w:b/>
          <w:bCs/>
          <w:noProof/>
          <w:color w:val="44546A"/>
          <w:lang w:eastAsia="en-AU"/>
        </w:rPr>
        <w:t>e.</w:t>
      </w:r>
      <w:r>
        <w:rPr>
          <w:rFonts w:ascii="Calibri Light" w:eastAsiaTheme="minorEastAsia" w:hAnsi="Calibri Light" w:cs="Calibri Light"/>
          <w:b/>
          <w:bCs/>
          <w:noProof/>
          <w:color w:val="000000"/>
          <w:lang w:eastAsia="en-AU"/>
        </w:rPr>
        <w:t xml:space="preserve"> </w:t>
      </w:r>
      <w:hyperlink r:id="rId17" w:history="1">
        <w:r>
          <w:rPr>
            <w:rStyle w:val="Hyperlink"/>
            <w:rFonts w:ascii="Calibri Light" w:eastAsiaTheme="minorEastAsia" w:hAnsi="Calibri Light" w:cs="Calibri Light"/>
            <w:noProof/>
          </w:rPr>
          <w:t>denise.healy@fcfcoa.gov.au</w:t>
        </w:r>
      </w:hyperlink>
    </w:p>
    <w:sectPr w:rsidR="00D54EE1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E660DC5" w14:textId="77777777" w:rsidR="00692B52" w:rsidRDefault="00692B52" w:rsidP="00965ADE">
      <w:r>
        <w:separator/>
      </w:r>
    </w:p>
  </w:endnote>
  <w:endnote w:type="continuationSeparator" w:id="0">
    <w:p w14:paraId="4E7EE67E" w14:textId="77777777" w:rsidR="00692B52" w:rsidRDefault="00692B52" w:rsidP="00965A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nter">
    <w:altName w:val="Inter"/>
    <w:panose1 w:val="020B0502030000000004"/>
    <w:charset w:val="00"/>
    <w:family w:val="swiss"/>
    <w:pitch w:val="variable"/>
    <w:sig w:usb0="E00002FF" w:usb1="1200A1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D18768" w14:textId="77777777" w:rsidR="00CB38FD" w:rsidRDefault="00CB38F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16"/>
        <w:szCs w:val="16"/>
      </w:rPr>
      <w:id w:val="883228817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7CB059F2" w14:textId="07496160" w:rsidR="00D2548B" w:rsidRPr="00D2548B" w:rsidRDefault="00D2548B" w:rsidP="00D2548B">
        <w:pPr>
          <w:pStyle w:val="Footer"/>
          <w:pBdr>
            <w:top w:val="single" w:sz="4" w:space="1" w:color="D9D9D9" w:themeColor="background1" w:themeShade="D9"/>
          </w:pBdr>
          <w:jc w:val="right"/>
          <w:rPr>
            <w:b/>
            <w:bCs/>
            <w:sz w:val="16"/>
            <w:szCs w:val="16"/>
          </w:rPr>
        </w:pPr>
        <w:r w:rsidRPr="00D2548B">
          <w:rPr>
            <w:sz w:val="16"/>
            <w:szCs w:val="16"/>
          </w:rPr>
          <w:fldChar w:fldCharType="begin"/>
        </w:r>
        <w:r w:rsidRPr="00D2548B">
          <w:rPr>
            <w:sz w:val="16"/>
            <w:szCs w:val="16"/>
          </w:rPr>
          <w:instrText xml:space="preserve"> PAGE   \* MERGEFORMAT </w:instrText>
        </w:r>
        <w:r w:rsidRPr="00D2548B">
          <w:rPr>
            <w:sz w:val="16"/>
            <w:szCs w:val="16"/>
          </w:rPr>
          <w:fldChar w:fldCharType="separate"/>
        </w:r>
        <w:r w:rsidR="00BB11D6" w:rsidRPr="00BB11D6">
          <w:rPr>
            <w:b/>
            <w:bCs/>
            <w:noProof/>
            <w:sz w:val="16"/>
            <w:szCs w:val="16"/>
          </w:rPr>
          <w:t>2</w:t>
        </w:r>
        <w:r w:rsidRPr="00D2548B">
          <w:rPr>
            <w:b/>
            <w:bCs/>
            <w:noProof/>
            <w:sz w:val="16"/>
            <w:szCs w:val="16"/>
          </w:rPr>
          <w:fldChar w:fldCharType="end"/>
        </w:r>
        <w:r w:rsidRPr="00D2548B">
          <w:rPr>
            <w:b/>
            <w:bCs/>
            <w:sz w:val="16"/>
            <w:szCs w:val="16"/>
          </w:rPr>
          <w:t xml:space="preserve"> | </w:t>
        </w:r>
        <w:r w:rsidRPr="00D2548B">
          <w:rPr>
            <w:color w:val="7F7F7F" w:themeColor="background1" w:themeShade="7F"/>
            <w:spacing w:val="60"/>
            <w:sz w:val="16"/>
            <w:szCs w:val="16"/>
          </w:rPr>
          <w:t>Page</w:t>
        </w:r>
      </w:p>
    </w:sdtContent>
  </w:sdt>
  <w:p w14:paraId="147785CA" w14:textId="77777777" w:rsidR="00965ADE" w:rsidRDefault="00965AD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86A531" w14:textId="77777777" w:rsidR="00CB38FD" w:rsidRDefault="00CB38F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CFB762" w14:textId="77777777" w:rsidR="00692B52" w:rsidRDefault="00692B52" w:rsidP="00965ADE">
      <w:r>
        <w:separator/>
      </w:r>
    </w:p>
  </w:footnote>
  <w:footnote w:type="continuationSeparator" w:id="0">
    <w:p w14:paraId="512F54F7" w14:textId="77777777" w:rsidR="00692B52" w:rsidRDefault="00692B52" w:rsidP="00965A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594CA4" w14:textId="77777777" w:rsidR="00CB38FD" w:rsidRDefault="00CB38F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486E2C" w14:textId="250BB5B8" w:rsidR="00965ADE" w:rsidRDefault="00965AD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351382" w14:textId="77777777" w:rsidR="00CB38FD" w:rsidRDefault="00CB38F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35260"/>
    <w:multiLevelType w:val="hybridMultilevel"/>
    <w:tmpl w:val="D10693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6F26A7"/>
    <w:multiLevelType w:val="hybridMultilevel"/>
    <w:tmpl w:val="269ECDFC"/>
    <w:lvl w:ilvl="0" w:tplc="35FC5200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71196A"/>
    <w:multiLevelType w:val="hybridMultilevel"/>
    <w:tmpl w:val="3C4692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FD13A5"/>
    <w:multiLevelType w:val="hybridMultilevel"/>
    <w:tmpl w:val="C72C78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7D47D2"/>
    <w:multiLevelType w:val="hybridMultilevel"/>
    <w:tmpl w:val="1186B0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9B60A2"/>
    <w:multiLevelType w:val="hybridMultilevel"/>
    <w:tmpl w:val="0EA679A0"/>
    <w:lvl w:ilvl="0" w:tplc="7E12E614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7B41BF"/>
    <w:multiLevelType w:val="hybridMultilevel"/>
    <w:tmpl w:val="F28ED78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6540402"/>
    <w:multiLevelType w:val="hybridMultilevel"/>
    <w:tmpl w:val="D89A1E8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F21326"/>
    <w:multiLevelType w:val="hybridMultilevel"/>
    <w:tmpl w:val="9FAC0C4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AE8018E"/>
    <w:multiLevelType w:val="multilevel"/>
    <w:tmpl w:val="C09A60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CB40804"/>
    <w:multiLevelType w:val="hybridMultilevel"/>
    <w:tmpl w:val="7A185D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C687084"/>
    <w:multiLevelType w:val="hybridMultilevel"/>
    <w:tmpl w:val="89F27FE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  <w:num w:numId="6">
    <w:abstractNumId w:val="10"/>
  </w:num>
  <w:num w:numId="7">
    <w:abstractNumId w:val="9"/>
  </w:num>
  <w:num w:numId="8">
    <w:abstractNumId w:val="7"/>
  </w:num>
  <w:num w:numId="9">
    <w:abstractNumId w:val="6"/>
  </w:num>
  <w:num w:numId="10">
    <w:abstractNumId w:val="11"/>
  </w:num>
  <w:num w:numId="11">
    <w:abstractNumId w:val="5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4D95FD01-FBD6-4CA8-B04F-2653B8C51203}"/>
    <w:docVar w:name="dgnword-eventsink" w:val="436870288"/>
  </w:docVars>
  <w:rsids>
    <w:rsidRoot w:val="000D08F0"/>
    <w:rsid w:val="000176EE"/>
    <w:rsid w:val="0002119D"/>
    <w:rsid w:val="00023675"/>
    <w:rsid w:val="00025B6F"/>
    <w:rsid w:val="0003151A"/>
    <w:rsid w:val="00047F1F"/>
    <w:rsid w:val="00051035"/>
    <w:rsid w:val="0006637E"/>
    <w:rsid w:val="00095578"/>
    <w:rsid w:val="00097E18"/>
    <w:rsid w:val="000A0C20"/>
    <w:rsid w:val="000A78DB"/>
    <w:rsid w:val="000B26A8"/>
    <w:rsid w:val="000B41D0"/>
    <w:rsid w:val="000B760A"/>
    <w:rsid w:val="000C2763"/>
    <w:rsid w:val="000D08F0"/>
    <w:rsid w:val="000D111D"/>
    <w:rsid w:val="000D18BD"/>
    <w:rsid w:val="000E3098"/>
    <w:rsid w:val="000E7027"/>
    <w:rsid w:val="000E7BB7"/>
    <w:rsid w:val="000F3BEB"/>
    <w:rsid w:val="000F66F8"/>
    <w:rsid w:val="00112F65"/>
    <w:rsid w:val="00115AAA"/>
    <w:rsid w:val="00121AF8"/>
    <w:rsid w:val="00125891"/>
    <w:rsid w:val="00150CDB"/>
    <w:rsid w:val="00157845"/>
    <w:rsid w:val="0018554B"/>
    <w:rsid w:val="001953C0"/>
    <w:rsid w:val="001A1C07"/>
    <w:rsid w:val="001A2CA1"/>
    <w:rsid w:val="001A651C"/>
    <w:rsid w:val="001D100B"/>
    <w:rsid w:val="001E3B27"/>
    <w:rsid w:val="001E644A"/>
    <w:rsid w:val="001E7306"/>
    <w:rsid w:val="001F0805"/>
    <w:rsid w:val="001F3567"/>
    <w:rsid w:val="001F4BA4"/>
    <w:rsid w:val="002035D1"/>
    <w:rsid w:val="00204A34"/>
    <w:rsid w:val="002138F6"/>
    <w:rsid w:val="00214A90"/>
    <w:rsid w:val="0022065B"/>
    <w:rsid w:val="00227F7A"/>
    <w:rsid w:val="00230F88"/>
    <w:rsid w:val="00234C3E"/>
    <w:rsid w:val="002441F0"/>
    <w:rsid w:val="0024593D"/>
    <w:rsid w:val="0026099A"/>
    <w:rsid w:val="0026779C"/>
    <w:rsid w:val="00267E88"/>
    <w:rsid w:val="002703F9"/>
    <w:rsid w:val="00271AAF"/>
    <w:rsid w:val="0027508E"/>
    <w:rsid w:val="00286DFC"/>
    <w:rsid w:val="002908E3"/>
    <w:rsid w:val="002951BB"/>
    <w:rsid w:val="00297C97"/>
    <w:rsid w:val="002A36E3"/>
    <w:rsid w:val="002B45D3"/>
    <w:rsid w:val="002C2BFD"/>
    <w:rsid w:val="002C6B47"/>
    <w:rsid w:val="002C7C29"/>
    <w:rsid w:val="002D463F"/>
    <w:rsid w:val="002D62B5"/>
    <w:rsid w:val="002E07BE"/>
    <w:rsid w:val="002E70CE"/>
    <w:rsid w:val="002F3E65"/>
    <w:rsid w:val="00304655"/>
    <w:rsid w:val="003238AB"/>
    <w:rsid w:val="00325A62"/>
    <w:rsid w:val="00326E51"/>
    <w:rsid w:val="003316B1"/>
    <w:rsid w:val="00335F15"/>
    <w:rsid w:val="00344A2D"/>
    <w:rsid w:val="00344C32"/>
    <w:rsid w:val="003466A4"/>
    <w:rsid w:val="00347601"/>
    <w:rsid w:val="00362D01"/>
    <w:rsid w:val="00373445"/>
    <w:rsid w:val="0038575B"/>
    <w:rsid w:val="00390C1D"/>
    <w:rsid w:val="00396A6A"/>
    <w:rsid w:val="003A02C8"/>
    <w:rsid w:val="003A6B9B"/>
    <w:rsid w:val="003B0A3D"/>
    <w:rsid w:val="003B5860"/>
    <w:rsid w:val="003C368C"/>
    <w:rsid w:val="003D01AA"/>
    <w:rsid w:val="003E0964"/>
    <w:rsid w:val="003E326E"/>
    <w:rsid w:val="003E594B"/>
    <w:rsid w:val="003F4B6C"/>
    <w:rsid w:val="003F50C0"/>
    <w:rsid w:val="00406B81"/>
    <w:rsid w:val="0041509F"/>
    <w:rsid w:val="004264EE"/>
    <w:rsid w:val="004619DB"/>
    <w:rsid w:val="00465D49"/>
    <w:rsid w:val="004676D6"/>
    <w:rsid w:val="00490C2D"/>
    <w:rsid w:val="00490E74"/>
    <w:rsid w:val="004A18BE"/>
    <w:rsid w:val="004A4040"/>
    <w:rsid w:val="004B1747"/>
    <w:rsid w:val="004C0A79"/>
    <w:rsid w:val="004D2EC7"/>
    <w:rsid w:val="004D4EBA"/>
    <w:rsid w:val="004F0938"/>
    <w:rsid w:val="004F61B5"/>
    <w:rsid w:val="0051002E"/>
    <w:rsid w:val="0051600C"/>
    <w:rsid w:val="00523333"/>
    <w:rsid w:val="00523ACD"/>
    <w:rsid w:val="00530223"/>
    <w:rsid w:val="00550759"/>
    <w:rsid w:val="00553A65"/>
    <w:rsid w:val="00562AF2"/>
    <w:rsid w:val="00571556"/>
    <w:rsid w:val="005842F3"/>
    <w:rsid w:val="00584E7A"/>
    <w:rsid w:val="005858CF"/>
    <w:rsid w:val="00587690"/>
    <w:rsid w:val="005A53CF"/>
    <w:rsid w:val="005A5FEB"/>
    <w:rsid w:val="005C2A72"/>
    <w:rsid w:val="005E5249"/>
    <w:rsid w:val="005E69CF"/>
    <w:rsid w:val="005E6D54"/>
    <w:rsid w:val="005E76C3"/>
    <w:rsid w:val="005F28BF"/>
    <w:rsid w:val="00615C7D"/>
    <w:rsid w:val="00621578"/>
    <w:rsid w:val="006301D4"/>
    <w:rsid w:val="00635897"/>
    <w:rsid w:val="00655A61"/>
    <w:rsid w:val="00660137"/>
    <w:rsid w:val="00673856"/>
    <w:rsid w:val="00673967"/>
    <w:rsid w:val="00675C47"/>
    <w:rsid w:val="00692B52"/>
    <w:rsid w:val="00695CD9"/>
    <w:rsid w:val="006A661F"/>
    <w:rsid w:val="006B15B1"/>
    <w:rsid w:val="006C7792"/>
    <w:rsid w:val="006E0BE9"/>
    <w:rsid w:val="006F4759"/>
    <w:rsid w:val="006F5596"/>
    <w:rsid w:val="007006FE"/>
    <w:rsid w:val="00701AFE"/>
    <w:rsid w:val="00716AB0"/>
    <w:rsid w:val="00721A04"/>
    <w:rsid w:val="007502FD"/>
    <w:rsid w:val="00750C70"/>
    <w:rsid w:val="007518E5"/>
    <w:rsid w:val="00752C1E"/>
    <w:rsid w:val="00754B17"/>
    <w:rsid w:val="00760A09"/>
    <w:rsid w:val="007647D3"/>
    <w:rsid w:val="00766965"/>
    <w:rsid w:val="00776B61"/>
    <w:rsid w:val="007800AE"/>
    <w:rsid w:val="00782D70"/>
    <w:rsid w:val="00784E94"/>
    <w:rsid w:val="00790059"/>
    <w:rsid w:val="00791799"/>
    <w:rsid w:val="00793745"/>
    <w:rsid w:val="007A0072"/>
    <w:rsid w:val="007A47D5"/>
    <w:rsid w:val="007B38F8"/>
    <w:rsid w:val="007C3C69"/>
    <w:rsid w:val="007D1005"/>
    <w:rsid w:val="007D475C"/>
    <w:rsid w:val="007F2644"/>
    <w:rsid w:val="007F30F7"/>
    <w:rsid w:val="007F5FEF"/>
    <w:rsid w:val="0081401E"/>
    <w:rsid w:val="008276C3"/>
    <w:rsid w:val="0083161A"/>
    <w:rsid w:val="00832497"/>
    <w:rsid w:val="00835F90"/>
    <w:rsid w:val="0084040A"/>
    <w:rsid w:val="008436EE"/>
    <w:rsid w:val="00846655"/>
    <w:rsid w:val="00851312"/>
    <w:rsid w:val="00851349"/>
    <w:rsid w:val="00862593"/>
    <w:rsid w:val="008656E0"/>
    <w:rsid w:val="00871643"/>
    <w:rsid w:val="00876CEC"/>
    <w:rsid w:val="008C2E80"/>
    <w:rsid w:val="008C6C4C"/>
    <w:rsid w:val="008D2F6B"/>
    <w:rsid w:val="008D5B53"/>
    <w:rsid w:val="008D7AB0"/>
    <w:rsid w:val="008E5EF9"/>
    <w:rsid w:val="008F0A43"/>
    <w:rsid w:val="008F17F8"/>
    <w:rsid w:val="008F43D4"/>
    <w:rsid w:val="008F7E2A"/>
    <w:rsid w:val="00907163"/>
    <w:rsid w:val="00914E14"/>
    <w:rsid w:val="00921C2C"/>
    <w:rsid w:val="009223C0"/>
    <w:rsid w:val="00936AC7"/>
    <w:rsid w:val="00937DEC"/>
    <w:rsid w:val="00944BAA"/>
    <w:rsid w:val="009555AD"/>
    <w:rsid w:val="00965ADE"/>
    <w:rsid w:val="009742F7"/>
    <w:rsid w:val="0097484B"/>
    <w:rsid w:val="00984547"/>
    <w:rsid w:val="009934C6"/>
    <w:rsid w:val="00997715"/>
    <w:rsid w:val="009B0DEB"/>
    <w:rsid w:val="009B6426"/>
    <w:rsid w:val="009C67F1"/>
    <w:rsid w:val="009D1515"/>
    <w:rsid w:val="009F3CDC"/>
    <w:rsid w:val="009F3F9B"/>
    <w:rsid w:val="00A01B66"/>
    <w:rsid w:val="00A2534A"/>
    <w:rsid w:val="00A268DD"/>
    <w:rsid w:val="00A374F7"/>
    <w:rsid w:val="00A4498B"/>
    <w:rsid w:val="00A44A4A"/>
    <w:rsid w:val="00A62AB6"/>
    <w:rsid w:val="00A70D97"/>
    <w:rsid w:val="00A75ED8"/>
    <w:rsid w:val="00A80AF6"/>
    <w:rsid w:val="00A96CAF"/>
    <w:rsid w:val="00AC4C02"/>
    <w:rsid w:val="00AD2EB3"/>
    <w:rsid w:val="00AE39DF"/>
    <w:rsid w:val="00AF6BDD"/>
    <w:rsid w:val="00B00DDF"/>
    <w:rsid w:val="00B0378F"/>
    <w:rsid w:val="00B108B0"/>
    <w:rsid w:val="00B14404"/>
    <w:rsid w:val="00B1645E"/>
    <w:rsid w:val="00B22579"/>
    <w:rsid w:val="00B27E57"/>
    <w:rsid w:val="00B36DE3"/>
    <w:rsid w:val="00B41180"/>
    <w:rsid w:val="00B4149D"/>
    <w:rsid w:val="00B424FD"/>
    <w:rsid w:val="00B4747A"/>
    <w:rsid w:val="00B5182F"/>
    <w:rsid w:val="00B51916"/>
    <w:rsid w:val="00B553AB"/>
    <w:rsid w:val="00B55756"/>
    <w:rsid w:val="00B605A8"/>
    <w:rsid w:val="00B6188C"/>
    <w:rsid w:val="00B649D5"/>
    <w:rsid w:val="00B6524F"/>
    <w:rsid w:val="00B80414"/>
    <w:rsid w:val="00BB11D6"/>
    <w:rsid w:val="00BB6D83"/>
    <w:rsid w:val="00BC1DEC"/>
    <w:rsid w:val="00BD0E0E"/>
    <w:rsid w:val="00BD2C98"/>
    <w:rsid w:val="00BE0E26"/>
    <w:rsid w:val="00BE6F74"/>
    <w:rsid w:val="00C03510"/>
    <w:rsid w:val="00C141CA"/>
    <w:rsid w:val="00C27320"/>
    <w:rsid w:val="00C34156"/>
    <w:rsid w:val="00C45A4D"/>
    <w:rsid w:val="00C946C9"/>
    <w:rsid w:val="00CA02BE"/>
    <w:rsid w:val="00CB32AC"/>
    <w:rsid w:val="00CB38FD"/>
    <w:rsid w:val="00CC67F9"/>
    <w:rsid w:val="00CE7989"/>
    <w:rsid w:val="00CF7E38"/>
    <w:rsid w:val="00D022FC"/>
    <w:rsid w:val="00D0376E"/>
    <w:rsid w:val="00D21529"/>
    <w:rsid w:val="00D21C12"/>
    <w:rsid w:val="00D2548B"/>
    <w:rsid w:val="00D26ECE"/>
    <w:rsid w:val="00D30D9E"/>
    <w:rsid w:val="00D34A7E"/>
    <w:rsid w:val="00D54EE1"/>
    <w:rsid w:val="00D67C17"/>
    <w:rsid w:val="00D755C3"/>
    <w:rsid w:val="00D829E4"/>
    <w:rsid w:val="00D8648A"/>
    <w:rsid w:val="00D94B05"/>
    <w:rsid w:val="00D97966"/>
    <w:rsid w:val="00DA1B37"/>
    <w:rsid w:val="00DA351C"/>
    <w:rsid w:val="00DA43B4"/>
    <w:rsid w:val="00DA47EB"/>
    <w:rsid w:val="00DB4DBC"/>
    <w:rsid w:val="00DB7DE2"/>
    <w:rsid w:val="00DC15FF"/>
    <w:rsid w:val="00DC2131"/>
    <w:rsid w:val="00DC268B"/>
    <w:rsid w:val="00DC438D"/>
    <w:rsid w:val="00DC4F10"/>
    <w:rsid w:val="00E06861"/>
    <w:rsid w:val="00E11E33"/>
    <w:rsid w:val="00E15E05"/>
    <w:rsid w:val="00E32FF8"/>
    <w:rsid w:val="00E3739E"/>
    <w:rsid w:val="00E4388A"/>
    <w:rsid w:val="00E57A20"/>
    <w:rsid w:val="00E57FB2"/>
    <w:rsid w:val="00E63A3A"/>
    <w:rsid w:val="00E9113C"/>
    <w:rsid w:val="00E97FCB"/>
    <w:rsid w:val="00EA0BAC"/>
    <w:rsid w:val="00EA5967"/>
    <w:rsid w:val="00EB3CED"/>
    <w:rsid w:val="00EC3674"/>
    <w:rsid w:val="00F14BBD"/>
    <w:rsid w:val="00F217DE"/>
    <w:rsid w:val="00F26B00"/>
    <w:rsid w:val="00F57850"/>
    <w:rsid w:val="00F6348B"/>
    <w:rsid w:val="00F63BF9"/>
    <w:rsid w:val="00F650D9"/>
    <w:rsid w:val="00F7102A"/>
    <w:rsid w:val="00F7773C"/>
    <w:rsid w:val="00FA4F9F"/>
    <w:rsid w:val="00FB37AB"/>
    <w:rsid w:val="00FB6508"/>
    <w:rsid w:val="00FC4414"/>
    <w:rsid w:val="00FE1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3D10BB77"/>
  <w15:chartTrackingRefBased/>
  <w15:docId w15:val="{073AEFDA-823B-4AB0-AFA7-86D3C0F87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D08F0"/>
    <w:pPr>
      <w:spacing w:after="0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0D08F0"/>
    <w:pPr>
      <w:keepNext/>
      <w:keepLines/>
      <w:spacing w:before="120" w:after="240" w:line="276" w:lineRule="auto"/>
      <w:outlineLvl w:val="0"/>
    </w:pPr>
    <w:rPr>
      <w:rFonts w:eastAsiaTheme="majorEastAsia" w:cstheme="majorBidi"/>
      <w:b/>
      <w:bCs/>
      <w:color w:val="04526C"/>
      <w:sz w:val="36"/>
      <w:szCs w:val="28"/>
      <w:lang w:eastAsia="en-AU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C2A72"/>
    <w:pPr>
      <w:keepNext/>
      <w:keepLines/>
      <w:spacing w:before="240" w:after="2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D08F0"/>
    <w:rPr>
      <w:rFonts w:eastAsiaTheme="majorEastAsia" w:cstheme="majorBidi"/>
      <w:b/>
      <w:bCs/>
      <w:color w:val="04526C"/>
      <w:sz w:val="36"/>
      <w:szCs w:val="28"/>
      <w:lang w:eastAsia="en-AU"/>
    </w:rPr>
  </w:style>
  <w:style w:type="character" w:styleId="Hyperlink">
    <w:name w:val="Hyperlink"/>
    <w:basedOn w:val="DefaultParagraphFont"/>
    <w:uiPriority w:val="99"/>
    <w:unhideWhenUsed/>
    <w:rsid w:val="000D08F0"/>
    <w:rPr>
      <w:color w:val="0563C1" w:themeColor="hyperlink"/>
      <w:u w:val="single"/>
    </w:rPr>
  </w:style>
  <w:style w:type="paragraph" w:styleId="ListParagraph">
    <w:name w:val="List Paragraph"/>
    <w:aliases w:val="Recommendation,L,List Paragraph1,List Paragraph11,CV text,Table text,F5 List Paragraph,Dot pt,List Paragraph111,Medium Grid 1 - Accent 21,List Paragraph2,NFP GP Bulleted List,FooterText,numbered,Paragraphe de liste1,列出段,List Bullet Cab"/>
    <w:basedOn w:val="Normal"/>
    <w:link w:val="ListParagraphChar"/>
    <w:uiPriority w:val="34"/>
    <w:qFormat/>
    <w:rsid w:val="000D08F0"/>
    <w:pPr>
      <w:spacing w:after="200" w:line="276" w:lineRule="auto"/>
      <w:ind w:left="720"/>
      <w:contextualSpacing/>
    </w:pPr>
    <w:rPr>
      <w:lang w:eastAsia="en-AU"/>
    </w:rPr>
  </w:style>
  <w:style w:type="character" w:customStyle="1" w:styleId="ListParagraphChar">
    <w:name w:val="List Paragraph Char"/>
    <w:aliases w:val="Recommendation Char,L Char,List Paragraph1 Char,List Paragraph11 Char,CV text Char,Table text Char,F5 List Paragraph Char,Dot pt Char,List Paragraph111 Char,Medium Grid 1 - Accent 21 Char,List Paragraph2 Char,FooterText Char,列出段 Char"/>
    <w:basedOn w:val="DefaultParagraphFont"/>
    <w:link w:val="ListParagraph"/>
    <w:uiPriority w:val="34"/>
    <w:locked/>
    <w:rsid w:val="00E15E05"/>
    <w:rPr>
      <w:lang w:eastAsia="en-AU"/>
    </w:rPr>
  </w:style>
  <w:style w:type="table" w:styleId="TableGrid">
    <w:name w:val="Table Grid"/>
    <w:basedOn w:val="TableNormal"/>
    <w:uiPriority w:val="39"/>
    <w:rsid w:val="00E15E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65AD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65ADE"/>
  </w:style>
  <w:style w:type="paragraph" w:styleId="Footer">
    <w:name w:val="footer"/>
    <w:basedOn w:val="Normal"/>
    <w:link w:val="FooterChar"/>
    <w:uiPriority w:val="99"/>
    <w:unhideWhenUsed/>
    <w:rsid w:val="00965AD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65ADE"/>
  </w:style>
  <w:style w:type="paragraph" w:styleId="BalloonText">
    <w:name w:val="Balloon Text"/>
    <w:basedOn w:val="Normal"/>
    <w:link w:val="BalloonTextChar"/>
    <w:uiPriority w:val="99"/>
    <w:semiHidden/>
    <w:unhideWhenUsed/>
    <w:rsid w:val="00FC441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4414"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uiPriority w:val="1"/>
    <w:qFormat/>
    <w:rsid w:val="0097484B"/>
    <w:pPr>
      <w:autoSpaceDE w:val="0"/>
      <w:autoSpaceDN w:val="0"/>
      <w:adjustRightInd w:val="0"/>
    </w:pPr>
    <w:rPr>
      <w:rFonts w:ascii="Times New Roman" w:hAnsi="Times New Roman" w:cs="Times New Roman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97484B"/>
    <w:rPr>
      <w:rFonts w:ascii="Times New Roman" w:hAnsi="Times New Roman" w:cs="Times New Roman"/>
      <w:sz w:val="20"/>
      <w:szCs w:val="20"/>
    </w:rPr>
  </w:style>
  <w:style w:type="paragraph" w:styleId="NormalWeb">
    <w:name w:val="Normal (Web)"/>
    <w:basedOn w:val="Normal"/>
    <w:uiPriority w:val="99"/>
    <w:unhideWhenUsed/>
    <w:rsid w:val="00271AA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271AAF"/>
    <w:rPr>
      <w:b/>
      <w:bCs/>
    </w:rPr>
  </w:style>
  <w:style w:type="paragraph" w:styleId="FootnoteText">
    <w:name w:val="footnote text"/>
    <w:aliases w:val=" Char,Char"/>
    <w:basedOn w:val="Normal"/>
    <w:link w:val="FootnoteTextChar"/>
    <w:uiPriority w:val="99"/>
    <w:unhideWhenUsed/>
    <w:qFormat/>
    <w:rsid w:val="006F5596"/>
    <w:rPr>
      <w:sz w:val="20"/>
      <w:szCs w:val="20"/>
    </w:rPr>
  </w:style>
  <w:style w:type="character" w:customStyle="1" w:styleId="FootnoteTextChar">
    <w:name w:val="Footnote Text Char"/>
    <w:aliases w:val=" Char Char,Char Char"/>
    <w:basedOn w:val="DefaultParagraphFont"/>
    <w:link w:val="FootnoteText"/>
    <w:uiPriority w:val="99"/>
    <w:rsid w:val="006F559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F5596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297C9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97C9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97C9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97C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97C97"/>
    <w:rPr>
      <w:b/>
      <w:bCs/>
      <w:sz w:val="20"/>
      <w:szCs w:val="20"/>
    </w:rPr>
  </w:style>
  <w:style w:type="paragraph" w:customStyle="1" w:styleId="Default">
    <w:name w:val="Default"/>
    <w:rsid w:val="00701AFE"/>
    <w:pPr>
      <w:autoSpaceDE w:val="0"/>
      <w:autoSpaceDN w:val="0"/>
      <w:adjustRightInd w:val="0"/>
      <w:spacing w:after="0" w:line="240" w:lineRule="auto"/>
    </w:pPr>
    <w:rPr>
      <w:rFonts w:ascii="Inter" w:hAnsi="Inter" w:cs="Inter"/>
      <w:color w:val="000000"/>
      <w:sz w:val="24"/>
      <w:szCs w:val="24"/>
    </w:rPr>
  </w:style>
  <w:style w:type="paragraph" w:customStyle="1" w:styleId="ydpdd40b6fayiv1703367528msonormal">
    <w:name w:val="ydpdd40b6fayiv1703367528msonormal"/>
    <w:basedOn w:val="Normal"/>
    <w:rsid w:val="00DC4F10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en-AU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DC2131"/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DC2131"/>
    <w:rPr>
      <w:rFonts w:ascii="Calibri" w:hAnsi="Calibri"/>
      <w:szCs w:val="21"/>
    </w:rPr>
  </w:style>
  <w:style w:type="character" w:customStyle="1" w:styleId="Heading2Char">
    <w:name w:val="Heading 2 Char"/>
    <w:basedOn w:val="DefaultParagraphFont"/>
    <w:link w:val="Heading2"/>
    <w:uiPriority w:val="9"/>
    <w:rsid w:val="005C2A72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zh-CN"/>
    </w:rPr>
  </w:style>
  <w:style w:type="character" w:styleId="FollowedHyperlink">
    <w:name w:val="FollowedHyperlink"/>
    <w:basedOn w:val="DefaultParagraphFont"/>
    <w:uiPriority w:val="99"/>
    <w:semiHidden/>
    <w:unhideWhenUsed/>
    <w:rsid w:val="005C2A7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41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9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3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0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72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3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3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2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99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fcfcoa.gov.au/news-and-media-centre/latest-news/lighthouse-launch-package" TargetMode="Externa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hyperlink" Target="mailto:denise.healy@fcfcoa.gov.au" TargetMode="Externa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districtcourts.govt.nz/family-court/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yperlink" Target="https://www.fcfcoa.gov.au/fl/fv/overview" TargetMode="External"/><Relationship Id="rId23" Type="http://schemas.openxmlformats.org/officeDocument/2006/relationships/footer" Target="footer3.xml"/><Relationship Id="rId10" Type="http://schemas.openxmlformats.org/officeDocument/2006/relationships/endnotes" Target="endnotes.xml"/><Relationship Id="rId19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fcfcoa.gov.au/fl/fv/lighthouse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1c40b40e-c2ad-4b51-b6b2-afd2eda3d6e9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8203C626D9ADB428CD382C36B142E90" ma:contentTypeVersion="13" ma:contentTypeDescription="Create a new document." ma:contentTypeScope="" ma:versionID="a1b5d86a25bc0445a2c793aa4afa8143">
  <xsd:schema xmlns:xsd="http://www.w3.org/2001/XMLSchema" xmlns:xs="http://www.w3.org/2001/XMLSchema" xmlns:p="http://schemas.microsoft.com/office/2006/metadata/properties" xmlns:ns3="0316bc5f-15d2-460f-844c-df765593db15" xmlns:ns4="1c40b40e-c2ad-4b51-b6b2-afd2eda3d6e9" targetNamespace="http://schemas.microsoft.com/office/2006/metadata/properties" ma:root="true" ma:fieldsID="d5af66c8ca23704e279be32217a32734" ns3:_="" ns4:_="">
    <xsd:import namespace="0316bc5f-15d2-460f-844c-df765593db15"/>
    <xsd:import namespace="1c40b40e-c2ad-4b51-b6b2-afd2eda3d6e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  <xsd:element ref="ns4:MediaServiceLocation" minOccurs="0"/>
                <xsd:element ref="ns4:MediaServiceOCR" minOccurs="0"/>
                <xsd:element ref="ns4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16bc5f-15d2-460f-844c-df765593db1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40b40e-c2ad-4b51-b6b2-afd2eda3d6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activity" ma:index="20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917052-971E-4F7E-8B56-FA2A0FDD88C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236AA7B-9D95-4191-8A2E-7558812ED4AF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1c40b40e-c2ad-4b51-b6b2-afd2eda3d6e9"/>
    <ds:schemaRef ds:uri="0316bc5f-15d2-460f-844c-df765593db15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3D04EACC-DA0D-4BE2-AA15-75F750834130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  <ds:schemaRef ds:uri="0316bc5f-15d2-460f-844c-df765593db15"/>
    <ds:schemaRef ds:uri="1c40b40e-c2ad-4b51-b6b2-afd2eda3d6e9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4A68CCC-4AC2-4529-AF9B-9E0D8E5C7D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702</Words>
  <Characters>4007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Federal Court of Australia</Company>
  <LinksUpToDate>false</LinksUpToDate>
  <CharactersWithSpaces>4700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International focus on family violence and safety reforms as the Federal Circuit and Family Court of Australia hosts</dc:title>
  <dc:subject/>
  <dc:creator>Federal Circuit and Family Court of Australia</dc:creator>
  <cp:keywords/>
  <dc:description/>
  <cp:lastModifiedBy>Christine Tuff</cp:lastModifiedBy>
  <cp:revision>3</cp:revision>
  <cp:lastPrinted>2022-12-01T23:25:00Z</cp:lastPrinted>
  <dcterms:created xsi:type="dcterms:W3CDTF">2023-02-09T01:13:00Z</dcterms:created>
  <dcterms:modified xsi:type="dcterms:W3CDTF">2023-02-09T01:14:00Z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0x010100C8203C626D9ADB428CD382C36B142E90</vt:lpwstr>
  </property>
</Properties>
</file>