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619" w:rsidRDefault="00D54619" w:rsidP="00D54619">
      <w:pPr>
        <w:pStyle w:val="Heading1"/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-498231</wp:posOffset>
            </wp:positionH>
            <wp:positionV relativeFrom="page">
              <wp:posOffset>304800</wp:posOffset>
            </wp:positionV>
            <wp:extent cx="5731510" cy="84201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CFCOA_logo_Long_Blk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842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3601" w:rsidRPr="00D54619" w:rsidRDefault="003F3601" w:rsidP="00D54619">
      <w:pPr>
        <w:pStyle w:val="Heading1"/>
      </w:pPr>
      <w:r w:rsidRPr="00D54619">
        <w:t xml:space="preserve">Preparing </w:t>
      </w:r>
      <w:r w:rsidR="003B3FB5">
        <w:t>d</w:t>
      </w:r>
      <w:r w:rsidR="003B3FB5" w:rsidRPr="00D54619">
        <w:t xml:space="preserve">ocuments </w:t>
      </w:r>
      <w:r w:rsidRPr="00D54619">
        <w:t xml:space="preserve">for </w:t>
      </w:r>
      <w:proofErr w:type="spellStart"/>
      <w:r w:rsidR="00227E45" w:rsidRPr="00D54619">
        <w:t>eFiling</w:t>
      </w:r>
      <w:proofErr w:type="spellEnd"/>
    </w:p>
    <w:p w:rsidR="003F3601" w:rsidRPr="00D54619" w:rsidRDefault="003F3601" w:rsidP="00D54619">
      <w:pPr>
        <w:pStyle w:val="Heading2"/>
      </w:pPr>
      <w:r w:rsidRPr="00D54619">
        <w:t>Introduction</w:t>
      </w:r>
    </w:p>
    <w:p w:rsidR="003F3601" w:rsidRPr="00B67DE0" w:rsidRDefault="003F3601" w:rsidP="001D3C75">
      <w:pPr>
        <w:spacing w:before="240" w:after="300" w:line="240" w:lineRule="auto"/>
        <w:rPr>
          <w:rFonts w:eastAsia="Times New Roman" w:cs="Arial"/>
          <w:szCs w:val="24"/>
          <w:lang w:val="en-US" w:eastAsia="en-AU"/>
        </w:rPr>
      </w:pPr>
      <w:r w:rsidRPr="00B67DE0">
        <w:rPr>
          <w:rFonts w:eastAsia="Times New Roman" w:cs="Arial"/>
          <w:szCs w:val="24"/>
          <w:lang w:val="en-US" w:eastAsia="en-AU"/>
        </w:rPr>
        <w:t xml:space="preserve">This information relates to proceedings in the </w:t>
      </w:r>
      <w:r w:rsidR="00EC31A0">
        <w:rPr>
          <w:rFonts w:eastAsia="Times New Roman" w:cs="Arial"/>
          <w:szCs w:val="24"/>
          <w:lang w:val="en-US" w:eastAsia="en-AU"/>
        </w:rPr>
        <w:t>Federal Circuit and Family Court of Australia (the Court)</w:t>
      </w:r>
      <w:r w:rsidRPr="00B67DE0">
        <w:rPr>
          <w:rFonts w:eastAsia="Times New Roman" w:cs="Arial"/>
          <w:szCs w:val="24"/>
          <w:lang w:val="en-US" w:eastAsia="en-AU"/>
        </w:rPr>
        <w:t xml:space="preserve"> and has been provided to assist court users </w:t>
      </w:r>
      <w:r w:rsidR="007D0FEF" w:rsidRPr="00B67DE0">
        <w:rPr>
          <w:rFonts w:eastAsia="Times New Roman" w:cs="Arial"/>
          <w:szCs w:val="24"/>
          <w:lang w:val="en-US" w:eastAsia="en-AU"/>
        </w:rPr>
        <w:t xml:space="preserve">to </w:t>
      </w:r>
      <w:r w:rsidRPr="00B67DE0">
        <w:rPr>
          <w:rFonts w:eastAsia="Times New Roman" w:cs="Arial"/>
          <w:szCs w:val="24"/>
          <w:lang w:val="en-US" w:eastAsia="en-AU"/>
        </w:rPr>
        <w:t xml:space="preserve">prepare documents for </w:t>
      </w:r>
      <w:r w:rsidR="007D0FEF" w:rsidRPr="00B67DE0">
        <w:rPr>
          <w:rFonts w:eastAsia="Times New Roman" w:cs="Arial"/>
          <w:szCs w:val="24"/>
          <w:lang w:val="en-US" w:eastAsia="en-AU"/>
        </w:rPr>
        <w:t>eFiling</w:t>
      </w:r>
      <w:r w:rsidRPr="00B67DE0">
        <w:rPr>
          <w:rFonts w:eastAsia="Times New Roman" w:cs="Arial"/>
          <w:szCs w:val="24"/>
          <w:lang w:val="en-US" w:eastAsia="en-AU"/>
        </w:rPr>
        <w:t xml:space="preserve"> via the Commonwealth Courts Portal</w:t>
      </w:r>
      <w:r w:rsidR="00506CDD" w:rsidRPr="00B67DE0">
        <w:rPr>
          <w:rFonts w:eastAsia="Times New Roman" w:cs="Arial"/>
          <w:szCs w:val="24"/>
          <w:lang w:val="en-US" w:eastAsia="en-AU"/>
        </w:rPr>
        <w:t xml:space="preserve"> (CCP)</w:t>
      </w:r>
      <w:r w:rsidRPr="00B67DE0">
        <w:rPr>
          <w:rFonts w:eastAsia="Times New Roman" w:cs="Arial"/>
          <w:szCs w:val="24"/>
          <w:lang w:val="en-US" w:eastAsia="en-AU"/>
        </w:rPr>
        <w:t>.</w:t>
      </w:r>
    </w:p>
    <w:p w:rsidR="003F3601" w:rsidRPr="00B67DE0" w:rsidRDefault="003F3601" w:rsidP="003F3601">
      <w:pPr>
        <w:spacing w:after="300" w:line="240" w:lineRule="auto"/>
        <w:rPr>
          <w:rFonts w:eastAsia="Times New Roman" w:cs="Arial"/>
          <w:szCs w:val="24"/>
          <w:lang w:val="en-US" w:eastAsia="en-AU"/>
        </w:rPr>
      </w:pPr>
      <w:r w:rsidRPr="00B67DE0">
        <w:rPr>
          <w:rFonts w:eastAsia="Times New Roman" w:cs="Arial"/>
          <w:szCs w:val="24"/>
          <w:lang w:val="en-US" w:eastAsia="en-AU"/>
        </w:rPr>
        <w:t xml:space="preserve">Documents must be prepared to meet the requirements of the applicable </w:t>
      </w:r>
      <w:r w:rsidR="00D54619">
        <w:rPr>
          <w:rFonts w:eastAsia="Times New Roman" w:cs="Arial"/>
          <w:szCs w:val="24"/>
          <w:lang w:val="en-US" w:eastAsia="en-AU"/>
        </w:rPr>
        <w:t xml:space="preserve">court rules. </w:t>
      </w:r>
      <w:r w:rsidRPr="00B67DE0">
        <w:rPr>
          <w:rFonts w:eastAsia="Times New Roman" w:cs="Arial"/>
          <w:i/>
          <w:iCs/>
          <w:szCs w:val="24"/>
          <w:lang w:val="en-US" w:eastAsia="en-AU"/>
        </w:rPr>
        <w:t xml:space="preserve"> </w:t>
      </w:r>
    </w:p>
    <w:p w:rsidR="003F3601" w:rsidRPr="00D54619" w:rsidRDefault="003F3601" w:rsidP="00D54619">
      <w:pPr>
        <w:pStyle w:val="Heading2"/>
      </w:pPr>
      <w:r w:rsidRPr="00D54619">
        <w:t xml:space="preserve">Types of files that can be </w:t>
      </w:r>
      <w:r w:rsidR="00ED4C0D" w:rsidRPr="00D54619">
        <w:t>eFile</w:t>
      </w:r>
      <w:r w:rsidRPr="00D54619">
        <w:t>d</w:t>
      </w:r>
      <w:bookmarkStart w:id="0" w:name="_GoBack"/>
      <w:bookmarkEnd w:id="0"/>
    </w:p>
    <w:p w:rsidR="003F3601" w:rsidRPr="00B67DE0" w:rsidRDefault="003F3601" w:rsidP="003F3601">
      <w:pPr>
        <w:spacing w:after="300" w:line="240" w:lineRule="auto"/>
        <w:rPr>
          <w:rFonts w:eastAsia="Times New Roman" w:cs="Arial"/>
          <w:szCs w:val="24"/>
          <w:lang w:val="en-US" w:eastAsia="en-AU"/>
        </w:rPr>
      </w:pPr>
      <w:r w:rsidRPr="00B67DE0">
        <w:rPr>
          <w:rFonts w:eastAsia="Times New Roman" w:cs="Arial"/>
          <w:szCs w:val="24"/>
          <w:lang w:val="en-US" w:eastAsia="en-AU"/>
        </w:rPr>
        <w:t xml:space="preserve">For </w:t>
      </w:r>
      <w:r w:rsidR="00B86BAF" w:rsidRPr="00B67DE0">
        <w:rPr>
          <w:rFonts w:eastAsia="Times New Roman" w:cs="Arial"/>
          <w:szCs w:val="24"/>
          <w:lang w:val="en-US" w:eastAsia="en-AU"/>
        </w:rPr>
        <w:t>eFiling the following type</w:t>
      </w:r>
      <w:r w:rsidRPr="00B67DE0">
        <w:rPr>
          <w:rFonts w:eastAsia="Times New Roman" w:cs="Arial"/>
          <w:szCs w:val="24"/>
          <w:lang w:val="en-US" w:eastAsia="en-AU"/>
        </w:rPr>
        <w:t xml:space="preserve"> of </w:t>
      </w:r>
      <w:r w:rsidR="00B86BAF" w:rsidRPr="00B67DE0">
        <w:rPr>
          <w:rFonts w:eastAsia="Times New Roman" w:cs="Arial"/>
          <w:szCs w:val="24"/>
          <w:lang w:val="en-US" w:eastAsia="en-AU"/>
        </w:rPr>
        <w:t>document must be filed.</w:t>
      </w:r>
    </w:p>
    <w:p w:rsidR="003F3601" w:rsidRPr="00B67DE0" w:rsidRDefault="003F3601" w:rsidP="003F3601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="Arial"/>
          <w:szCs w:val="24"/>
          <w:lang w:val="en-US" w:eastAsia="en-AU"/>
        </w:rPr>
      </w:pPr>
      <w:r w:rsidRPr="00B67DE0">
        <w:rPr>
          <w:rFonts w:eastAsia="Times New Roman" w:cs="Arial"/>
          <w:szCs w:val="24"/>
          <w:lang w:val="en-US" w:eastAsia="en-AU"/>
        </w:rPr>
        <w:t xml:space="preserve">.PDF - Portable Document Format </w:t>
      </w:r>
    </w:p>
    <w:p w:rsidR="003F3601" w:rsidRPr="00D54619" w:rsidRDefault="003F3601" w:rsidP="00D54619">
      <w:pPr>
        <w:pStyle w:val="Heading2"/>
      </w:pPr>
      <w:r w:rsidRPr="00D54619">
        <w:t>Font size, colour and type</w:t>
      </w:r>
    </w:p>
    <w:p w:rsidR="003F3601" w:rsidRPr="00B67DE0" w:rsidRDefault="004E79EA" w:rsidP="00D54619">
      <w:pPr>
        <w:rPr>
          <w:lang w:val="en-US" w:eastAsia="en-AU"/>
        </w:rPr>
      </w:pPr>
      <w:r w:rsidRPr="00B67DE0">
        <w:rPr>
          <w:lang w:val="en-US" w:eastAsia="en-AU"/>
        </w:rPr>
        <w:t xml:space="preserve">General requirements for documents in </w:t>
      </w:r>
      <w:r w:rsidR="00D54619">
        <w:rPr>
          <w:lang w:val="en-US" w:eastAsia="en-AU"/>
        </w:rPr>
        <w:t>Family Law</w:t>
      </w:r>
      <w:r w:rsidR="00875047">
        <w:rPr>
          <w:lang w:val="en-US" w:eastAsia="en-AU"/>
        </w:rPr>
        <w:t xml:space="preserve"> </w:t>
      </w:r>
      <w:r w:rsidRPr="00B67DE0">
        <w:rPr>
          <w:lang w:val="en-US" w:eastAsia="en-AU"/>
        </w:rPr>
        <w:t xml:space="preserve">are set out in the </w:t>
      </w:r>
      <w:r w:rsidR="00875047" w:rsidRPr="00D54619">
        <w:rPr>
          <w:i/>
          <w:lang w:val="en-US" w:eastAsia="en-AU"/>
        </w:rPr>
        <w:t>Federal Circuit and Family Court of Australia (Family Law) Rules 2021</w:t>
      </w:r>
      <w:r w:rsidR="00D54619">
        <w:rPr>
          <w:lang w:val="en-US" w:eastAsia="en-AU"/>
        </w:rPr>
        <w:t xml:space="preserve"> </w:t>
      </w:r>
      <w:r w:rsidR="002C1BCE" w:rsidRPr="00B67DE0">
        <w:rPr>
          <w:lang w:val="en-US" w:eastAsia="en-AU"/>
        </w:rPr>
        <w:t xml:space="preserve">– Rule </w:t>
      </w:r>
      <w:r w:rsidR="00875047">
        <w:rPr>
          <w:lang w:val="en-US" w:eastAsia="en-AU"/>
        </w:rPr>
        <w:t>2.14</w:t>
      </w:r>
      <w:r w:rsidRPr="00B67DE0">
        <w:rPr>
          <w:lang w:val="en-US" w:eastAsia="en-AU"/>
        </w:rPr>
        <w:t>.</w:t>
      </w:r>
      <w:r w:rsidR="002C1BCE" w:rsidRPr="00B67DE0">
        <w:rPr>
          <w:lang w:val="en-US" w:eastAsia="en-AU"/>
        </w:rPr>
        <w:t xml:space="preserve">General requirements for documents in </w:t>
      </w:r>
      <w:r w:rsidR="00875047">
        <w:rPr>
          <w:lang w:val="en-US" w:eastAsia="en-AU"/>
        </w:rPr>
        <w:t xml:space="preserve">General Federal Law </w:t>
      </w:r>
      <w:r w:rsidR="002C1BCE" w:rsidRPr="00B67DE0">
        <w:rPr>
          <w:lang w:val="en-US" w:eastAsia="en-AU"/>
        </w:rPr>
        <w:t xml:space="preserve">are set out in </w:t>
      </w:r>
      <w:r w:rsidR="00875047">
        <w:rPr>
          <w:lang w:val="en-US" w:eastAsia="en-AU"/>
        </w:rPr>
        <w:t xml:space="preserve">the </w:t>
      </w:r>
      <w:r w:rsidR="003F3601" w:rsidRPr="00D54619">
        <w:rPr>
          <w:i/>
          <w:lang w:val="en-US" w:eastAsia="en-AU"/>
        </w:rPr>
        <w:t xml:space="preserve">Federal Circuit </w:t>
      </w:r>
      <w:r w:rsidR="003F0621" w:rsidRPr="00D54619">
        <w:rPr>
          <w:i/>
          <w:lang w:val="en-US" w:eastAsia="en-AU"/>
        </w:rPr>
        <w:t>and Family Court of Australia (Division 2</w:t>
      </w:r>
      <w:r w:rsidR="00AA38E6">
        <w:rPr>
          <w:i/>
          <w:lang w:val="en-US" w:eastAsia="en-AU"/>
        </w:rPr>
        <w:t>)</w:t>
      </w:r>
      <w:r w:rsidR="003F0621" w:rsidRPr="00D54619">
        <w:rPr>
          <w:i/>
          <w:lang w:val="en-US" w:eastAsia="en-AU"/>
        </w:rPr>
        <w:t xml:space="preserve"> (General Federal Law) </w:t>
      </w:r>
      <w:r w:rsidR="003F3601" w:rsidRPr="00D54619">
        <w:rPr>
          <w:i/>
          <w:lang w:val="en-US" w:eastAsia="en-AU"/>
        </w:rPr>
        <w:t>Rule</w:t>
      </w:r>
      <w:r w:rsidR="002C1BCE" w:rsidRPr="00D54619">
        <w:rPr>
          <w:i/>
          <w:lang w:val="en-US" w:eastAsia="en-AU"/>
        </w:rPr>
        <w:t>s</w:t>
      </w:r>
      <w:r w:rsidR="002C1BCE" w:rsidRPr="00B67DE0">
        <w:rPr>
          <w:lang w:val="en-US" w:eastAsia="en-AU"/>
        </w:rPr>
        <w:t xml:space="preserve"> 20</w:t>
      </w:r>
      <w:r w:rsidR="003F0621">
        <w:rPr>
          <w:lang w:val="en-US" w:eastAsia="en-AU"/>
        </w:rPr>
        <w:t>2</w:t>
      </w:r>
      <w:r w:rsidR="002C1BCE" w:rsidRPr="00B67DE0">
        <w:rPr>
          <w:lang w:val="en-US" w:eastAsia="en-AU"/>
        </w:rPr>
        <w:t>1</w:t>
      </w:r>
      <w:r w:rsidR="003F3601" w:rsidRPr="00B67DE0">
        <w:rPr>
          <w:lang w:val="en-US" w:eastAsia="en-AU"/>
        </w:rPr>
        <w:t xml:space="preserve"> </w:t>
      </w:r>
      <w:r w:rsidR="002C1BCE" w:rsidRPr="00B67DE0">
        <w:rPr>
          <w:lang w:val="en-US" w:eastAsia="en-AU"/>
        </w:rPr>
        <w:t>– Rule 2.01</w:t>
      </w:r>
      <w:r w:rsidR="003F3601" w:rsidRPr="00B67DE0">
        <w:rPr>
          <w:lang w:val="en-US" w:eastAsia="en-AU"/>
        </w:rPr>
        <w:t xml:space="preserve">. </w:t>
      </w:r>
    </w:p>
    <w:p w:rsidR="003F3601" w:rsidRPr="00B67DE0" w:rsidRDefault="003F3601" w:rsidP="00D54619">
      <w:pPr>
        <w:rPr>
          <w:lang w:val="en-US" w:eastAsia="en-AU"/>
        </w:rPr>
      </w:pPr>
      <w:r w:rsidRPr="00B67DE0">
        <w:rPr>
          <w:lang w:val="en-US" w:eastAsia="en-AU"/>
        </w:rPr>
        <w:t xml:space="preserve">Use black font colour where possible. Avoid low contrast or coloured fonts such as blue and red. </w:t>
      </w:r>
    </w:p>
    <w:p w:rsidR="003F3601" w:rsidRPr="00B67DE0" w:rsidRDefault="003F3601" w:rsidP="00D54619">
      <w:pPr>
        <w:rPr>
          <w:lang w:val="en-US" w:eastAsia="en-AU"/>
        </w:rPr>
      </w:pPr>
      <w:r w:rsidRPr="00B67DE0">
        <w:rPr>
          <w:lang w:val="en-US" w:eastAsia="en-AU"/>
        </w:rPr>
        <w:t xml:space="preserve">Documents created using standard font types such as Arial, Times New Roman or Verdana are preferred. Where possible, avoid narrow, condensed, script or Gothic fonts. </w:t>
      </w:r>
    </w:p>
    <w:p w:rsidR="003F3601" w:rsidRPr="00D54619" w:rsidRDefault="003F3601" w:rsidP="00D54619">
      <w:pPr>
        <w:pStyle w:val="Heading2"/>
      </w:pPr>
      <w:r w:rsidRPr="00D54619">
        <w:t xml:space="preserve">Portable Document Format (PDFs) </w:t>
      </w:r>
    </w:p>
    <w:p w:rsidR="003F3601" w:rsidRPr="00B67DE0" w:rsidRDefault="003F3601" w:rsidP="00D54619">
      <w:pPr>
        <w:rPr>
          <w:lang w:val="en-US" w:eastAsia="en-AU"/>
        </w:rPr>
      </w:pPr>
      <w:r w:rsidRPr="00B67DE0">
        <w:rPr>
          <w:lang w:val="en-US" w:eastAsia="en-AU"/>
        </w:rPr>
        <w:t xml:space="preserve">PDF stands for Portable Document Format. It is a universal file format that preserves the fonts, images, graphics and layout of any source document regardless of the application and platform used to create it. </w:t>
      </w:r>
    </w:p>
    <w:p w:rsidR="003F3601" w:rsidRPr="00D54619" w:rsidRDefault="003F3601" w:rsidP="00D54619">
      <w:pPr>
        <w:pStyle w:val="Heading2"/>
      </w:pPr>
      <w:r w:rsidRPr="00D54619">
        <w:t>Scanned documents</w:t>
      </w:r>
    </w:p>
    <w:p w:rsidR="004E79EA" w:rsidRPr="00B67DE0" w:rsidRDefault="004E79EA" w:rsidP="00D54619">
      <w:pPr>
        <w:rPr>
          <w:lang w:val="en-US" w:eastAsia="en-AU"/>
        </w:rPr>
      </w:pPr>
      <w:r w:rsidRPr="00B67DE0">
        <w:rPr>
          <w:lang w:val="en-US" w:eastAsia="en-AU"/>
        </w:rPr>
        <w:t xml:space="preserve">Combining multiple documents </w:t>
      </w:r>
      <w:r w:rsidR="000042B5" w:rsidRPr="00B67DE0">
        <w:rPr>
          <w:lang w:val="en-US" w:eastAsia="en-AU"/>
        </w:rPr>
        <w:t xml:space="preserve">and annexures </w:t>
      </w:r>
      <w:r w:rsidRPr="00B67DE0">
        <w:rPr>
          <w:lang w:val="en-US" w:eastAsia="en-AU"/>
        </w:rPr>
        <w:t xml:space="preserve">into a single PDF can be done without the need to print everything and scan it together. Electronically converted </w:t>
      </w:r>
      <w:r w:rsidR="00D12DB4" w:rsidRPr="00B67DE0">
        <w:rPr>
          <w:lang w:val="en-US" w:eastAsia="en-AU"/>
        </w:rPr>
        <w:t xml:space="preserve">PDFs </w:t>
      </w:r>
      <w:r w:rsidRPr="00B67DE0">
        <w:rPr>
          <w:lang w:val="en-US" w:eastAsia="en-AU"/>
        </w:rPr>
        <w:t>are</w:t>
      </w:r>
      <w:r w:rsidR="00D12DB4" w:rsidRPr="00B67DE0">
        <w:rPr>
          <w:lang w:val="en-US" w:eastAsia="en-AU"/>
        </w:rPr>
        <w:t xml:space="preserve"> also</w:t>
      </w:r>
      <w:r w:rsidRPr="00B67DE0">
        <w:rPr>
          <w:lang w:val="en-US" w:eastAsia="en-AU"/>
        </w:rPr>
        <w:t xml:space="preserve"> generally much smaller in size than </w:t>
      </w:r>
      <w:r w:rsidR="00D12DB4" w:rsidRPr="00B67DE0">
        <w:rPr>
          <w:lang w:val="en-US" w:eastAsia="en-AU"/>
        </w:rPr>
        <w:t>a scan</w:t>
      </w:r>
      <w:r w:rsidRPr="00B67DE0">
        <w:rPr>
          <w:lang w:val="en-US" w:eastAsia="en-AU"/>
        </w:rPr>
        <w:t>.</w:t>
      </w:r>
      <w:r w:rsidR="00D12DB4" w:rsidRPr="00B67DE0">
        <w:rPr>
          <w:lang w:val="en-US" w:eastAsia="en-AU"/>
        </w:rPr>
        <w:t xml:space="preserve"> </w:t>
      </w:r>
    </w:p>
    <w:p w:rsidR="00D12DB4" w:rsidRPr="00B67DE0" w:rsidRDefault="003F3601" w:rsidP="00D54619">
      <w:pPr>
        <w:rPr>
          <w:lang w:val="en-US"/>
        </w:rPr>
      </w:pPr>
      <w:r w:rsidRPr="00B67DE0">
        <w:rPr>
          <w:lang w:val="en-US"/>
        </w:rPr>
        <w:t xml:space="preserve">Where possible, </w:t>
      </w:r>
      <w:r w:rsidRPr="00B67DE0">
        <w:rPr>
          <w:b/>
          <w:bCs/>
          <w:lang w:val="en-US"/>
        </w:rPr>
        <w:t>documents that only exist in paper format</w:t>
      </w:r>
      <w:r w:rsidRPr="00B67DE0">
        <w:rPr>
          <w:lang w:val="en-US"/>
        </w:rPr>
        <w:t xml:space="preserve"> should be scanned and lodged with the Court. </w:t>
      </w:r>
      <w:r w:rsidR="00D12DB4" w:rsidRPr="00B67DE0">
        <w:rPr>
          <w:lang w:val="en-US"/>
        </w:rPr>
        <w:t>All other documents can be electronically converted from the original file by saving them as a PDF. Furthermore, individual documents can be quickly combined as PDFs using software such as Adobe Acrobat, avoiding any need to print out documents to combine them.</w:t>
      </w:r>
    </w:p>
    <w:p w:rsidR="003F3601" w:rsidRPr="00B67DE0" w:rsidRDefault="003F3601" w:rsidP="00D54619">
      <w:pPr>
        <w:rPr>
          <w:lang w:val="en-US"/>
        </w:rPr>
      </w:pPr>
      <w:r w:rsidRPr="00B67DE0">
        <w:rPr>
          <w:lang w:val="en-US"/>
        </w:rPr>
        <w:lastRenderedPageBreak/>
        <w:t>When scanning documents such as signed affidavits, the electronic size of the file created, regardless of the number of pages is dependent upon the resolution of the scanning. Scanning to a higher resolution will increase the size</w:t>
      </w:r>
      <w:r w:rsidR="00DD4D12" w:rsidRPr="00B67DE0">
        <w:rPr>
          <w:lang w:val="en-US"/>
        </w:rPr>
        <w:t xml:space="preserve"> of the document. </w:t>
      </w:r>
      <w:r w:rsidRPr="00B67DE0">
        <w:rPr>
          <w:lang w:val="en-US"/>
        </w:rPr>
        <w:t xml:space="preserve">A big file will slow the upload speed in </w:t>
      </w:r>
      <w:r w:rsidR="00B86BAF" w:rsidRPr="00B67DE0">
        <w:rPr>
          <w:lang w:val="en-US"/>
        </w:rPr>
        <w:t>eFiling</w:t>
      </w:r>
      <w:r w:rsidRPr="00B67DE0">
        <w:rPr>
          <w:lang w:val="en-US"/>
        </w:rPr>
        <w:t>.</w:t>
      </w:r>
    </w:p>
    <w:p w:rsidR="003F3601" w:rsidRPr="00B67DE0" w:rsidRDefault="003F3601" w:rsidP="00D54619">
      <w:pPr>
        <w:rPr>
          <w:lang w:val="en-US"/>
        </w:rPr>
      </w:pPr>
      <w:r w:rsidRPr="00B67DE0">
        <w:rPr>
          <w:lang w:val="en-US"/>
        </w:rPr>
        <w:t xml:space="preserve">Documents do not have to be at the highest resolution so long as the information is clear. Resolution between 200 and 300 dpi is usually sufficient. </w:t>
      </w:r>
    </w:p>
    <w:p w:rsidR="003F3601" w:rsidRPr="00B67DE0" w:rsidRDefault="003F3601" w:rsidP="00D54619">
      <w:pPr>
        <w:rPr>
          <w:lang w:val="en-US"/>
        </w:rPr>
      </w:pPr>
      <w:r w:rsidRPr="00B67DE0">
        <w:rPr>
          <w:lang w:val="en-US"/>
        </w:rPr>
        <w:t>Ensure that there is sufficient contrast between the text and</w:t>
      </w:r>
      <w:r w:rsidR="00DD4D12" w:rsidRPr="00B67DE0">
        <w:rPr>
          <w:lang w:val="en-US"/>
        </w:rPr>
        <w:t xml:space="preserve"> the background when scanning. </w:t>
      </w:r>
      <w:r w:rsidRPr="00B67DE0">
        <w:rPr>
          <w:lang w:val="en-US"/>
        </w:rPr>
        <w:t xml:space="preserve">The scan should be done in black and white, avoid greyscale or colour unless required. </w:t>
      </w:r>
    </w:p>
    <w:p w:rsidR="003F3601" w:rsidRPr="003F3601" w:rsidRDefault="003F3601" w:rsidP="00D54619">
      <w:pPr>
        <w:rPr>
          <w:lang w:val="en-US"/>
        </w:rPr>
      </w:pPr>
      <w:r w:rsidRPr="00B67DE0">
        <w:rPr>
          <w:lang w:val="en-US"/>
        </w:rPr>
        <w:t>Avoid scanning coloured paper where possible</w:t>
      </w:r>
      <w:r w:rsidRPr="003F3601">
        <w:rPr>
          <w:lang w:val="en-US"/>
        </w:rPr>
        <w:t xml:space="preserve">. </w:t>
      </w:r>
    </w:p>
    <w:p w:rsidR="003F3601" w:rsidRPr="001E7B23" w:rsidRDefault="003F3601" w:rsidP="001E7B23">
      <w:pPr>
        <w:pStyle w:val="Heading2"/>
      </w:pPr>
      <w:r w:rsidRPr="001E7B23">
        <w:t>Large documents</w:t>
      </w:r>
    </w:p>
    <w:p w:rsidR="003F3601" w:rsidRPr="00B67DE0" w:rsidRDefault="003F0621" w:rsidP="003F3601">
      <w:pPr>
        <w:spacing w:after="300" w:line="240" w:lineRule="auto"/>
        <w:rPr>
          <w:rFonts w:eastAsia="Times New Roman" w:cs="Arial"/>
          <w:szCs w:val="24"/>
          <w:lang w:val="en-US" w:eastAsia="en-AU"/>
        </w:rPr>
      </w:pPr>
      <w:r>
        <w:rPr>
          <w:rFonts w:eastAsia="Times New Roman" w:cs="Arial"/>
          <w:szCs w:val="24"/>
          <w:lang w:val="en-US" w:eastAsia="en-AU"/>
        </w:rPr>
        <w:t>In Family Law</w:t>
      </w:r>
      <w:r w:rsidR="003B2F16">
        <w:rPr>
          <w:rFonts w:eastAsia="Times New Roman" w:cs="Arial"/>
          <w:szCs w:val="24"/>
          <w:lang w:val="en-US" w:eastAsia="en-AU"/>
        </w:rPr>
        <w:t>,</w:t>
      </w:r>
      <w:r>
        <w:rPr>
          <w:rFonts w:eastAsia="Times New Roman" w:cs="Arial"/>
          <w:szCs w:val="24"/>
          <w:lang w:val="en-US" w:eastAsia="en-AU"/>
        </w:rPr>
        <w:t xml:space="preserve"> Part 2.5 </w:t>
      </w:r>
      <w:r w:rsidR="003F3601" w:rsidRPr="00B67DE0">
        <w:rPr>
          <w:rFonts w:eastAsia="Times New Roman" w:cs="Arial"/>
          <w:szCs w:val="24"/>
          <w:lang w:val="en-US" w:eastAsia="en-AU"/>
        </w:rPr>
        <w:t xml:space="preserve">of the </w:t>
      </w:r>
      <w:r w:rsidRPr="001E7B23">
        <w:rPr>
          <w:rFonts w:eastAsia="Times New Roman" w:cs="Arial"/>
          <w:i/>
          <w:szCs w:val="24"/>
          <w:lang w:val="en-US" w:eastAsia="en-AU"/>
        </w:rPr>
        <w:t>Federal Circuit and Family Court of Australia (Family Law) Rules 2021</w:t>
      </w:r>
      <w:r w:rsidRPr="00B67DE0">
        <w:rPr>
          <w:rFonts w:eastAsia="Times New Roman" w:cs="Arial"/>
          <w:szCs w:val="24"/>
          <w:lang w:val="en-US" w:eastAsia="en-AU"/>
        </w:rPr>
        <w:t xml:space="preserve"> </w:t>
      </w:r>
      <w:r w:rsidR="003B2F16" w:rsidRPr="00B67DE0">
        <w:rPr>
          <w:rFonts w:eastAsia="Times New Roman" w:cs="Arial"/>
          <w:szCs w:val="24"/>
          <w:lang w:val="en-US" w:eastAsia="en-AU"/>
        </w:rPr>
        <w:t>applies to the filing of documents including electronic filing</w:t>
      </w:r>
      <w:r w:rsidR="003B2F16">
        <w:rPr>
          <w:rFonts w:eastAsia="Times New Roman" w:cs="Arial"/>
          <w:szCs w:val="24"/>
          <w:lang w:val="en-US" w:eastAsia="en-AU"/>
        </w:rPr>
        <w:t>. I</w:t>
      </w:r>
      <w:r>
        <w:rPr>
          <w:rFonts w:eastAsia="Times New Roman" w:cs="Arial"/>
          <w:szCs w:val="24"/>
          <w:lang w:val="en-US" w:eastAsia="en-AU"/>
        </w:rPr>
        <w:t>n General Federal Law</w:t>
      </w:r>
      <w:r w:rsidR="003B2F16">
        <w:rPr>
          <w:rFonts w:eastAsia="Times New Roman" w:cs="Arial"/>
          <w:szCs w:val="24"/>
          <w:lang w:val="en-US" w:eastAsia="en-AU"/>
        </w:rPr>
        <w:t>,</w:t>
      </w:r>
      <w:r>
        <w:rPr>
          <w:rFonts w:eastAsia="Times New Roman" w:cs="Arial"/>
          <w:szCs w:val="24"/>
          <w:lang w:val="en-US" w:eastAsia="en-AU"/>
        </w:rPr>
        <w:t xml:space="preserve"> Division 2.2 of the </w:t>
      </w:r>
      <w:r w:rsidR="001E7B23" w:rsidRPr="001E7B23">
        <w:rPr>
          <w:rFonts w:eastAsia="Times New Roman" w:cs="Arial"/>
          <w:i/>
          <w:szCs w:val="24"/>
          <w:lang w:val="en-US" w:eastAsia="en-AU"/>
        </w:rPr>
        <w:t xml:space="preserve">Federal Circuit and Family Court of Australia </w:t>
      </w:r>
      <w:r w:rsidRPr="001E7B23">
        <w:rPr>
          <w:rFonts w:eastAsia="Times New Roman" w:cs="Arial"/>
          <w:i/>
          <w:szCs w:val="24"/>
          <w:lang w:val="en-US" w:eastAsia="en-AU"/>
        </w:rPr>
        <w:t>(Division 2</w:t>
      </w:r>
      <w:r w:rsidR="001E7B23" w:rsidRPr="001E7B23">
        <w:rPr>
          <w:rFonts w:eastAsia="Times New Roman" w:cs="Arial"/>
          <w:i/>
          <w:szCs w:val="24"/>
          <w:lang w:val="en-US" w:eastAsia="en-AU"/>
        </w:rPr>
        <w:t>)</w:t>
      </w:r>
      <w:r w:rsidRPr="001E7B23">
        <w:rPr>
          <w:rFonts w:eastAsia="Times New Roman" w:cs="Arial"/>
          <w:i/>
          <w:szCs w:val="24"/>
          <w:lang w:val="en-US" w:eastAsia="en-AU"/>
        </w:rPr>
        <w:t xml:space="preserve"> (General Federal Law) Rules 2021</w:t>
      </w:r>
      <w:r w:rsidR="001E7B23">
        <w:rPr>
          <w:rFonts w:eastAsia="Times New Roman" w:cs="Arial"/>
          <w:szCs w:val="24"/>
          <w:lang w:val="en-US" w:eastAsia="en-AU"/>
        </w:rPr>
        <w:t xml:space="preserve"> </w:t>
      </w:r>
      <w:r w:rsidR="00D65398" w:rsidRPr="00B67DE0">
        <w:rPr>
          <w:rFonts w:eastAsia="Times New Roman" w:cs="Arial"/>
          <w:szCs w:val="24"/>
          <w:lang w:val="en-US" w:eastAsia="en-AU"/>
        </w:rPr>
        <w:t>applies</w:t>
      </w:r>
      <w:r w:rsidR="003F3601" w:rsidRPr="00B67DE0">
        <w:rPr>
          <w:rFonts w:eastAsia="Times New Roman" w:cs="Arial"/>
          <w:szCs w:val="24"/>
          <w:lang w:val="en-US" w:eastAsia="en-AU"/>
        </w:rPr>
        <w:t xml:space="preserve"> to the filing of documents including electronic filing</w:t>
      </w:r>
      <w:r>
        <w:rPr>
          <w:rFonts w:eastAsia="Times New Roman" w:cs="Arial"/>
          <w:szCs w:val="24"/>
          <w:lang w:val="en-US" w:eastAsia="en-AU"/>
        </w:rPr>
        <w:t>.</w:t>
      </w:r>
      <w:r w:rsidR="003F3601" w:rsidRPr="00B67DE0">
        <w:rPr>
          <w:rFonts w:eastAsia="Times New Roman" w:cs="Arial"/>
          <w:szCs w:val="24"/>
          <w:lang w:val="en-US" w:eastAsia="en-AU"/>
        </w:rPr>
        <w:t xml:space="preserve"> </w:t>
      </w:r>
    </w:p>
    <w:p w:rsidR="003F3601" w:rsidRPr="001E7B23" w:rsidRDefault="003F3601" w:rsidP="001E7B23">
      <w:pPr>
        <w:pStyle w:val="Heading2"/>
      </w:pPr>
      <w:r w:rsidRPr="001E7B23">
        <w:t xml:space="preserve">Document size </w:t>
      </w:r>
    </w:p>
    <w:p w:rsidR="003F3601" w:rsidRPr="00B67DE0" w:rsidRDefault="003F3601" w:rsidP="001E7B23">
      <w:pPr>
        <w:rPr>
          <w:lang w:val="en-US" w:eastAsia="en-AU"/>
        </w:rPr>
      </w:pPr>
      <w:r w:rsidRPr="00B67DE0">
        <w:rPr>
          <w:lang w:val="en-US" w:eastAsia="en-AU"/>
        </w:rPr>
        <w:t xml:space="preserve">There is a size limitation for documents </w:t>
      </w:r>
      <w:r w:rsidR="00506CDD" w:rsidRPr="00B67DE0">
        <w:rPr>
          <w:lang w:val="en-US" w:eastAsia="en-AU"/>
        </w:rPr>
        <w:t>eFiled via CCP</w:t>
      </w:r>
      <w:r w:rsidR="00DD4D12" w:rsidRPr="00B67DE0">
        <w:rPr>
          <w:lang w:val="en-US" w:eastAsia="en-AU"/>
        </w:rPr>
        <w:t>. This size restriction is 30Mb.</w:t>
      </w:r>
    </w:p>
    <w:p w:rsidR="003F3601" w:rsidRPr="00B67DE0" w:rsidRDefault="003F3601" w:rsidP="001E7B23">
      <w:pPr>
        <w:rPr>
          <w:lang w:val="en-US" w:eastAsia="en-AU"/>
        </w:rPr>
      </w:pPr>
      <w:r w:rsidRPr="00B67DE0">
        <w:rPr>
          <w:lang w:val="en-US" w:eastAsia="en-AU"/>
        </w:rPr>
        <w:t>If you have a document over the size restriction, there are several suggested options to reduce the size of the document.</w:t>
      </w:r>
    </w:p>
    <w:p w:rsidR="003F3601" w:rsidRPr="00B67DE0" w:rsidRDefault="003F3601" w:rsidP="001E7B23">
      <w:pPr>
        <w:rPr>
          <w:lang w:val="en-US" w:eastAsia="en-AU"/>
        </w:rPr>
      </w:pPr>
      <w:r w:rsidRPr="00B67DE0">
        <w:rPr>
          <w:lang w:val="en-US" w:eastAsia="en-AU"/>
        </w:rPr>
        <w:t xml:space="preserve">Adobe Acrobat v7.0 or higher allows you to open your PDF document and compress </w:t>
      </w:r>
      <w:r w:rsidR="00DD4D12" w:rsidRPr="00B67DE0">
        <w:rPr>
          <w:lang w:val="en-US" w:eastAsia="en-AU"/>
        </w:rPr>
        <w:t>it to become smaller in size.</w:t>
      </w:r>
    </w:p>
    <w:p w:rsidR="003F3601" w:rsidRPr="00B67DE0" w:rsidRDefault="00227E45" w:rsidP="001E7B23">
      <w:pPr>
        <w:rPr>
          <w:lang w:val="en-US" w:eastAsia="en-AU"/>
        </w:rPr>
      </w:pPr>
      <w:r w:rsidRPr="00B67DE0">
        <w:rPr>
          <w:lang w:val="en-US" w:eastAsia="en-AU"/>
        </w:rPr>
        <w:t xml:space="preserve">There are also a number of websites that provide information </w:t>
      </w:r>
      <w:r w:rsidR="000042B5" w:rsidRPr="00B67DE0">
        <w:rPr>
          <w:lang w:val="en-US" w:eastAsia="en-AU"/>
        </w:rPr>
        <w:t xml:space="preserve">and tools </w:t>
      </w:r>
      <w:r w:rsidR="006147C3" w:rsidRPr="00B67DE0">
        <w:rPr>
          <w:lang w:val="en-US" w:eastAsia="en-AU"/>
        </w:rPr>
        <w:t>on how to compress a PDF.</w:t>
      </w:r>
    </w:p>
    <w:p w:rsidR="003F3601" w:rsidRPr="001E7B23" w:rsidRDefault="00FE072F" w:rsidP="001E7B23">
      <w:pPr>
        <w:pStyle w:val="Heading2"/>
      </w:pPr>
      <w:r w:rsidRPr="001E7B23">
        <w:t>Requirements for eFiling under the rules</w:t>
      </w:r>
    </w:p>
    <w:p w:rsidR="003F3601" w:rsidRPr="00B67DE0" w:rsidRDefault="003F3601" w:rsidP="00FE072F">
      <w:pPr>
        <w:spacing w:after="0" w:line="240" w:lineRule="auto"/>
        <w:rPr>
          <w:rFonts w:eastAsia="Times New Roman" w:cs="Arial"/>
          <w:lang w:val="en-US" w:eastAsia="en-AU"/>
        </w:rPr>
      </w:pPr>
      <w:r w:rsidRPr="00B67DE0">
        <w:rPr>
          <w:rFonts w:eastAsia="Times New Roman" w:cs="Arial"/>
          <w:lang w:val="en-US" w:eastAsia="en-AU"/>
        </w:rPr>
        <w:t xml:space="preserve">Requirements for </w:t>
      </w:r>
      <w:r w:rsidR="00FE072F" w:rsidRPr="00B67DE0">
        <w:rPr>
          <w:rFonts w:eastAsia="Times New Roman" w:cs="Arial"/>
          <w:lang w:val="en-US" w:eastAsia="en-AU"/>
        </w:rPr>
        <w:t>eFiling</w:t>
      </w:r>
      <w:r w:rsidRPr="00B67DE0">
        <w:rPr>
          <w:rFonts w:eastAsia="Times New Roman" w:cs="Arial"/>
          <w:lang w:val="en-US" w:eastAsia="en-AU"/>
        </w:rPr>
        <w:t xml:space="preserve"> can be found in the following rules: </w:t>
      </w:r>
    </w:p>
    <w:p w:rsidR="001E7B23" w:rsidRPr="001E7B23" w:rsidRDefault="000D4DD2" w:rsidP="001E7B23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Arial"/>
          <w:lang w:val="en-US" w:eastAsia="en-AU"/>
        </w:rPr>
      </w:pPr>
      <w:r w:rsidRPr="001E7B23">
        <w:rPr>
          <w:rFonts w:eastAsia="Times New Roman" w:cs="Arial"/>
          <w:lang w:val="en-US" w:eastAsia="en-AU"/>
        </w:rPr>
        <w:t xml:space="preserve">Federal Circuit and Family Court of Australia (Family Law) </w:t>
      </w:r>
      <w:r w:rsidR="00FE072F" w:rsidRPr="001E7B23">
        <w:rPr>
          <w:rFonts w:eastAsia="Times New Roman" w:cs="Arial"/>
          <w:lang w:val="en-US" w:eastAsia="en-AU"/>
        </w:rPr>
        <w:t>Rule</w:t>
      </w:r>
      <w:r w:rsidR="00EA7527" w:rsidRPr="001E7B23">
        <w:rPr>
          <w:rFonts w:eastAsia="Times New Roman" w:cs="Arial"/>
          <w:lang w:val="en-US" w:eastAsia="en-AU"/>
        </w:rPr>
        <w:t>s</w:t>
      </w:r>
      <w:r w:rsidR="00227E45" w:rsidRPr="001E7B23">
        <w:rPr>
          <w:rFonts w:eastAsia="Times New Roman" w:cs="Arial"/>
          <w:lang w:val="en-US" w:eastAsia="en-AU"/>
        </w:rPr>
        <w:t xml:space="preserve"> </w:t>
      </w:r>
      <w:r w:rsidR="00EA7527" w:rsidRPr="001E7B23">
        <w:rPr>
          <w:rFonts w:eastAsia="Times New Roman" w:cs="Arial"/>
          <w:lang w:val="en-US" w:eastAsia="en-AU"/>
        </w:rPr>
        <w:t>20</w:t>
      </w:r>
      <w:r w:rsidRPr="001E7B23">
        <w:rPr>
          <w:rFonts w:eastAsia="Times New Roman" w:cs="Arial"/>
          <w:lang w:val="en-US" w:eastAsia="en-AU"/>
        </w:rPr>
        <w:t>21</w:t>
      </w:r>
      <w:r w:rsidR="00EA7527" w:rsidRPr="001E7B23">
        <w:rPr>
          <w:rFonts w:eastAsia="Times New Roman" w:cs="Arial"/>
          <w:lang w:val="en-US" w:eastAsia="en-AU"/>
        </w:rPr>
        <w:t xml:space="preserve"> – Rule </w:t>
      </w:r>
      <w:r w:rsidR="00227E45" w:rsidRPr="001E7B23">
        <w:rPr>
          <w:rFonts w:eastAsia="Times New Roman" w:cs="Arial"/>
          <w:lang w:val="en-US" w:eastAsia="en-AU"/>
        </w:rPr>
        <w:t>2.</w:t>
      </w:r>
      <w:r w:rsidRPr="001E7B23">
        <w:rPr>
          <w:rFonts w:eastAsia="Times New Roman" w:cs="Arial"/>
          <w:lang w:val="en-US" w:eastAsia="en-AU"/>
        </w:rPr>
        <w:t>23</w:t>
      </w:r>
      <w:r w:rsidR="001E7B23">
        <w:rPr>
          <w:rFonts w:eastAsia="Times New Roman" w:cs="Arial"/>
          <w:lang w:val="en-US" w:eastAsia="en-AU"/>
        </w:rPr>
        <w:t>.</w:t>
      </w:r>
    </w:p>
    <w:p w:rsidR="003F3601" w:rsidRPr="001E7B23" w:rsidRDefault="000D4DD2" w:rsidP="001E7B23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Arial"/>
          <w:lang w:val="en-US" w:eastAsia="en-AU"/>
        </w:rPr>
      </w:pPr>
      <w:r w:rsidRPr="001E7B23">
        <w:rPr>
          <w:rFonts w:eastAsia="Times New Roman" w:cs="Arial"/>
          <w:szCs w:val="24"/>
          <w:lang w:val="en-US" w:eastAsia="en-AU"/>
        </w:rPr>
        <w:t>Family Court of Australia (Division 2</w:t>
      </w:r>
      <w:r w:rsidR="006A0CA8">
        <w:rPr>
          <w:rFonts w:eastAsia="Times New Roman" w:cs="Arial"/>
          <w:szCs w:val="24"/>
          <w:lang w:val="en-US" w:eastAsia="en-AU"/>
        </w:rPr>
        <w:t>)</w:t>
      </w:r>
      <w:r w:rsidRPr="001E7B23">
        <w:rPr>
          <w:rFonts w:eastAsia="Times New Roman" w:cs="Arial"/>
          <w:szCs w:val="24"/>
          <w:lang w:val="en-US" w:eastAsia="en-AU"/>
        </w:rPr>
        <w:t xml:space="preserve"> (General Federal Law) Rules 2021</w:t>
      </w:r>
      <w:r w:rsidR="006A0CA8">
        <w:rPr>
          <w:rFonts w:eastAsia="Times New Roman" w:cs="Arial"/>
          <w:szCs w:val="24"/>
          <w:lang w:val="en-US" w:eastAsia="en-AU"/>
        </w:rPr>
        <w:t xml:space="preserve"> </w:t>
      </w:r>
      <w:r w:rsidR="00EA7527" w:rsidRPr="001E7B23">
        <w:rPr>
          <w:rFonts w:eastAsia="Times New Roman" w:cs="Arial"/>
          <w:lang w:val="en-US" w:eastAsia="en-AU"/>
        </w:rPr>
        <w:t>–</w:t>
      </w:r>
      <w:r w:rsidR="003F3601" w:rsidRPr="001E7B23">
        <w:rPr>
          <w:rFonts w:eastAsia="Times New Roman" w:cs="Arial"/>
          <w:lang w:val="en-US" w:eastAsia="en-AU"/>
        </w:rPr>
        <w:t xml:space="preserve"> </w:t>
      </w:r>
      <w:r w:rsidR="00EA7527" w:rsidRPr="001E7B23">
        <w:rPr>
          <w:rFonts w:eastAsia="Times New Roman" w:cs="Arial"/>
          <w:lang w:val="en-US" w:eastAsia="en-AU"/>
        </w:rPr>
        <w:t xml:space="preserve">Rule </w:t>
      </w:r>
      <w:r w:rsidR="00FE072F" w:rsidRPr="001E7B23">
        <w:rPr>
          <w:rFonts w:eastAsia="Times New Roman" w:cs="Arial"/>
          <w:lang w:val="en-US" w:eastAsia="en-AU"/>
        </w:rPr>
        <w:t>2.</w:t>
      </w:r>
      <w:r w:rsidRPr="001E7B23">
        <w:rPr>
          <w:rFonts w:eastAsia="Times New Roman" w:cs="Arial"/>
          <w:lang w:val="en-US" w:eastAsia="en-AU"/>
        </w:rPr>
        <w:t>08</w:t>
      </w:r>
      <w:r w:rsidR="00FE072F" w:rsidRPr="001E7B23">
        <w:rPr>
          <w:rFonts w:eastAsia="Times New Roman" w:cs="Arial"/>
          <w:lang w:val="en-US" w:eastAsia="en-AU"/>
        </w:rPr>
        <w:t>.</w:t>
      </w:r>
    </w:p>
    <w:p w:rsidR="00FE072F" w:rsidRPr="00B67DE0" w:rsidRDefault="00FE072F" w:rsidP="00926065">
      <w:pPr>
        <w:spacing w:before="240" w:after="0" w:line="240" w:lineRule="auto"/>
        <w:rPr>
          <w:rFonts w:eastAsia="Times New Roman" w:cs="Arial"/>
          <w:lang w:val="en-US" w:eastAsia="en-AU"/>
        </w:rPr>
      </w:pPr>
      <w:r w:rsidRPr="00B67DE0">
        <w:rPr>
          <w:rFonts w:eastAsia="Times New Roman" w:cs="Arial"/>
          <w:lang w:val="en-US" w:eastAsia="en-AU"/>
        </w:rPr>
        <w:t>Please also check for any current Practice Directions in the Rules</w:t>
      </w:r>
      <w:r w:rsidR="00A12995">
        <w:rPr>
          <w:rFonts w:eastAsia="Times New Roman" w:cs="Arial"/>
          <w:lang w:val="en-US" w:eastAsia="en-AU"/>
        </w:rPr>
        <w:t xml:space="preserve"> and Regulations section of the </w:t>
      </w:r>
      <w:r w:rsidR="001E7B23">
        <w:t>Court’s</w:t>
      </w:r>
      <w:r w:rsidRPr="00B67DE0">
        <w:rPr>
          <w:rFonts w:eastAsia="Times New Roman" w:cs="Arial"/>
          <w:lang w:val="en-US" w:eastAsia="en-AU"/>
        </w:rPr>
        <w:t xml:space="preserve"> website.</w:t>
      </w:r>
    </w:p>
    <w:p w:rsidR="00A2351B" w:rsidRPr="00B67DE0" w:rsidRDefault="00A2351B" w:rsidP="00926065">
      <w:pPr>
        <w:pStyle w:val="Heading2"/>
        <w:rPr>
          <w:rFonts w:asciiTheme="minorHAnsi" w:hAnsiTheme="minorHAnsi"/>
        </w:rPr>
      </w:pPr>
      <w:r w:rsidRPr="00B67DE0">
        <w:rPr>
          <w:rFonts w:asciiTheme="minorHAnsi" w:hAnsiTheme="minorHAnsi"/>
        </w:rPr>
        <w:t>I’m adhering to the above rules but my document/submission for filing</w:t>
      </w:r>
      <w:r w:rsidR="006147C3" w:rsidRPr="00B67DE0">
        <w:rPr>
          <w:rFonts w:asciiTheme="minorHAnsi" w:hAnsiTheme="minorHAnsi"/>
        </w:rPr>
        <w:t xml:space="preserve"> is still unable to be eFiled. </w:t>
      </w:r>
      <w:r w:rsidRPr="00B67DE0">
        <w:rPr>
          <w:rFonts w:asciiTheme="minorHAnsi" w:hAnsiTheme="minorHAnsi"/>
        </w:rPr>
        <w:t>What can I do?</w:t>
      </w:r>
    </w:p>
    <w:p w:rsidR="00A2351B" w:rsidRPr="00B67DE0" w:rsidRDefault="00A2351B" w:rsidP="001E7B23">
      <w:pPr>
        <w:rPr>
          <w:lang w:val="en-US" w:eastAsia="en-AU"/>
        </w:rPr>
      </w:pPr>
      <w:r w:rsidRPr="00B67DE0">
        <w:rPr>
          <w:lang w:val="en-US" w:eastAsia="en-AU"/>
        </w:rPr>
        <w:t xml:space="preserve">If your document is within the requirements or you have been granted leave to file a document or other submission (e.g. an annexure containing </w:t>
      </w:r>
      <w:proofErr w:type="spellStart"/>
      <w:proofErr w:type="gramStart"/>
      <w:r w:rsidRPr="00B67DE0">
        <w:rPr>
          <w:lang w:val="en-US" w:eastAsia="en-AU"/>
        </w:rPr>
        <w:t>cctv</w:t>
      </w:r>
      <w:proofErr w:type="spellEnd"/>
      <w:proofErr w:type="gramEnd"/>
      <w:r w:rsidRPr="00B67DE0">
        <w:rPr>
          <w:lang w:val="en-US" w:eastAsia="en-AU"/>
        </w:rPr>
        <w:t xml:space="preserve"> recordings) that is larger than 30MB, please </w:t>
      </w:r>
      <w:r w:rsidR="003D46DC">
        <w:rPr>
          <w:lang w:val="en-US" w:eastAsia="en-AU"/>
        </w:rPr>
        <w:t xml:space="preserve">contact the Court to obtain guidance on how to file your documents. </w:t>
      </w:r>
    </w:p>
    <w:p w:rsidR="001E7B23" w:rsidRDefault="001E7B23">
      <w:pPr>
        <w:spacing w:after="200"/>
        <w:rPr>
          <w:rFonts w:ascii="Arial" w:eastAsiaTheme="majorEastAsia" w:hAnsi="Arial" w:cstheme="majorBidi"/>
          <w:b/>
          <w:bCs/>
          <w:color w:val="000000" w:themeColor="text1"/>
          <w:sz w:val="24"/>
          <w:szCs w:val="26"/>
        </w:rPr>
      </w:pPr>
      <w:r>
        <w:br w:type="page"/>
      </w:r>
    </w:p>
    <w:p w:rsidR="003F3601" w:rsidRPr="001E7B23" w:rsidRDefault="003F3601" w:rsidP="001E7B23">
      <w:pPr>
        <w:pStyle w:val="Heading2"/>
      </w:pPr>
      <w:r w:rsidRPr="001E7B23">
        <w:lastRenderedPageBreak/>
        <w:t>Suggested checklist before lodging a document</w:t>
      </w:r>
    </w:p>
    <w:p w:rsidR="003F3601" w:rsidRPr="001E7B23" w:rsidRDefault="003F3601" w:rsidP="001E7B23">
      <w:pPr>
        <w:pStyle w:val="ListParagraph"/>
        <w:numPr>
          <w:ilvl w:val="0"/>
          <w:numId w:val="4"/>
        </w:numPr>
        <w:rPr>
          <w:lang w:val="en-US" w:eastAsia="en-AU"/>
        </w:rPr>
      </w:pPr>
      <w:r w:rsidRPr="001E7B23">
        <w:rPr>
          <w:lang w:val="en-US" w:eastAsia="en-AU"/>
        </w:rPr>
        <w:t>Check font size, colour and type are consistent with the Court’s suggestions.</w:t>
      </w:r>
    </w:p>
    <w:p w:rsidR="003F3601" w:rsidRPr="001E7B23" w:rsidRDefault="003F3601" w:rsidP="001E7B23">
      <w:pPr>
        <w:pStyle w:val="ListParagraph"/>
        <w:numPr>
          <w:ilvl w:val="0"/>
          <w:numId w:val="4"/>
        </w:numPr>
        <w:rPr>
          <w:lang w:val="en-US" w:eastAsia="en-AU"/>
        </w:rPr>
      </w:pPr>
      <w:r w:rsidRPr="001E7B23">
        <w:rPr>
          <w:lang w:val="en-US" w:eastAsia="en-AU"/>
        </w:rPr>
        <w:t xml:space="preserve">Remove any hidden text and accept all track changes. </w:t>
      </w:r>
    </w:p>
    <w:p w:rsidR="003F3601" w:rsidRPr="001E7B23" w:rsidRDefault="003F3601" w:rsidP="001E7B23">
      <w:pPr>
        <w:pStyle w:val="ListParagraph"/>
        <w:numPr>
          <w:ilvl w:val="0"/>
          <w:numId w:val="4"/>
        </w:numPr>
        <w:rPr>
          <w:lang w:val="en-US" w:eastAsia="en-AU"/>
        </w:rPr>
      </w:pPr>
      <w:r w:rsidRPr="001E7B23">
        <w:rPr>
          <w:lang w:val="en-US" w:eastAsia="en-AU"/>
        </w:rPr>
        <w:t>Deactivate any security settings in a document including password protection, encryption or feature restrictions.</w:t>
      </w:r>
    </w:p>
    <w:p w:rsidR="003F3601" w:rsidRPr="001E7B23" w:rsidRDefault="003F3601" w:rsidP="001E7B23">
      <w:pPr>
        <w:pStyle w:val="Heading2"/>
      </w:pPr>
      <w:r w:rsidRPr="001E7B23">
        <w:t>Glossary</w:t>
      </w:r>
    </w:p>
    <w:tbl>
      <w:tblPr>
        <w:tblW w:w="9242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80"/>
        <w:gridCol w:w="7662"/>
      </w:tblGrid>
      <w:tr w:rsidR="00926065" w:rsidRPr="00926065" w:rsidTr="00B67DE0">
        <w:trPr>
          <w:trHeight w:val="341"/>
          <w:tblCellSpacing w:w="15" w:type="dxa"/>
        </w:trPr>
        <w:tc>
          <w:tcPr>
            <w:tcW w:w="0" w:type="auto"/>
            <w:shd w:val="clear" w:color="auto" w:fill="FFFFFF" w:themeFill="background1"/>
            <w:tcMar>
              <w:top w:w="345" w:type="dxa"/>
              <w:left w:w="270" w:type="dxa"/>
              <w:bottom w:w="360" w:type="dxa"/>
              <w:right w:w="225" w:type="dxa"/>
            </w:tcMar>
            <w:vAlign w:val="center"/>
            <w:hideMark/>
          </w:tcPr>
          <w:p w:rsidR="003F3601" w:rsidRPr="00B67DE0" w:rsidRDefault="006147C3" w:rsidP="00B67DE0">
            <w:pPr>
              <w:spacing w:after="0" w:line="240" w:lineRule="auto"/>
              <w:rPr>
                <w:rFonts w:eastAsia="Times New Roman" w:cs="Arial"/>
                <w:color w:val="000000" w:themeColor="text1"/>
                <w:szCs w:val="24"/>
                <w:lang w:eastAsia="en-AU"/>
              </w:rPr>
            </w:pPr>
            <w:r w:rsidRPr="00B67DE0">
              <w:rPr>
                <w:rFonts w:eastAsia="Times New Roman" w:cs="Arial"/>
                <w:b/>
                <w:bCs/>
                <w:color w:val="000000" w:themeColor="text1"/>
                <w:szCs w:val="24"/>
                <w:lang w:eastAsia="en-AU"/>
              </w:rPr>
              <w:t>Term</w:t>
            </w:r>
          </w:p>
        </w:tc>
        <w:tc>
          <w:tcPr>
            <w:tcW w:w="0" w:type="auto"/>
            <w:shd w:val="clear" w:color="auto" w:fill="FFFFFF" w:themeFill="background1"/>
            <w:tcMar>
              <w:top w:w="345" w:type="dxa"/>
              <w:left w:w="270" w:type="dxa"/>
              <w:bottom w:w="360" w:type="dxa"/>
              <w:right w:w="225" w:type="dxa"/>
            </w:tcMar>
            <w:vAlign w:val="center"/>
            <w:hideMark/>
          </w:tcPr>
          <w:p w:rsidR="003F3601" w:rsidRPr="00B67DE0" w:rsidRDefault="003F3601" w:rsidP="00B67DE0">
            <w:pPr>
              <w:spacing w:after="0" w:line="240" w:lineRule="auto"/>
              <w:rPr>
                <w:rFonts w:eastAsia="Times New Roman" w:cs="Arial"/>
                <w:color w:val="000000" w:themeColor="text1"/>
                <w:szCs w:val="24"/>
                <w:lang w:eastAsia="en-AU"/>
              </w:rPr>
            </w:pPr>
            <w:r w:rsidRPr="00B67DE0">
              <w:rPr>
                <w:rFonts w:eastAsia="Times New Roman" w:cs="Arial"/>
                <w:b/>
                <w:bCs/>
                <w:color w:val="000000" w:themeColor="text1"/>
                <w:szCs w:val="24"/>
                <w:lang w:eastAsia="en-AU"/>
              </w:rPr>
              <w:t>Definition</w:t>
            </w:r>
          </w:p>
        </w:tc>
      </w:tr>
      <w:tr w:rsidR="00926065" w:rsidRPr="00926065" w:rsidTr="00B67DE0">
        <w:trPr>
          <w:trHeight w:val="45"/>
          <w:tblCellSpacing w:w="15" w:type="dxa"/>
        </w:trPr>
        <w:tc>
          <w:tcPr>
            <w:tcW w:w="0" w:type="auto"/>
            <w:shd w:val="clear" w:color="auto" w:fill="FFFFFF" w:themeFill="background1"/>
            <w:tcMar>
              <w:top w:w="345" w:type="dxa"/>
              <w:left w:w="270" w:type="dxa"/>
              <w:bottom w:w="360" w:type="dxa"/>
              <w:right w:w="225" w:type="dxa"/>
            </w:tcMar>
            <w:vAlign w:val="center"/>
            <w:hideMark/>
          </w:tcPr>
          <w:p w:rsidR="003F3601" w:rsidRPr="00B67DE0" w:rsidRDefault="003F3601" w:rsidP="00B67DE0">
            <w:pPr>
              <w:spacing w:after="0" w:line="240" w:lineRule="auto"/>
              <w:rPr>
                <w:rFonts w:eastAsia="Times New Roman" w:cs="Arial"/>
                <w:color w:val="000000" w:themeColor="text1"/>
                <w:szCs w:val="24"/>
                <w:lang w:eastAsia="en-AU"/>
              </w:rPr>
            </w:pPr>
            <w:r w:rsidRPr="00B67DE0">
              <w:rPr>
                <w:rFonts w:eastAsia="Times New Roman" w:cs="Arial"/>
                <w:b/>
                <w:bCs/>
                <w:color w:val="000000" w:themeColor="text1"/>
                <w:szCs w:val="24"/>
                <w:lang w:eastAsia="en-AU"/>
              </w:rPr>
              <w:t>DPI</w:t>
            </w:r>
          </w:p>
        </w:tc>
        <w:tc>
          <w:tcPr>
            <w:tcW w:w="0" w:type="auto"/>
            <w:shd w:val="clear" w:color="auto" w:fill="FFFFFF" w:themeFill="background1"/>
            <w:tcMar>
              <w:top w:w="345" w:type="dxa"/>
              <w:left w:w="270" w:type="dxa"/>
              <w:bottom w:w="360" w:type="dxa"/>
              <w:right w:w="225" w:type="dxa"/>
            </w:tcMar>
            <w:vAlign w:val="center"/>
            <w:hideMark/>
          </w:tcPr>
          <w:p w:rsidR="003F3601" w:rsidRPr="00B67DE0" w:rsidRDefault="003F3601" w:rsidP="00B67DE0">
            <w:pPr>
              <w:spacing w:after="0" w:line="240" w:lineRule="auto"/>
              <w:rPr>
                <w:rFonts w:eastAsia="Times New Roman" w:cs="Arial"/>
                <w:color w:val="000000" w:themeColor="text1"/>
                <w:szCs w:val="24"/>
                <w:lang w:eastAsia="en-AU"/>
              </w:rPr>
            </w:pPr>
            <w:r w:rsidRPr="00B67DE0">
              <w:rPr>
                <w:rFonts w:eastAsia="Times New Roman" w:cs="Arial"/>
                <w:color w:val="000000" w:themeColor="text1"/>
                <w:szCs w:val="24"/>
                <w:lang w:eastAsia="en-AU"/>
              </w:rPr>
              <w:t>Dots per inch (DPI) refers to the print resolution.</w:t>
            </w:r>
          </w:p>
        </w:tc>
      </w:tr>
      <w:tr w:rsidR="00926065" w:rsidRPr="00926065" w:rsidTr="00B67DE0">
        <w:trPr>
          <w:trHeight w:val="86"/>
          <w:tblCellSpacing w:w="15" w:type="dxa"/>
        </w:trPr>
        <w:tc>
          <w:tcPr>
            <w:tcW w:w="0" w:type="auto"/>
            <w:shd w:val="clear" w:color="auto" w:fill="FFFFFF" w:themeFill="background1"/>
            <w:tcMar>
              <w:top w:w="345" w:type="dxa"/>
              <w:left w:w="270" w:type="dxa"/>
              <w:bottom w:w="360" w:type="dxa"/>
              <w:right w:w="225" w:type="dxa"/>
            </w:tcMar>
            <w:vAlign w:val="center"/>
            <w:hideMark/>
          </w:tcPr>
          <w:p w:rsidR="003F3601" w:rsidRPr="00B67DE0" w:rsidRDefault="003F3601" w:rsidP="00B67DE0">
            <w:pPr>
              <w:spacing w:after="0" w:line="240" w:lineRule="auto"/>
              <w:rPr>
                <w:rFonts w:eastAsia="Times New Roman" w:cs="Arial"/>
                <w:color w:val="000000" w:themeColor="text1"/>
                <w:szCs w:val="24"/>
                <w:lang w:eastAsia="en-AU"/>
              </w:rPr>
            </w:pPr>
            <w:r w:rsidRPr="00B67DE0">
              <w:rPr>
                <w:rFonts w:eastAsia="Times New Roman" w:cs="Arial"/>
                <w:b/>
                <w:bCs/>
                <w:color w:val="000000" w:themeColor="text1"/>
                <w:szCs w:val="24"/>
                <w:lang w:eastAsia="en-AU"/>
              </w:rPr>
              <w:t>Encryption</w:t>
            </w:r>
          </w:p>
        </w:tc>
        <w:tc>
          <w:tcPr>
            <w:tcW w:w="0" w:type="auto"/>
            <w:shd w:val="clear" w:color="auto" w:fill="FFFFFF" w:themeFill="background1"/>
            <w:tcMar>
              <w:top w:w="345" w:type="dxa"/>
              <w:left w:w="270" w:type="dxa"/>
              <w:bottom w:w="360" w:type="dxa"/>
              <w:right w:w="225" w:type="dxa"/>
            </w:tcMar>
            <w:vAlign w:val="center"/>
            <w:hideMark/>
          </w:tcPr>
          <w:p w:rsidR="003F3601" w:rsidRPr="00B67DE0" w:rsidRDefault="003F3601" w:rsidP="00B67DE0">
            <w:pPr>
              <w:spacing w:after="0" w:line="240" w:lineRule="auto"/>
              <w:rPr>
                <w:rFonts w:eastAsia="Times New Roman" w:cs="Arial"/>
                <w:color w:val="000000" w:themeColor="text1"/>
                <w:szCs w:val="24"/>
                <w:lang w:eastAsia="en-AU"/>
              </w:rPr>
            </w:pPr>
            <w:r w:rsidRPr="00B67DE0">
              <w:rPr>
                <w:rFonts w:eastAsia="Times New Roman" w:cs="Arial"/>
                <w:color w:val="000000" w:themeColor="text1"/>
                <w:szCs w:val="24"/>
                <w:lang w:eastAsia="en-AU"/>
              </w:rPr>
              <w:t xml:space="preserve">Encryption is a method to encode a document so a third party cannot read it. </w:t>
            </w:r>
          </w:p>
        </w:tc>
      </w:tr>
      <w:tr w:rsidR="00926065" w:rsidRPr="00926065" w:rsidTr="00B67DE0">
        <w:trPr>
          <w:trHeight w:val="22"/>
          <w:tblCellSpacing w:w="15" w:type="dxa"/>
        </w:trPr>
        <w:tc>
          <w:tcPr>
            <w:tcW w:w="0" w:type="auto"/>
            <w:shd w:val="clear" w:color="auto" w:fill="FFFFFF" w:themeFill="background1"/>
            <w:tcMar>
              <w:top w:w="345" w:type="dxa"/>
              <w:left w:w="270" w:type="dxa"/>
              <w:bottom w:w="360" w:type="dxa"/>
              <w:right w:w="225" w:type="dxa"/>
            </w:tcMar>
            <w:vAlign w:val="center"/>
            <w:hideMark/>
          </w:tcPr>
          <w:p w:rsidR="003F3601" w:rsidRPr="00B67DE0" w:rsidRDefault="003F3601" w:rsidP="00B67DE0">
            <w:pPr>
              <w:spacing w:after="0" w:line="240" w:lineRule="auto"/>
              <w:rPr>
                <w:rFonts w:eastAsia="Times New Roman" w:cs="Arial"/>
                <w:color w:val="000000" w:themeColor="text1"/>
                <w:szCs w:val="24"/>
                <w:lang w:eastAsia="en-AU"/>
              </w:rPr>
            </w:pPr>
            <w:r w:rsidRPr="00B67DE0">
              <w:rPr>
                <w:rFonts w:eastAsia="Times New Roman" w:cs="Arial"/>
                <w:b/>
                <w:bCs/>
                <w:color w:val="000000" w:themeColor="text1"/>
                <w:szCs w:val="24"/>
                <w:lang w:eastAsia="en-AU"/>
              </w:rPr>
              <w:t>Hidden text</w:t>
            </w:r>
          </w:p>
        </w:tc>
        <w:tc>
          <w:tcPr>
            <w:tcW w:w="0" w:type="auto"/>
            <w:shd w:val="clear" w:color="auto" w:fill="FFFFFF" w:themeFill="background1"/>
            <w:tcMar>
              <w:top w:w="345" w:type="dxa"/>
              <w:left w:w="270" w:type="dxa"/>
              <w:bottom w:w="360" w:type="dxa"/>
              <w:right w:w="225" w:type="dxa"/>
            </w:tcMar>
            <w:vAlign w:val="center"/>
            <w:hideMark/>
          </w:tcPr>
          <w:p w:rsidR="003F3601" w:rsidRPr="00B67DE0" w:rsidRDefault="003F3601" w:rsidP="00B67DE0">
            <w:pPr>
              <w:spacing w:after="0" w:line="240" w:lineRule="auto"/>
              <w:rPr>
                <w:rFonts w:eastAsia="Times New Roman" w:cs="Arial"/>
                <w:color w:val="000000" w:themeColor="text1"/>
                <w:szCs w:val="24"/>
                <w:lang w:eastAsia="en-AU"/>
              </w:rPr>
            </w:pPr>
            <w:r w:rsidRPr="00B67DE0">
              <w:rPr>
                <w:rFonts w:eastAsia="Times New Roman" w:cs="Arial"/>
                <w:color w:val="000000" w:themeColor="text1"/>
                <w:szCs w:val="24"/>
                <w:lang w:eastAsia="en-AU"/>
              </w:rPr>
              <w:t xml:space="preserve">Documents can contain hidden text or comments that don't normally appear on screen. Consult your software package about how to see and remove hidden text from a document. </w:t>
            </w:r>
          </w:p>
        </w:tc>
      </w:tr>
    </w:tbl>
    <w:p w:rsidR="0034233F" w:rsidRDefault="0034233F">
      <w:pPr>
        <w:rPr>
          <w:rFonts w:ascii="Arial" w:hAnsi="Arial" w:cs="Arial"/>
        </w:rPr>
      </w:pPr>
    </w:p>
    <w:p w:rsidR="003C6A12" w:rsidRDefault="003C6A12">
      <w:pPr>
        <w:rPr>
          <w:rFonts w:ascii="Arial" w:hAnsi="Arial" w:cs="Arial"/>
        </w:rPr>
      </w:pPr>
    </w:p>
    <w:p w:rsidR="003C6A12" w:rsidRPr="001E7B23" w:rsidRDefault="003C6A12" w:rsidP="003C6A12">
      <w:pPr>
        <w:jc w:val="right"/>
        <w:rPr>
          <w:rFonts w:ascii="Arial" w:hAnsi="Arial" w:cs="Arial"/>
          <w:sz w:val="16"/>
          <w:szCs w:val="16"/>
        </w:rPr>
      </w:pPr>
      <w:r w:rsidRPr="001E7B23">
        <w:rPr>
          <w:rFonts w:ascii="Arial" w:hAnsi="Arial" w:cs="Arial"/>
          <w:sz w:val="16"/>
          <w:szCs w:val="16"/>
        </w:rPr>
        <w:t>0921V</w:t>
      </w:r>
      <w:r w:rsidR="00EA1C33">
        <w:rPr>
          <w:rFonts w:ascii="Arial" w:hAnsi="Arial" w:cs="Arial"/>
          <w:sz w:val="16"/>
          <w:szCs w:val="16"/>
        </w:rPr>
        <w:t>2</w:t>
      </w:r>
    </w:p>
    <w:sectPr w:rsidR="003C6A12" w:rsidRPr="001E7B23" w:rsidSect="0092606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065" w:rsidRDefault="00926065" w:rsidP="00926065">
      <w:pPr>
        <w:spacing w:after="0" w:line="240" w:lineRule="auto"/>
      </w:pPr>
      <w:r>
        <w:separator/>
      </w:r>
    </w:p>
  </w:endnote>
  <w:endnote w:type="continuationSeparator" w:id="0">
    <w:p w:rsidR="00926065" w:rsidRDefault="00926065" w:rsidP="009260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2D06" w:rsidRDefault="00DA2D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2D06" w:rsidRDefault="00DA2D0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2D06" w:rsidRDefault="00DA2D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065" w:rsidRDefault="00926065" w:rsidP="00926065">
      <w:pPr>
        <w:spacing w:after="0" w:line="240" w:lineRule="auto"/>
      </w:pPr>
      <w:r>
        <w:separator/>
      </w:r>
    </w:p>
  </w:footnote>
  <w:footnote w:type="continuationSeparator" w:id="0">
    <w:p w:rsidR="00926065" w:rsidRDefault="00926065" w:rsidP="009260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2D06" w:rsidRDefault="00DA2D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2D06" w:rsidRDefault="00DA2D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2D06" w:rsidRDefault="00DA2D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44DD9"/>
    <w:multiLevelType w:val="multilevel"/>
    <w:tmpl w:val="A37E96A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914F8D"/>
    <w:multiLevelType w:val="multilevel"/>
    <w:tmpl w:val="25127B92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5AC0325"/>
    <w:multiLevelType w:val="hybridMultilevel"/>
    <w:tmpl w:val="E026D2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B340D7"/>
    <w:multiLevelType w:val="hybridMultilevel"/>
    <w:tmpl w:val="5DFE46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601"/>
    <w:rsid w:val="000042B5"/>
    <w:rsid w:val="00071170"/>
    <w:rsid w:val="000D4DD2"/>
    <w:rsid w:val="00166421"/>
    <w:rsid w:val="00167CF9"/>
    <w:rsid w:val="001D3C75"/>
    <w:rsid w:val="001E7B23"/>
    <w:rsid w:val="0020083B"/>
    <w:rsid w:val="00227E45"/>
    <w:rsid w:val="00265162"/>
    <w:rsid w:val="00271EA9"/>
    <w:rsid w:val="002C1BCE"/>
    <w:rsid w:val="0034233F"/>
    <w:rsid w:val="00382F38"/>
    <w:rsid w:val="003B2F16"/>
    <w:rsid w:val="003B3FB5"/>
    <w:rsid w:val="003C6A12"/>
    <w:rsid w:val="003D46DC"/>
    <w:rsid w:val="003F0621"/>
    <w:rsid w:val="003F3601"/>
    <w:rsid w:val="00425A63"/>
    <w:rsid w:val="004618A0"/>
    <w:rsid w:val="004E79EA"/>
    <w:rsid w:val="00506CDD"/>
    <w:rsid w:val="006147C3"/>
    <w:rsid w:val="006A0CA8"/>
    <w:rsid w:val="006C758C"/>
    <w:rsid w:val="007D0FEF"/>
    <w:rsid w:val="00875047"/>
    <w:rsid w:val="00926065"/>
    <w:rsid w:val="009737CA"/>
    <w:rsid w:val="009E0F3B"/>
    <w:rsid w:val="00A12995"/>
    <w:rsid w:val="00A2351B"/>
    <w:rsid w:val="00A32CA2"/>
    <w:rsid w:val="00A905D9"/>
    <w:rsid w:val="00AA38E6"/>
    <w:rsid w:val="00B35FB9"/>
    <w:rsid w:val="00B67DE0"/>
    <w:rsid w:val="00B86BAF"/>
    <w:rsid w:val="00CD28F7"/>
    <w:rsid w:val="00D12DB4"/>
    <w:rsid w:val="00D54619"/>
    <w:rsid w:val="00D6473B"/>
    <w:rsid w:val="00D65398"/>
    <w:rsid w:val="00D65F99"/>
    <w:rsid w:val="00DA2D06"/>
    <w:rsid w:val="00DD4D12"/>
    <w:rsid w:val="00DF3C54"/>
    <w:rsid w:val="00EA1C33"/>
    <w:rsid w:val="00EA7527"/>
    <w:rsid w:val="00EC31A0"/>
    <w:rsid w:val="00ED4C0D"/>
    <w:rsid w:val="00FE0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85E58A7"/>
  <w15:chartTrackingRefBased/>
  <w15:docId w15:val="{E4BA97DC-6578-4117-964E-BFB241F40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4619"/>
    <w:pPr>
      <w:spacing w:after="240"/>
    </w:pPr>
  </w:style>
  <w:style w:type="paragraph" w:styleId="Heading1">
    <w:name w:val="heading 1"/>
    <w:basedOn w:val="Normal"/>
    <w:next w:val="Normal"/>
    <w:link w:val="Heading1Char"/>
    <w:uiPriority w:val="9"/>
    <w:qFormat/>
    <w:rsid w:val="00D54619"/>
    <w:pPr>
      <w:keepNext/>
      <w:keepLines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54619"/>
    <w:pPr>
      <w:keepNext/>
      <w:keepLines/>
      <w:spacing w:before="200" w:after="120"/>
      <w:outlineLvl w:val="1"/>
    </w:pPr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54619"/>
    <w:pPr>
      <w:keepNext/>
      <w:keepLines/>
      <w:spacing w:before="200" w:after="0"/>
      <w:outlineLvl w:val="2"/>
    </w:pPr>
    <w:rPr>
      <w:rFonts w:ascii="Arial" w:eastAsiaTheme="majorEastAsia" w:hAnsi="Arial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4619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5461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4619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54619"/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character" w:styleId="Hyperlink">
    <w:name w:val="Hyperlink"/>
    <w:basedOn w:val="DefaultParagraphFont"/>
    <w:uiPriority w:val="99"/>
    <w:unhideWhenUsed/>
    <w:rsid w:val="003F3601"/>
    <w:rPr>
      <w:rFonts w:ascii="Arial" w:hAnsi="Arial" w:cs="Arial" w:hint="default"/>
      <w:color w:val="000000"/>
      <w:u w:val="single"/>
    </w:rPr>
  </w:style>
  <w:style w:type="paragraph" w:styleId="NormalWeb">
    <w:name w:val="Normal (Web)"/>
    <w:basedOn w:val="Normal"/>
    <w:uiPriority w:val="99"/>
    <w:semiHidden/>
    <w:unhideWhenUsed/>
    <w:rsid w:val="003F3601"/>
    <w:pPr>
      <w:spacing w:after="300" w:line="240" w:lineRule="auto"/>
    </w:pPr>
    <w:rPr>
      <w:rFonts w:ascii="Arial" w:eastAsia="Times New Roman" w:hAnsi="Arial" w:cs="Arial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rsid w:val="003F3601"/>
    <w:rPr>
      <w:i/>
      <w:iCs/>
    </w:rPr>
  </w:style>
  <w:style w:type="character" w:styleId="Strong">
    <w:name w:val="Strong"/>
    <w:basedOn w:val="DefaultParagraphFont"/>
    <w:uiPriority w:val="22"/>
    <w:qFormat/>
    <w:rsid w:val="00D54619"/>
    <w:rPr>
      <w:b/>
      <w:bCs/>
    </w:rPr>
  </w:style>
  <w:style w:type="paragraph" w:styleId="ListParagraph">
    <w:name w:val="List Paragraph"/>
    <w:basedOn w:val="Normal"/>
    <w:uiPriority w:val="34"/>
    <w:qFormat/>
    <w:rsid w:val="00D54619"/>
    <w:pPr>
      <w:ind w:left="720"/>
      <w:contextualSpacing/>
    </w:pPr>
  </w:style>
  <w:style w:type="paragraph" w:styleId="Revision">
    <w:name w:val="Revision"/>
    <w:hidden/>
    <w:uiPriority w:val="99"/>
    <w:semiHidden/>
    <w:rsid w:val="000042B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2C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2CA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260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6065"/>
  </w:style>
  <w:style w:type="paragraph" w:styleId="Footer">
    <w:name w:val="footer"/>
    <w:basedOn w:val="Normal"/>
    <w:link w:val="FooterChar"/>
    <w:uiPriority w:val="99"/>
    <w:unhideWhenUsed/>
    <w:rsid w:val="009260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6065"/>
  </w:style>
  <w:style w:type="paragraph" w:customStyle="1" w:styleId="ARbodytext">
    <w:name w:val="AR body text"/>
    <w:basedOn w:val="Normal"/>
    <w:qFormat/>
    <w:rsid w:val="00D54619"/>
    <w:pPr>
      <w:spacing w:after="0"/>
    </w:pPr>
    <w:rPr>
      <w:rFonts w:ascii="Arial" w:hAnsi="Arial"/>
      <w:sz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4619"/>
    <w:rPr>
      <w:rFonts w:ascii="Arial" w:eastAsiaTheme="majorEastAsia" w:hAnsi="Arial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54619"/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54619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D54619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5461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29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9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55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493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74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036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030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3626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9325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46769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42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725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Preparing documents for eFiling</vt:lpstr>
    </vt:vector>
  </TitlesOfParts>
  <Company/>
  <LinksUpToDate>false</LinksUpToDate>
  <CharactersWithSpaces>4853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Preparing documents for eFiling</dc:title>
  <dc:subject/>
  <dc:creator>Federal Circuit and Family Court of Australia</dc:creator>
  <cp:keywords/>
  <dc:description/>
  <cp:lastModifiedBy>Kate Naylor</cp:lastModifiedBy>
  <cp:revision>3</cp:revision>
  <dcterms:created xsi:type="dcterms:W3CDTF">2023-02-13T00:38:00Z</dcterms:created>
  <dcterms:modified xsi:type="dcterms:W3CDTF">2023-02-13T00:39:00Z</dcterms:modified>
</cp:coreProperties>
</file>