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553EDE" w14:textId="6FBA4153" w:rsidR="00513527" w:rsidRDefault="004D2794" w:rsidP="00BE190A">
      <w:pPr>
        <w:pStyle w:val="Heading2"/>
      </w:pPr>
      <w:bookmarkStart w:id="0" w:name="_GoBack"/>
      <w:bookmarkEnd w:id="0"/>
      <w:r>
        <w:rPr>
          <w:noProof/>
        </w:rPr>
        <w:drawing>
          <wp:anchor distT="0" distB="0" distL="114300" distR="114300" simplePos="0" relativeHeight="251658240" behindDoc="1" locked="0" layoutInCell="1" allowOverlap="1" wp14:anchorId="59EFBA64" wp14:editId="4A49CF46">
            <wp:simplePos x="0" y="0"/>
            <wp:positionH relativeFrom="column">
              <wp:posOffset>-808892</wp:posOffset>
            </wp:positionH>
            <wp:positionV relativeFrom="page">
              <wp:posOffset>111760</wp:posOffset>
            </wp:positionV>
            <wp:extent cx="7326630" cy="1697990"/>
            <wp:effectExtent l="0" t="0" r="762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H_topper-01-01.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326630" cy="1697990"/>
                    </a:xfrm>
                    <a:prstGeom prst="rect">
                      <a:avLst/>
                    </a:prstGeom>
                  </pic:spPr>
                </pic:pic>
              </a:graphicData>
            </a:graphic>
            <wp14:sizeRelH relativeFrom="page">
              <wp14:pctWidth>0</wp14:pctWidth>
            </wp14:sizeRelH>
            <wp14:sizeRelV relativeFrom="page">
              <wp14:pctHeight>0</wp14:pctHeight>
            </wp14:sizeRelV>
          </wp:anchor>
        </w:drawing>
      </w:r>
    </w:p>
    <w:p w14:paraId="4359A16A" w14:textId="4306977D" w:rsidR="009430CF" w:rsidRPr="00CE655D" w:rsidRDefault="00BE25A5" w:rsidP="00E90B49">
      <w:pPr>
        <w:spacing w:before="840" w:after="120"/>
        <w:jc w:val="right"/>
        <w:rPr>
          <w:b/>
          <w:sz w:val="24"/>
          <w:szCs w:val="24"/>
        </w:rPr>
      </w:pPr>
      <w:r>
        <w:rPr>
          <w:b/>
          <w:sz w:val="24"/>
          <w:szCs w:val="24"/>
        </w:rPr>
        <w:t>15</w:t>
      </w:r>
      <w:r w:rsidR="0019441F">
        <w:rPr>
          <w:b/>
          <w:sz w:val="24"/>
          <w:szCs w:val="24"/>
        </w:rPr>
        <w:t xml:space="preserve"> November</w:t>
      </w:r>
      <w:r w:rsidR="00603B84">
        <w:rPr>
          <w:b/>
          <w:sz w:val="24"/>
          <w:szCs w:val="24"/>
        </w:rPr>
        <w:t xml:space="preserve"> 2022</w:t>
      </w:r>
    </w:p>
    <w:p w14:paraId="32E327C7" w14:textId="6A989CDF" w:rsidR="0019441F" w:rsidRPr="0019441F" w:rsidRDefault="004E75A6" w:rsidP="004E75A6">
      <w:pPr>
        <w:pStyle w:val="Heading1"/>
      </w:pPr>
      <w:r w:rsidRPr="00E93C23">
        <w:t>Update to the Profession #</w:t>
      </w:r>
      <w:r w:rsidR="00BE25A5" w:rsidRPr="002A17FA">
        <w:t>3</w:t>
      </w:r>
      <w:r>
        <w:t>:</w:t>
      </w:r>
      <w:r>
        <w:br/>
      </w:r>
      <w:r w:rsidR="0019441F" w:rsidRPr="004E75A6">
        <w:t xml:space="preserve">Lighthouse Model Expansion – </w:t>
      </w:r>
      <w:r w:rsidR="00BE25A5">
        <w:t>The Evatt List</w:t>
      </w:r>
    </w:p>
    <w:p w14:paraId="66A30680" w14:textId="1297B091" w:rsidR="00603B84" w:rsidRPr="00603B84" w:rsidRDefault="00603B84" w:rsidP="00603B84">
      <w:pPr>
        <w:rPr>
          <w:i/>
        </w:rPr>
      </w:pPr>
      <w:r w:rsidRPr="00603B84">
        <w:rPr>
          <w:i/>
        </w:rPr>
        <w:t xml:space="preserve">New court </w:t>
      </w:r>
      <w:r w:rsidR="002B6716">
        <w:rPr>
          <w:i/>
        </w:rPr>
        <w:t>reform</w:t>
      </w:r>
      <w:r w:rsidRPr="00603B84">
        <w:rPr>
          <w:i/>
        </w:rPr>
        <w:t xml:space="preserve"> focuses on the safety of children and their families by identifying and addressing issues of family violence and other risks </w:t>
      </w:r>
    </w:p>
    <w:p w14:paraId="5B6B2AA2" w14:textId="65BF3FAB" w:rsidR="001318C9" w:rsidRDefault="001318C9" w:rsidP="00CF1F59">
      <w:r>
        <w:t xml:space="preserve">The </w:t>
      </w:r>
      <w:r w:rsidRPr="00F6574D">
        <w:t xml:space="preserve">Federal Circuit and Family Court of Australia (Division 1) and the Federal Circuit and Family Court of Australia (Division 2) (the Courts) </w:t>
      </w:r>
      <w:r>
        <w:t>are delighted to provide the third update in the lead up to the commencement</w:t>
      </w:r>
      <w:r w:rsidR="003B50D9">
        <w:t xml:space="preserve"> on 28 November 2022</w:t>
      </w:r>
      <w:r>
        <w:t xml:space="preserve"> of the expansion of the Lighthouse model and the Evatt List. </w:t>
      </w:r>
      <w:r w:rsidR="00CF1F59" w:rsidRPr="00CF1F59">
        <w:t xml:space="preserve">You can also find out more from </w:t>
      </w:r>
      <w:r>
        <w:t xml:space="preserve">the </w:t>
      </w:r>
      <w:hyperlink r:id="rId12" w:history="1">
        <w:r w:rsidRPr="00CF1F59">
          <w:rPr>
            <w:rStyle w:val="Hyperlink"/>
            <w:rFonts w:cstheme="minorBidi"/>
          </w:rPr>
          <w:t>previous updates</w:t>
        </w:r>
      </w:hyperlink>
      <w:r w:rsidR="00CF1F59">
        <w:t>.</w:t>
      </w:r>
    </w:p>
    <w:p w14:paraId="394F811D" w14:textId="38DC129D" w:rsidR="001318C9" w:rsidRDefault="001318C9" w:rsidP="00381122">
      <w:r>
        <w:t>The third update focuses on the Evatt List</w:t>
      </w:r>
      <w:r w:rsidR="003B50D9">
        <w:t xml:space="preserve"> which is</w:t>
      </w:r>
      <w:r>
        <w:t xml:space="preserve"> the Courts’ specialist list for those matters that are considered to be of the highest risk, with a focus on family violence and other family safety risks. The Evatt L</w:t>
      </w:r>
      <w:r w:rsidRPr="00C46AF4">
        <w:t>ist ensures that familie</w:t>
      </w:r>
      <w:r w:rsidR="003B50D9">
        <w:t>s are provided with appropriate</w:t>
      </w:r>
      <w:r w:rsidRPr="00C46AF4">
        <w:t xml:space="preserve"> support to safeguard against family violence and other associated risks. It also ensures cases are managed through the Court process as efficien</w:t>
      </w:r>
      <w:r>
        <w:t xml:space="preserve">tly and effectively as possible, with a focus on identifying risks and early information gathering. </w:t>
      </w:r>
    </w:p>
    <w:p w14:paraId="3A18FD78" w14:textId="09A4EA2B" w:rsidR="001318C9" w:rsidRPr="002E734A" w:rsidRDefault="001318C9" w:rsidP="00381122">
      <w:pPr>
        <w:rPr>
          <w:b/>
          <w:szCs w:val="20"/>
        </w:rPr>
      </w:pPr>
      <w:r w:rsidRPr="00817C57">
        <w:rPr>
          <w:b/>
          <w:szCs w:val="20"/>
        </w:rPr>
        <w:t xml:space="preserve">The next webinar will be held </w:t>
      </w:r>
      <w:r w:rsidR="00E61F03" w:rsidRPr="00817C57">
        <w:rPr>
          <w:b/>
          <w:szCs w:val="20"/>
        </w:rPr>
        <w:t>tomorrow</w:t>
      </w:r>
      <w:r w:rsidRPr="00817C57">
        <w:rPr>
          <w:b/>
          <w:szCs w:val="20"/>
        </w:rPr>
        <w:t xml:space="preserve">, </w:t>
      </w:r>
      <w:hyperlink r:id="rId13" w:history="1">
        <w:r w:rsidRPr="00817C57">
          <w:rPr>
            <w:rStyle w:val="Hyperlink"/>
            <w:rFonts w:ascii="Arial" w:hAnsi="Arial" w:cs="Arial"/>
            <w:b/>
            <w:sz w:val="20"/>
            <w:szCs w:val="20"/>
          </w:rPr>
          <w:t>Wednesday 16 November 2022 4pm ACST/ 4.30pm AEST/ 5pm ACDT/ 5.30pm AEDT</w:t>
        </w:r>
      </w:hyperlink>
      <w:r w:rsidRPr="00817C57">
        <w:rPr>
          <w:b/>
          <w:szCs w:val="20"/>
        </w:rPr>
        <w:t>.</w:t>
      </w:r>
    </w:p>
    <w:p w14:paraId="6BC0A674" w14:textId="77777777" w:rsidR="001318C9" w:rsidRDefault="001318C9" w:rsidP="00381122">
      <w:pPr>
        <w:pStyle w:val="Heading2"/>
      </w:pPr>
      <w:r w:rsidRPr="00001416">
        <w:t xml:space="preserve">The Evatt </w:t>
      </w:r>
      <w:r>
        <w:t>L</w:t>
      </w:r>
      <w:r w:rsidRPr="00001416">
        <w:t>ist</w:t>
      </w:r>
    </w:p>
    <w:p w14:paraId="58BEA361" w14:textId="14928087" w:rsidR="001318C9" w:rsidRPr="007A6C11" w:rsidRDefault="001318C9" w:rsidP="00381122">
      <w:pPr>
        <w:spacing w:after="0"/>
      </w:pPr>
      <w:r>
        <w:t xml:space="preserve">Matters are eligible to be placed on the Evatt List </w:t>
      </w:r>
      <w:r w:rsidRPr="007A6C11">
        <w:t>where the application to the Court</w:t>
      </w:r>
      <w:r>
        <w:t>s</w:t>
      </w:r>
      <w:r w:rsidRPr="007A6C11">
        <w:t xml:space="preserve"> is for </w:t>
      </w:r>
      <w:r w:rsidR="00E61F03">
        <w:t>“</w:t>
      </w:r>
      <w:r w:rsidRPr="007A6C11">
        <w:t>parenting</w:t>
      </w:r>
      <w:r w:rsidR="00E61F03">
        <w:t>”</w:t>
      </w:r>
      <w:r w:rsidRPr="007A6C11">
        <w:t xml:space="preserve"> orders, or </w:t>
      </w:r>
      <w:r w:rsidR="00E61F03">
        <w:t>“</w:t>
      </w:r>
      <w:r>
        <w:t>parenting and financial</w:t>
      </w:r>
      <w:r w:rsidR="00E61F03">
        <w:t>”</w:t>
      </w:r>
      <w:r>
        <w:t xml:space="preserve"> orders </w:t>
      </w:r>
      <w:r w:rsidRPr="007A6C11">
        <w:t>only</w:t>
      </w:r>
      <w:r>
        <w:t xml:space="preserve"> and in accordance with </w:t>
      </w:r>
      <w:r w:rsidRPr="004D6132">
        <w:t>Family Law Practice Direction – Evatt List (FAM-EVATT)</w:t>
      </w:r>
      <w:r>
        <w:t xml:space="preserve"> which will commence on 28 November 2022</w:t>
      </w:r>
      <w:r w:rsidRPr="004D6132">
        <w:t>.</w:t>
      </w:r>
      <w:r>
        <w:t xml:space="preserve"> </w:t>
      </w:r>
      <w:r w:rsidRPr="007A6C11">
        <w:t>It does not include:</w:t>
      </w:r>
    </w:p>
    <w:p w14:paraId="248EA82A" w14:textId="77777777" w:rsidR="001318C9" w:rsidRPr="007A6C11" w:rsidRDefault="001318C9" w:rsidP="00381122">
      <w:pPr>
        <w:pStyle w:val="ListParagraph"/>
        <w:numPr>
          <w:ilvl w:val="0"/>
          <w:numId w:val="26"/>
        </w:numPr>
      </w:pPr>
      <w:r>
        <w:t>matters</w:t>
      </w:r>
      <w:r w:rsidRPr="007A6C11">
        <w:t xml:space="preserve"> where only financial orders are sought </w:t>
      </w:r>
    </w:p>
    <w:p w14:paraId="0FD62AA1" w14:textId="77777777" w:rsidR="001318C9" w:rsidRPr="007A6C11" w:rsidRDefault="001318C9" w:rsidP="00381122">
      <w:pPr>
        <w:pStyle w:val="ListParagraph"/>
        <w:numPr>
          <w:ilvl w:val="0"/>
          <w:numId w:val="26"/>
        </w:numPr>
      </w:pPr>
      <w:r w:rsidRPr="007A6C11">
        <w:t>child support only cases</w:t>
      </w:r>
    </w:p>
    <w:p w14:paraId="262E0E06" w14:textId="77777777" w:rsidR="001318C9" w:rsidRPr="007A6C11" w:rsidRDefault="001318C9" w:rsidP="00381122">
      <w:pPr>
        <w:pStyle w:val="ListParagraph"/>
        <w:numPr>
          <w:ilvl w:val="0"/>
          <w:numId w:val="26"/>
        </w:numPr>
      </w:pPr>
      <w:r w:rsidRPr="007A6C11">
        <w:t>child maintenance only cases, or</w:t>
      </w:r>
    </w:p>
    <w:p w14:paraId="4FDCC41C" w14:textId="77777777" w:rsidR="001318C9" w:rsidRPr="007A6C11" w:rsidRDefault="001318C9" w:rsidP="00381122">
      <w:pPr>
        <w:pStyle w:val="ListParagraph"/>
        <w:numPr>
          <w:ilvl w:val="0"/>
          <w:numId w:val="26"/>
        </w:numPr>
      </w:pPr>
      <w:r w:rsidRPr="007A6C11">
        <w:t>contravention applications.</w:t>
      </w:r>
    </w:p>
    <w:p w14:paraId="635C4E65" w14:textId="28C01EFC" w:rsidR="001318C9" w:rsidRPr="007A6C11" w:rsidRDefault="001318C9" w:rsidP="00381122">
      <w:pPr>
        <w:spacing w:after="0"/>
      </w:pPr>
      <w:r w:rsidRPr="007A6C11">
        <w:t>In order to be referred to the Evatt List, at least one of the parties to the proceeding must</w:t>
      </w:r>
      <w:r w:rsidR="00316CE4">
        <w:t xml:space="preserve"> have</w:t>
      </w:r>
      <w:r w:rsidRPr="007A6C11">
        <w:t>:</w:t>
      </w:r>
    </w:p>
    <w:p w14:paraId="67386BEE" w14:textId="6D717D17" w:rsidR="001318C9" w:rsidRPr="007A6C11" w:rsidRDefault="001318C9" w:rsidP="00381122">
      <w:pPr>
        <w:pStyle w:val="ListParagraph"/>
        <w:numPr>
          <w:ilvl w:val="0"/>
          <w:numId w:val="27"/>
        </w:numPr>
      </w:pPr>
      <w:r w:rsidRPr="007A6C11">
        <w:t>complete</w:t>
      </w:r>
      <w:r w:rsidR="00316CE4">
        <w:t>d</w:t>
      </w:r>
      <w:r w:rsidRPr="007A6C11">
        <w:t xml:space="preserve"> the online risk screen Family DOORS Triage; and</w:t>
      </w:r>
    </w:p>
    <w:p w14:paraId="7A91713C" w14:textId="3B83904F" w:rsidR="001318C9" w:rsidRDefault="001318C9" w:rsidP="00381122">
      <w:pPr>
        <w:pStyle w:val="ListParagraph"/>
        <w:numPr>
          <w:ilvl w:val="0"/>
          <w:numId w:val="27"/>
        </w:numPr>
      </w:pPr>
      <w:r>
        <w:t>be</w:t>
      </w:r>
      <w:r w:rsidR="00316CE4">
        <w:t>en</w:t>
      </w:r>
      <w:r>
        <w:t xml:space="preserve"> identified as high</w:t>
      </w:r>
      <w:r w:rsidRPr="007A6C11">
        <w:t xml:space="preserve"> risk during the triage and risk screening process, including a review by a Triage Counsellor. </w:t>
      </w:r>
    </w:p>
    <w:p w14:paraId="38B1FA97" w14:textId="7707F0CA" w:rsidR="001318C9" w:rsidRDefault="001318C9" w:rsidP="00381122">
      <w:r>
        <w:t xml:space="preserve">It is important for you to </w:t>
      </w:r>
      <w:r w:rsidR="00AA1378">
        <w:t xml:space="preserve">note </w:t>
      </w:r>
      <w:r>
        <w:t xml:space="preserve">that matters cannot be placed on the Evatt List by way of transfer, order or request. </w:t>
      </w:r>
      <w:r w:rsidRPr="000D4CA8">
        <w:rPr>
          <w:lang w:val="en-GB"/>
        </w:rPr>
        <w:t>At the earliest stage of a matter coming before the Court</w:t>
      </w:r>
      <w:r w:rsidR="00AA1378">
        <w:rPr>
          <w:lang w:val="en-GB"/>
        </w:rPr>
        <w:t>s</w:t>
      </w:r>
      <w:r w:rsidRPr="000D4CA8">
        <w:rPr>
          <w:lang w:val="en-GB"/>
        </w:rPr>
        <w:t xml:space="preserve">, </w:t>
      </w:r>
      <w:r>
        <w:rPr>
          <w:lang w:val="en-GB"/>
        </w:rPr>
        <w:t>you should ensure that you speak to your client about risk screening, the benefits of undertaking</w:t>
      </w:r>
      <w:r w:rsidRPr="000D4CA8">
        <w:rPr>
          <w:lang w:val="en-GB"/>
        </w:rPr>
        <w:t xml:space="preserve"> the screen</w:t>
      </w:r>
      <w:r>
        <w:rPr>
          <w:lang w:val="en-GB"/>
        </w:rPr>
        <w:t xml:space="preserve"> and the Evatt List.</w:t>
      </w:r>
    </w:p>
    <w:p w14:paraId="1EE74CFF" w14:textId="0D73BB67" w:rsidR="001318C9" w:rsidRDefault="001318C9" w:rsidP="00381122">
      <w:r w:rsidRPr="007A6C11">
        <w:lastRenderedPageBreak/>
        <w:t xml:space="preserve">One of the key objectives of the Evatt </w:t>
      </w:r>
      <w:r>
        <w:t>List</w:t>
      </w:r>
      <w:r w:rsidRPr="007A6C11">
        <w:t xml:space="preserve"> is to ensure </w:t>
      </w:r>
      <w:r>
        <w:t xml:space="preserve">that when your client and their children </w:t>
      </w:r>
      <w:r w:rsidRPr="007A6C11">
        <w:t>have b</w:t>
      </w:r>
      <w:r>
        <w:t xml:space="preserve">een identified as being at high </w:t>
      </w:r>
      <w:r w:rsidRPr="007A6C11">
        <w:t>risk</w:t>
      </w:r>
      <w:r w:rsidR="0070370F">
        <w:t>, they</w:t>
      </w:r>
      <w:r w:rsidRPr="007A6C11">
        <w:t xml:space="preserve"> are provided with </w:t>
      </w:r>
      <w:r w:rsidR="00AA1378">
        <w:t>greater court resources</w:t>
      </w:r>
      <w:r w:rsidRPr="007A6C11">
        <w:t xml:space="preserve"> to support them and provide safeguards around risk</w:t>
      </w:r>
      <w:r w:rsidR="0070370F">
        <w:t>,</w:t>
      </w:r>
      <w:r w:rsidRPr="007A6C11">
        <w:t xml:space="preserve"> while closely managing the matter as it progresses through the Court system. The case management approach focuses on ensuring that critical and in-depth information is gathered a</w:t>
      </w:r>
      <w:r w:rsidR="0070370F">
        <w:t xml:space="preserve">nd collated from a variety of </w:t>
      </w:r>
      <w:r w:rsidRPr="007A6C11">
        <w:t>sources (such as police, child welfare and Court Child Experts) which helps to identify important issues for the first return listing, and throughout the course of the matter. The diagram below outlines the key court events and steps of the</w:t>
      </w:r>
      <w:r w:rsidR="00817C57">
        <w:t xml:space="preserve"> Evatt case management pathway.</w:t>
      </w:r>
    </w:p>
    <w:p w14:paraId="24C8E77F" w14:textId="19A7D478" w:rsidR="001318C9" w:rsidRPr="00417078" w:rsidRDefault="0077387F" w:rsidP="00417078">
      <w:pPr>
        <w:rPr>
          <w:rFonts w:ascii="Arial" w:hAnsi="Arial" w:cs="Arial"/>
          <w:sz w:val="20"/>
        </w:rPr>
      </w:pPr>
      <w:r>
        <w:rPr>
          <w:rFonts w:ascii="Arial" w:hAnsi="Arial" w:cs="Arial"/>
          <w:noProof/>
          <w:sz w:val="20"/>
        </w:rPr>
        <w:drawing>
          <wp:inline distT="0" distB="0" distL="0" distR="0" wp14:anchorId="568EC49A" wp14:editId="5F259ABD">
            <wp:extent cx="5731510" cy="1552575"/>
            <wp:effectExtent l="0" t="0" r="254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chematic.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31510" cy="1552575"/>
                    </a:xfrm>
                    <a:prstGeom prst="rect">
                      <a:avLst/>
                    </a:prstGeom>
                  </pic:spPr>
                </pic:pic>
              </a:graphicData>
            </a:graphic>
          </wp:inline>
        </w:drawing>
      </w:r>
    </w:p>
    <w:p w14:paraId="4A65B96B" w14:textId="77777777" w:rsidR="001318C9" w:rsidRDefault="001318C9" w:rsidP="00417078">
      <w:r>
        <w:t xml:space="preserve">When a matter is placed on the Evatt List, the Evatt Judicial Registrar will make an order and notify the parties. </w:t>
      </w:r>
    </w:p>
    <w:p w14:paraId="3B87263F" w14:textId="2A876DF6" w:rsidR="001318C9" w:rsidRDefault="001318C9" w:rsidP="00417078">
      <w:r w:rsidRPr="007A6C11">
        <w:t xml:space="preserve">A </w:t>
      </w:r>
      <w:r>
        <w:t>key principle</w:t>
      </w:r>
      <w:r w:rsidRPr="007A6C11">
        <w:t xml:space="preserve"> of the Evatt </w:t>
      </w:r>
      <w:r>
        <w:t>List</w:t>
      </w:r>
      <w:r w:rsidR="0070370F">
        <w:t>, is the early and front-</w:t>
      </w:r>
      <w:r w:rsidRPr="007A6C11">
        <w:t xml:space="preserve">ended proactive case management of the matter by the Evatt Judicial Registrar prior to its first listing date and interim hearing. This approach is designed to assist the Judge or Senior Judicial Registrar </w:t>
      </w:r>
      <w:r w:rsidR="0070370F">
        <w:t xml:space="preserve">to </w:t>
      </w:r>
      <w:r w:rsidRPr="007A6C11">
        <w:t>make the most appropriate decision as soon as practical, based on the evid</w:t>
      </w:r>
      <w:r>
        <w:t xml:space="preserve">ence gathered by the Evatt </w:t>
      </w:r>
      <w:r w:rsidRPr="007A6C11">
        <w:t>Judicial Registrar and parties.</w:t>
      </w:r>
      <w:r>
        <w:t xml:space="preserve"> To support this approach, the Evatt </w:t>
      </w:r>
      <w:r w:rsidRPr="007A6C11">
        <w:t>Judicial Registrar will conduct regular chambers events to ensure compliance with orders/directio</w:t>
      </w:r>
      <w:r w:rsidR="0070370F">
        <w:t xml:space="preserve">ns, pursue information, </w:t>
      </w:r>
      <w:r w:rsidRPr="007A6C11">
        <w:t>and liaise with Court Children’s Service as and when required</w:t>
      </w:r>
      <w:r>
        <w:t xml:space="preserve">. </w:t>
      </w:r>
    </w:p>
    <w:p w14:paraId="4AD319B3" w14:textId="77777777" w:rsidR="001318C9" w:rsidRDefault="001318C9" w:rsidP="00417078">
      <w:r>
        <w:t xml:space="preserve">The Courts have produced a series of guides which provide detailed information on the case management pathway events, timeframes, and expectations: </w:t>
      </w:r>
    </w:p>
    <w:p w14:paraId="1F8DC790" w14:textId="0AC78D69" w:rsidR="001318C9" w:rsidRPr="00186869" w:rsidRDefault="00392221" w:rsidP="00417078">
      <w:pPr>
        <w:pStyle w:val="ListParagraph"/>
        <w:numPr>
          <w:ilvl w:val="0"/>
          <w:numId w:val="28"/>
        </w:numPr>
      </w:pPr>
      <w:hyperlink r:id="rId15" w:history="1">
        <w:r w:rsidR="001318C9" w:rsidRPr="00CB1261">
          <w:rPr>
            <w:rStyle w:val="Hyperlink"/>
            <w:rFonts w:cstheme="minorBidi"/>
          </w:rPr>
          <w:t xml:space="preserve">Evatt List Guide for Practitioners </w:t>
        </w:r>
      </w:hyperlink>
    </w:p>
    <w:p w14:paraId="1D2DA97E" w14:textId="5CC8CEB6" w:rsidR="001318C9" w:rsidRPr="00186869" w:rsidRDefault="00392221" w:rsidP="00417078">
      <w:pPr>
        <w:pStyle w:val="ListParagraph"/>
        <w:numPr>
          <w:ilvl w:val="0"/>
          <w:numId w:val="28"/>
        </w:numPr>
      </w:pPr>
      <w:hyperlink r:id="rId16" w:history="1">
        <w:r w:rsidR="001318C9" w:rsidRPr="00FC6A47">
          <w:rPr>
            <w:rStyle w:val="Hyperlink"/>
            <w:rFonts w:cstheme="minorBidi"/>
          </w:rPr>
          <w:t xml:space="preserve">Evatt List Guide for Independent Children’s Lawyers </w:t>
        </w:r>
      </w:hyperlink>
    </w:p>
    <w:p w14:paraId="7BCC19DE" w14:textId="763889CC" w:rsidR="001318C9" w:rsidRPr="00186869" w:rsidRDefault="00392221" w:rsidP="00417078">
      <w:pPr>
        <w:pStyle w:val="ListParagraph"/>
        <w:numPr>
          <w:ilvl w:val="0"/>
          <w:numId w:val="28"/>
        </w:numPr>
      </w:pPr>
      <w:hyperlink r:id="rId17" w:history="1">
        <w:r w:rsidR="001318C9" w:rsidRPr="00186869">
          <w:rPr>
            <w:rStyle w:val="Hyperlink"/>
            <w:rFonts w:cstheme="minorBidi"/>
          </w:rPr>
          <w:t xml:space="preserve">Evatt List Guide for Parties </w:t>
        </w:r>
      </w:hyperlink>
    </w:p>
    <w:p w14:paraId="5E8FD6FB" w14:textId="72D4D6FF" w:rsidR="001318C9" w:rsidRPr="00A50646" w:rsidRDefault="001318C9" w:rsidP="00A50646">
      <w:r w:rsidRPr="00A23F5B">
        <w:t>In all matters, you must ensure that the material filed addresses any risks your client is experiencing to ensur</w:t>
      </w:r>
      <w:r w:rsidR="00C731E7">
        <w:t xml:space="preserve">e that the matter is directed </w:t>
      </w:r>
      <w:r w:rsidRPr="00A23F5B">
        <w:t>to the most appropriate case management pathway. You are also reminded of the obligation to inform the Court</w:t>
      </w:r>
      <w:r w:rsidR="00C731E7">
        <w:t>s</w:t>
      </w:r>
      <w:r w:rsidRPr="00A23F5B">
        <w:t xml:space="preserve"> of any family violence orders that apply to a party</w:t>
      </w:r>
      <w:r w:rsidR="00C0137D">
        <w:t>,</w:t>
      </w:r>
      <w:r w:rsidRPr="00A23F5B">
        <w:t xml:space="preserve"> to a child of the proceeding, or a member of the child’s family.</w:t>
      </w:r>
    </w:p>
    <w:p w14:paraId="4F37546B" w14:textId="77777777" w:rsidR="001318C9" w:rsidRPr="00F33775" w:rsidRDefault="001318C9" w:rsidP="00A50646">
      <w:pPr>
        <w:pStyle w:val="Heading2"/>
      </w:pPr>
      <w:r>
        <w:t>Risk</w:t>
      </w:r>
    </w:p>
    <w:p w14:paraId="18AE62AB" w14:textId="08AF2D3F" w:rsidR="001318C9" w:rsidRPr="007A6C11" w:rsidRDefault="00C731E7" w:rsidP="00A50646">
      <w:r>
        <w:t>Prior to this expansion of the Lighthouse model, important data as to risk was extracted from the project (a</w:t>
      </w:r>
      <w:r w:rsidR="001318C9" w:rsidRPr="007A6C11">
        <w:t>s at 30 June 2022</w:t>
      </w:r>
      <w:r>
        <w:t xml:space="preserve">). This data has shown that </w:t>
      </w:r>
      <w:r w:rsidR="001318C9" w:rsidRPr="007A6C11">
        <w:t xml:space="preserve">60% of </w:t>
      </w:r>
      <w:r>
        <w:t xml:space="preserve">Lighthouse risk </w:t>
      </w:r>
      <w:r w:rsidR="001318C9" w:rsidRPr="007A6C11">
        <w:t xml:space="preserve">screens are classified as high risk. Further, of those that are classified as high risk, 76% of </w:t>
      </w:r>
      <w:r w:rsidR="001318C9">
        <w:t xml:space="preserve">parties responding indicate that </w:t>
      </w:r>
      <w:r>
        <w:t xml:space="preserve">they </w:t>
      </w:r>
      <w:r w:rsidR="001318C9">
        <w:t>have experienced family violence</w:t>
      </w:r>
      <w:r w:rsidR="001318C9" w:rsidRPr="007A6C11">
        <w:t xml:space="preserve">. </w:t>
      </w:r>
    </w:p>
    <w:p w14:paraId="750BECC5" w14:textId="3BD2DEE0" w:rsidR="001318C9" w:rsidRDefault="001318C9" w:rsidP="00A50646">
      <w:r w:rsidRPr="007A6C11">
        <w:lastRenderedPageBreak/>
        <w:t>This is a significant result, and corresponds with the data collected through the Notice of Child Abuse, Family Violence or Risk (since 31 Octob</w:t>
      </w:r>
      <w:r w:rsidR="00052CDD">
        <w:t>er 2020), which indicates that 80</w:t>
      </w:r>
      <w:r w:rsidRPr="007A6C11">
        <w:t xml:space="preserve">% of parties allege they have experienced family violence and </w:t>
      </w:r>
      <w:r w:rsidR="00052CDD">
        <w:t>70</w:t>
      </w:r>
      <w:r w:rsidRPr="007A6C11">
        <w:t xml:space="preserve">% of parties allege a child has experienced </w:t>
      </w:r>
      <w:r w:rsidR="00052CDD">
        <w:t>abuse. 89</w:t>
      </w:r>
      <w:r w:rsidRPr="007A6C11">
        <w:t xml:space="preserve">% of cases allege one risk factor, and </w:t>
      </w:r>
      <w:r w:rsidR="00052CDD">
        <w:t xml:space="preserve">66% </w:t>
      </w:r>
      <w:r w:rsidRPr="007A6C11">
        <w:t xml:space="preserve">of cases allege 4 or more risk factors. </w:t>
      </w:r>
    </w:p>
    <w:p w14:paraId="658739AD" w14:textId="77777777" w:rsidR="001318C9" w:rsidRDefault="001318C9" w:rsidP="00A50646">
      <w:r>
        <w:t xml:space="preserve">One of the most important outcomes of the Pilot period for the Courts and profession alike, has been the increased awareness of family safety risks and applied learnings to all matters, irrespective of whether or not a matter has been formally identified as having high risk. </w:t>
      </w:r>
    </w:p>
    <w:p w14:paraId="0FBC8249" w14:textId="77777777" w:rsidR="001318C9" w:rsidRDefault="001318C9" w:rsidP="00A50646">
      <w:r>
        <w:t xml:space="preserve">The expansion of the Evatt List is an important reform to the family law case management pathway which ensures that the Courts continue to focus on supporting those families experiencing family violence and other family safety risks. </w:t>
      </w:r>
    </w:p>
    <w:p w14:paraId="78A70070" w14:textId="77777777" w:rsidR="001318C9" w:rsidRPr="008B7408" w:rsidRDefault="001318C9" w:rsidP="00A50646">
      <w:pPr>
        <w:pStyle w:val="Heading2"/>
      </w:pPr>
      <w:r w:rsidRPr="008B7408">
        <w:t>Further Information</w:t>
      </w:r>
    </w:p>
    <w:p w14:paraId="39C8B7E2" w14:textId="36A6C568" w:rsidR="001318C9" w:rsidRDefault="001318C9" w:rsidP="00A50646">
      <w:r>
        <w:t>Next week</w:t>
      </w:r>
      <w:r w:rsidR="00201B9D">
        <w:t>’s written</w:t>
      </w:r>
      <w:r>
        <w:t xml:space="preserve"> update will provide an overview of all the information and resources to </w:t>
      </w:r>
      <w:r w:rsidRPr="001E01B9">
        <w:t xml:space="preserve">support the legal profession, unrepresented litigants and parties to become familiar with the expansion of the </w:t>
      </w:r>
      <w:r w:rsidR="00201B9D">
        <w:t xml:space="preserve">Lighthouse </w:t>
      </w:r>
      <w:r w:rsidRPr="001E01B9">
        <w:t>model</w:t>
      </w:r>
      <w:r>
        <w:t xml:space="preserve">. </w:t>
      </w:r>
    </w:p>
    <w:p w14:paraId="4035778A" w14:textId="1DB802C9" w:rsidR="001E467B" w:rsidRPr="001E467B" w:rsidRDefault="001E467B" w:rsidP="00A50646">
      <w:r w:rsidRPr="001E467B">
        <w:t xml:space="preserve">Further </w:t>
      </w:r>
      <w:r w:rsidR="00201B9D">
        <w:t xml:space="preserve">webinars with detailed information on the Lighthouse model expansion </w:t>
      </w:r>
      <w:r w:rsidRPr="001E467B">
        <w:t xml:space="preserve">are scheduled as follows: </w:t>
      </w:r>
    </w:p>
    <w:p w14:paraId="19CCF853" w14:textId="46AE501E" w:rsidR="001E467B" w:rsidRPr="00160C21" w:rsidRDefault="00392221" w:rsidP="001E467B">
      <w:pPr>
        <w:numPr>
          <w:ilvl w:val="0"/>
          <w:numId w:val="17"/>
        </w:numPr>
        <w:rPr>
          <w:rStyle w:val="Hyperlink"/>
          <w:rFonts w:cstheme="minorBidi"/>
          <w:color w:val="auto"/>
          <w:u w:val="none"/>
        </w:rPr>
      </w:pPr>
      <w:hyperlink r:id="rId18" w:history="1">
        <w:r w:rsidR="001E467B" w:rsidRPr="00A65D80">
          <w:rPr>
            <w:rStyle w:val="Hyperlink"/>
            <w:rFonts w:cstheme="minorBidi"/>
          </w:rPr>
          <w:t>Tuesday 22 November 2022 3pm ACST/ 3.30pm AEST/ 4pm ACDT/ 4.30pm AEDT</w:t>
        </w:r>
      </w:hyperlink>
    </w:p>
    <w:p w14:paraId="523E5E81" w14:textId="688D4BDE" w:rsidR="00160C21" w:rsidRPr="001D4D12" w:rsidRDefault="00392221" w:rsidP="00160C21">
      <w:pPr>
        <w:numPr>
          <w:ilvl w:val="0"/>
          <w:numId w:val="17"/>
        </w:numPr>
      </w:pPr>
      <w:hyperlink r:id="rId19" w:history="1">
        <w:r w:rsidR="00160C21" w:rsidRPr="00D02DA4">
          <w:rPr>
            <w:rStyle w:val="Hyperlink"/>
            <w:rFonts w:cstheme="minorBidi"/>
          </w:rPr>
          <w:t>Thursday 24 November 2022 11.30am ACST/ 12pm AEST/ 12.30pm ACDT/ 1pm AEDT</w:t>
        </w:r>
      </w:hyperlink>
    </w:p>
    <w:p w14:paraId="4DD54643" w14:textId="77777777" w:rsidR="001E467B" w:rsidRPr="001E467B" w:rsidRDefault="001E467B" w:rsidP="0060141E">
      <w:pPr>
        <w:spacing w:before="360" w:after="120"/>
      </w:pPr>
      <w:r w:rsidRPr="001E467B">
        <w:rPr>
          <w:b/>
          <w:bCs/>
        </w:rPr>
        <w:t xml:space="preserve">The Honourable Justice William Alstergren AO </w:t>
      </w:r>
    </w:p>
    <w:p w14:paraId="09F5448C" w14:textId="77777777" w:rsidR="001E467B" w:rsidRPr="001E467B" w:rsidRDefault="001E467B" w:rsidP="00A93A71">
      <w:pPr>
        <w:spacing w:after="0"/>
      </w:pPr>
      <w:r w:rsidRPr="001E467B">
        <w:t xml:space="preserve">Chief Justice – Federal Circuit and Family Court of Australia (Division 1) </w:t>
      </w:r>
    </w:p>
    <w:p w14:paraId="215357EC" w14:textId="77777777" w:rsidR="001E467B" w:rsidRPr="001E467B" w:rsidRDefault="001E467B" w:rsidP="001E467B">
      <w:r w:rsidRPr="001E467B">
        <w:t>Chief Judge – Federal Circuit and Family Court of Australia (Division 2)</w:t>
      </w:r>
    </w:p>
    <w:tbl>
      <w:tblPr>
        <w:tblStyle w:val="TableGrid"/>
        <w:tblW w:w="0" w:type="auto"/>
        <w:tblBorders>
          <w:top w:val="single" w:sz="24" w:space="0" w:color="CAE7D6"/>
          <w:left w:val="single" w:sz="24" w:space="0" w:color="CAE7D6"/>
          <w:bottom w:val="single" w:sz="24" w:space="0" w:color="CAE7D6"/>
          <w:right w:val="single" w:sz="24" w:space="0" w:color="CAE7D6"/>
          <w:insideH w:val="single" w:sz="24" w:space="0" w:color="CAE7D6"/>
          <w:insideV w:val="single" w:sz="24" w:space="0" w:color="CAE7D6"/>
        </w:tblBorders>
        <w:tblLook w:val="04A0" w:firstRow="1" w:lastRow="0" w:firstColumn="1" w:lastColumn="0" w:noHBand="0" w:noVBand="1"/>
      </w:tblPr>
      <w:tblGrid>
        <w:gridCol w:w="8942"/>
      </w:tblGrid>
      <w:tr w:rsidR="001E467B" w:rsidRPr="001E467B" w14:paraId="0732B109" w14:textId="77777777" w:rsidTr="00E37A87">
        <w:trPr>
          <w:trHeight w:val="11310"/>
        </w:trPr>
        <w:tc>
          <w:tcPr>
            <w:tcW w:w="8942" w:type="dxa"/>
            <w:shd w:val="clear" w:color="auto" w:fill="auto"/>
          </w:tcPr>
          <w:p w14:paraId="1560C0E5" w14:textId="4677D561" w:rsidR="001E467B" w:rsidRPr="005A01D4" w:rsidRDefault="00B0195E" w:rsidP="00B0195E">
            <w:pPr>
              <w:pStyle w:val="Heading2"/>
              <w:spacing w:before="480" w:after="480"/>
              <w:ind w:left="1281"/>
              <w:outlineLvl w:val="1"/>
              <w:rPr>
                <w:sz w:val="32"/>
                <w:szCs w:val="32"/>
              </w:rPr>
            </w:pPr>
            <w:r w:rsidRPr="005E02C8">
              <w:rPr>
                <w:noProof/>
                <w:color w:val="404040" w:themeColor="text1" w:themeTint="BF"/>
              </w:rPr>
              <w:lastRenderedPageBreak/>
              <w:drawing>
                <wp:anchor distT="0" distB="0" distL="114300" distR="114300" simplePos="0" relativeHeight="251665408" behindDoc="0" locked="0" layoutInCell="1" allowOverlap="1" wp14:anchorId="44B583E8" wp14:editId="79668E29">
                  <wp:simplePos x="0" y="0"/>
                  <wp:positionH relativeFrom="column">
                    <wp:posOffset>-1089</wp:posOffset>
                  </wp:positionH>
                  <wp:positionV relativeFrom="paragraph">
                    <wp:posOffset>42998</wp:posOffset>
                  </wp:positionV>
                  <wp:extent cx="739775" cy="73977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evattlist-01.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739775" cy="739775"/>
                          </a:xfrm>
                          <a:prstGeom prst="rect">
                            <a:avLst/>
                          </a:prstGeom>
                        </pic:spPr>
                      </pic:pic>
                    </a:graphicData>
                  </a:graphic>
                  <wp14:sizeRelH relativeFrom="page">
                    <wp14:pctWidth>0</wp14:pctWidth>
                  </wp14:sizeRelH>
                  <wp14:sizeRelV relativeFrom="page">
                    <wp14:pctHeight>0</wp14:pctHeight>
                  </wp14:sizeRelV>
                </wp:anchor>
              </w:drawing>
            </w:r>
            <w:r w:rsidR="006662FE" w:rsidRPr="005E02C8">
              <w:rPr>
                <w:sz w:val="32"/>
                <w:szCs w:val="32"/>
              </w:rPr>
              <w:t xml:space="preserve">Evatt List </w:t>
            </w:r>
            <w:r w:rsidR="006662FE" w:rsidRPr="005E02C8">
              <w:rPr>
                <w:rFonts w:ascii="Courier New" w:hAnsi="Courier New" w:cs="Courier New"/>
                <w:sz w:val="32"/>
                <w:szCs w:val="32"/>
              </w:rPr>
              <w:t>-</w:t>
            </w:r>
            <w:r w:rsidR="006662FE" w:rsidRPr="005E02C8">
              <w:rPr>
                <w:sz w:val="32"/>
                <w:szCs w:val="32"/>
              </w:rPr>
              <w:t xml:space="preserve"> </w:t>
            </w:r>
            <w:r w:rsidR="001E467B" w:rsidRPr="005E02C8">
              <w:rPr>
                <w:sz w:val="32"/>
                <w:szCs w:val="32"/>
              </w:rPr>
              <w:t>Case Study</w:t>
            </w:r>
          </w:p>
          <w:p w14:paraId="0D06A099" w14:textId="02A8AB4F" w:rsidR="00BE25A5" w:rsidRPr="00BE25A5" w:rsidRDefault="00BE25A5" w:rsidP="005E02C8">
            <w:pPr>
              <w:spacing w:after="200" w:line="276" w:lineRule="auto"/>
              <w:ind w:left="288" w:right="173"/>
            </w:pPr>
            <w:r w:rsidRPr="00BE25A5">
              <w:t>The following case study outlines how the Evatt List can provide support and highlights the benefits that tailored case management can bring to both the matter in general, and to the parties involved.</w:t>
            </w:r>
          </w:p>
          <w:p w14:paraId="524BB418" w14:textId="77777777" w:rsidR="00BE25A5" w:rsidRPr="00BE25A5" w:rsidRDefault="00BE25A5" w:rsidP="005E02C8">
            <w:pPr>
              <w:pStyle w:val="Heading3"/>
              <w:ind w:left="288" w:right="173"/>
              <w:outlineLvl w:val="2"/>
            </w:pPr>
            <w:r w:rsidRPr="00BE25A5">
              <w:t>Facts:</w:t>
            </w:r>
          </w:p>
          <w:p w14:paraId="585A5D05" w14:textId="7C17D88A" w:rsidR="005E02C8" w:rsidRDefault="00BE25A5" w:rsidP="005E02C8">
            <w:pPr>
              <w:spacing w:after="200" w:line="276" w:lineRule="auto"/>
              <w:ind w:left="288" w:right="173"/>
            </w:pPr>
            <w:r w:rsidRPr="00BE25A5">
              <w:t xml:space="preserve">The </w:t>
            </w:r>
            <w:r w:rsidR="00B900C0">
              <w:t xml:space="preserve">legal representative filed </w:t>
            </w:r>
            <w:r w:rsidR="00201B9D">
              <w:t>an Initiating Application</w:t>
            </w:r>
            <w:r w:rsidRPr="00BE25A5">
              <w:t xml:space="preserve"> </w:t>
            </w:r>
            <w:r w:rsidR="00B900C0">
              <w:t xml:space="preserve">on behalf of the Applicant Mother </w:t>
            </w:r>
            <w:r w:rsidRPr="00BE25A5">
              <w:t>for the future parenting arrangements for</w:t>
            </w:r>
            <w:r w:rsidR="00B900C0">
              <w:t xml:space="preserve"> the parties’ young child. The A</w:t>
            </w:r>
            <w:r w:rsidRPr="00BE25A5">
              <w:t xml:space="preserve">pplicant completed the Family DOORS Triage questionnaire </w:t>
            </w:r>
            <w:r w:rsidR="00B900C0">
              <w:t xml:space="preserve">within 24 hours of receiving the invitation </w:t>
            </w:r>
            <w:r w:rsidRPr="00BE25A5">
              <w:t xml:space="preserve">and family violence </w:t>
            </w:r>
            <w:r w:rsidR="00B900C0">
              <w:t>risk was identified for the family</w:t>
            </w:r>
            <w:r w:rsidRPr="00BE25A5">
              <w:t xml:space="preserve">. </w:t>
            </w:r>
            <w:r w:rsidR="00B900C0">
              <w:t>The Applicant mother, upon speaking with a Triage Counsellor, received a number of referrals for domesti</w:t>
            </w:r>
            <w:r w:rsidR="002C1026">
              <w:t>c</w:t>
            </w:r>
            <w:r w:rsidR="00B900C0">
              <w:t xml:space="preserve"> and family violence agencies and services. </w:t>
            </w:r>
            <w:r w:rsidRPr="00BE25A5">
              <w:t>The matter was formally designated as an Evatt matter 15 days after filing</w:t>
            </w:r>
            <w:r w:rsidR="00201B9D">
              <w:t xml:space="preserve"> due to the serious and significant family violence risk</w:t>
            </w:r>
            <w:r w:rsidRPr="00BE25A5">
              <w:t xml:space="preserve">. </w:t>
            </w:r>
          </w:p>
          <w:p w14:paraId="3072A591" w14:textId="2E784E23" w:rsidR="00BE25A5" w:rsidRPr="00BE25A5" w:rsidRDefault="00BE25A5" w:rsidP="005E02C8">
            <w:pPr>
              <w:spacing w:line="276" w:lineRule="auto"/>
              <w:ind w:left="288" w:right="173"/>
            </w:pPr>
            <w:r w:rsidRPr="00BE25A5">
              <w:t>The matter was managed by the Evatt Judicial Registrar and chambers orders were made requesting:</w:t>
            </w:r>
          </w:p>
          <w:p w14:paraId="394685D1" w14:textId="28A74886" w:rsidR="00BE25A5" w:rsidRPr="00BE25A5" w:rsidRDefault="00201B9D" w:rsidP="005E02C8">
            <w:pPr>
              <w:pStyle w:val="ListParagraph"/>
              <w:numPr>
                <w:ilvl w:val="0"/>
                <w:numId w:val="30"/>
              </w:numPr>
              <w:ind w:left="713" w:right="173"/>
            </w:pPr>
            <w:r>
              <w:t xml:space="preserve">A Child Impact Report </w:t>
            </w:r>
          </w:p>
          <w:p w14:paraId="61886A1B" w14:textId="5F93E0CE" w:rsidR="00BE25A5" w:rsidRPr="00BE25A5" w:rsidRDefault="00201B9D" w:rsidP="005E02C8">
            <w:pPr>
              <w:pStyle w:val="ListParagraph"/>
              <w:numPr>
                <w:ilvl w:val="0"/>
                <w:numId w:val="30"/>
              </w:numPr>
              <w:ind w:left="713" w:right="173"/>
            </w:pPr>
            <w:r>
              <w:t xml:space="preserve">Appointment of an </w:t>
            </w:r>
            <w:r w:rsidR="00BE25A5" w:rsidRPr="00BE25A5">
              <w:t xml:space="preserve">Independent Children’s </w:t>
            </w:r>
            <w:r>
              <w:t>Lawyer</w:t>
            </w:r>
          </w:p>
          <w:p w14:paraId="495B7D14" w14:textId="3C99D468" w:rsidR="00BE25A5" w:rsidRPr="00BE25A5" w:rsidRDefault="00201B9D" w:rsidP="005E02C8">
            <w:pPr>
              <w:pStyle w:val="ListParagraph"/>
              <w:numPr>
                <w:ilvl w:val="0"/>
                <w:numId w:val="30"/>
              </w:numPr>
              <w:ind w:left="713" w:right="173"/>
            </w:pPr>
            <w:r>
              <w:t>Information from S</w:t>
            </w:r>
            <w:r w:rsidR="00BE25A5" w:rsidRPr="00BE25A5">
              <w:t>tate police and child welfare authorities under s69ZW</w:t>
            </w:r>
            <w:r>
              <w:t xml:space="preserve"> </w:t>
            </w:r>
            <w:r>
              <w:rPr>
                <w:i/>
              </w:rPr>
              <w:t>Family Law Act 1975</w:t>
            </w:r>
          </w:p>
          <w:p w14:paraId="073CAC3B" w14:textId="74B8E1B5" w:rsidR="005E02C8" w:rsidRDefault="00165A7B" w:rsidP="005E02C8">
            <w:pPr>
              <w:pStyle w:val="ListParagraph"/>
              <w:numPr>
                <w:ilvl w:val="0"/>
                <w:numId w:val="30"/>
              </w:numPr>
              <w:ind w:left="713" w:right="173"/>
            </w:pPr>
            <w:r>
              <w:t>An I</w:t>
            </w:r>
            <w:r w:rsidR="00BE25A5" w:rsidRPr="00BE25A5">
              <w:t>nterim hearing date before a Senior Judicial Registrar</w:t>
            </w:r>
            <w:r>
              <w:t xml:space="preserve"> </w:t>
            </w:r>
          </w:p>
          <w:p w14:paraId="13038BD6" w14:textId="20556627" w:rsidR="00BE25A5" w:rsidRPr="00BE25A5" w:rsidRDefault="00BE25A5" w:rsidP="005E02C8">
            <w:pPr>
              <w:pStyle w:val="Heading3"/>
              <w:ind w:left="288" w:right="173"/>
              <w:outlineLvl w:val="2"/>
            </w:pPr>
            <w:r w:rsidRPr="00BE25A5">
              <w:t>Outcome:</w:t>
            </w:r>
          </w:p>
          <w:p w14:paraId="30A363A6" w14:textId="56040D46" w:rsidR="001E467B" w:rsidRPr="001E467B" w:rsidRDefault="000272E9" w:rsidP="002C1026">
            <w:pPr>
              <w:spacing w:after="200" w:line="276" w:lineRule="auto"/>
              <w:ind w:left="288" w:right="173"/>
            </w:pPr>
            <w:r w:rsidRPr="00B0195E">
              <w:rPr>
                <w:noProof/>
                <w:color w:val="404040" w:themeColor="text1" w:themeTint="BF"/>
              </w:rPr>
              <w:drawing>
                <wp:anchor distT="0" distB="0" distL="114300" distR="114300" simplePos="0" relativeHeight="251661312" behindDoc="1" locked="0" layoutInCell="1" allowOverlap="1" wp14:anchorId="0898EA75" wp14:editId="2D8E2F0C">
                  <wp:simplePos x="0" y="0"/>
                  <wp:positionH relativeFrom="column">
                    <wp:posOffset>2202180</wp:posOffset>
                  </wp:positionH>
                  <wp:positionV relativeFrom="paragraph">
                    <wp:posOffset>1457667</wp:posOffset>
                  </wp:positionV>
                  <wp:extent cx="3439160" cy="930275"/>
                  <wp:effectExtent l="0" t="0" r="0" b="317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L_VisualBackground-01.png"/>
                          <pic:cNvPicPr/>
                        </pic:nvPicPr>
                        <pic:blipFill rotWithShape="1">
                          <a:blip r:embed="rId21" cstate="print">
                            <a:extLst>
                              <a:ext uri="{28A0092B-C50C-407E-A947-70E740481C1C}">
                                <a14:useLocalDpi xmlns:a14="http://schemas.microsoft.com/office/drawing/2010/main" val="0"/>
                              </a:ext>
                            </a:extLst>
                          </a:blip>
                          <a:srcRect b="68339"/>
                          <a:stretch/>
                        </pic:blipFill>
                        <pic:spPr bwMode="auto">
                          <a:xfrm>
                            <a:off x="0" y="0"/>
                            <a:ext cx="3439160" cy="9302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E25A5" w:rsidRPr="00BE25A5">
              <w:t xml:space="preserve">With the early information gathered through the Evatt List the parties were able to capture the key issues in dispute. </w:t>
            </w:r>
            <w:r w:rsidR="002C1026">
              <w:t xml:space="preserve">Through discussions with the </w:t>
            </w:r>
            <w:r w:rsidR="00BE25A5" w:rsidRPr="00BE25A5">
              <w:t xml:space="preserve">Court Child Expert at the </w:t>
            </w:r>
            <w:r w:rsidR="00B900C0">
              <w:t xml:space="preserve">interviews </w:t>
            </w:r>
            <w:r w:rsidR="00BE25A5" w:rsidRPr="00BE25A5">
              <w:t>the parties were able to take ownership of their dispute</w:t>
            </w:r>
            <w:r w:rsidR="002C1026">
              <w:t xml:space="preserve">. This resulted </w:t>
            </w:r>
            <w:r w:rsidR="00BE25A5" w:rsidRPr="00BE25A5">
              <w:t xml:space="preserve">in the parties reflecting </w:t>
            </w:r>
            <w:r w:rsidR="002C1026">
              <w:t xml:space="preserve">on the needs of the child </w:t>
            </w:r>
            <w:r w:rsidR="00BE25A5" w:rsidRPr="00BE25A5">
              <w:t>and</w:t>
            </w:r>
            <w:r w:rsidR="002C1026">
              <w:t xml:space="preserve"> resulted in meaningful negotiations which resulted in developmentally appropriate </w:t>
            </w:r>
            <w:r w:rsidR="00BE25A5" w:rsidRPr="00BE25A5">
              <w:t>shared-care parenting arrangement. Within 4 months of filing and with the assistance of the Evatt List case management approach, the parties successfully settled their matter together. The parties avoided lengthy</w:t>
            </w:r>
            <w:r w:rsidR="00165A7B">
              <w:t xml:space="preserve">, </w:t>
            </w:r>
            <w:r w:rsidR="00BE25A5" w:rsidRPr="00BE25A5">
              <w:t>litigation, culminating in a safe, child focused long term agreement.</w:t>
            </w:r>
          </w:p>
        </w:tc>
      </w:tr>
    </w:tbl>
    <w:p w14:paraId="148DE6DC" w14:textId="7EAD362B" w:rsidR="00332F8B" w:rsidRDefault="00332F8B" w:rsidP="00513527"/>
    <w:sectPr w:rsidR="00332F8B" w:rsidSect="00880EB5">
      <w:footerReference w:type="default" r:id="rId22"/>
      <w:pgSz w:w="11906" w:h="16838"/>
      <w:pgMar w:top="1440" w:right="1440" w:bottom="127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709CDB" w14:textId="77777777" w:rsidR="00B124A9" w:rsidRDefault="00B124A9" w:rsidP="00BE7E23">
      <w:pPr>
        <w:spacing w:after="0" w:line="240" w:lineRule="auto"/>
      </w:pPr>
      <w:r>
        <w:separator/>
      </w:r>
    </w:p>
  </w:endnote>
  <w:endnote w:type="continuationSeparator" w:id="0">
    <w:p w14:paraId="7315B9EB" w14:textId="77777777" w:rsidR="00B124A9" w:rsidRDefault="00B124A9" w:rsidP="00BE7E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utura Heavy">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171D17" w14:textId="77777777" w:rsidR="00BE7E23" w:rsidRPr="00EB613C" w:rsidRDefault="00392221" w:rsidP="00332F8B">
    <w:pPr>
      <w:pStyle w:val="Heading1"/>
      <w:spacing w:before="0" w:after="0"/>
      <w:jc w:val="right"/>
    </w:pPr>
    <w:hyperlink r:id="rId1" w:history="1">
      <w:r w:rsidR="00332F8B" w:rsidRPr="00EB613C">
        <w:rPr>
          <w:rStyle w:val="Hyperlink"/>
          <w:rFonts w:cstheme="majorBidi"/>
          <w:color w:val="595959" w:themeColor="text1" w:themeTint="A6"/>
          <w:sz w:val="24"/>
          <w:szCs w:val="24"/>
          <w:u w:val="none"/>
        </w:rPr>
        <w:t>www.fcfcoa.gov.au</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7A1434" w14:textId="77777777" w:rsidR="00B124A9" w:rsidRDefault="00B124A9" w:rsidP="00BE7E23">
      <w:pPr>
        <w:spacing w:after="0" w:line="240" w:lineRule="auto"/>
      </w:pPr>
      <w:r>
        <w:separator/>
      </w:r>
    </w:p>
  </w:footnote>
  <w:footnote w:type="continuationSeparator" w:id="0">
    <w:p w14:paraId="7AB57596" w14:textId="77777777" w:rsidR="00B124A9" w:rsidRDefault="00B124A9" w:rsidP="00BE7E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35A98"/>
    <w:multiLevelType w:val="hybridMultilevel"/>
    <w:tmpl w:val="7C52F7B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12461D"/>
    <w:multiLevelType w:val="hybridMultilevel"/>
    <w:tmpl w:val="02D85C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B0D2398"/>
    <w:multiLevelType w:val="hybridMultilevel"/>
    <w:tmpl w:val="92B477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254278"/>
    <w:multiLevelType w:val="hybridMultilevel"/>
    <w:tmpl w:val="4BFA25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03205B1"/>
    <w:multiLevelType w:val="hybridMultilevel"/>
    <w:tmpl w:val="12EA22F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8B634F2"/>
    <w:multiLevelType w:val="hybridMultilevel"/>
    <w:tmpl w:val="B288AF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EB25B0F"/>
    <w:multiLevelType w:val="hybridMultilevel"/>
    <w:tmpl w:val="0E52DC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1E2223A"/>
    <w:multiLevelType w:val="multilevel"/>
    <w:tmpl w:val="82509C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4272198"/>
    <w:multiLevelType w:val="hybridMultilevel"/>
    <w:tmpl w:val="B7F01120"/>
    <w:lvl w:ilvl="0" w:tplc="0C09000F">
      <w:start w:val="1"/>
      <w:numFmt w:val="decimal"/>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294D35A8"/>
    <w:multiLevelType w:val="hybridMultilevel"/>
    <w:tmpl w:val="6DF0EE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B89696E"/>
    <w:multiLevelType w:val="hybridMultilevel"/>
    <w:tmpl w:val="ECA893DC"/>
    <w:lvl w:ilvl="0" w:tplc="0C090001">
      <w:start w:val="1"/>
      <w:numFmt w:val="bullet"/>
      <w:lvlText w:val=""/>
      <w:lvlJc w:val="left"/>
      <w:pPr>
        <w:ind w:left="507" w:hanging="360"/>
      </w:pPr>
      <w:rPr>
        <w:rFonts w:ascii="Symbol" w:hAnsi="Symbol" w:hint="default"/>
      </w:rPr>
    </w:lvl>
    <w:lvl w:ilvl="1" w:tplc="0C090003" w:tentative="1">
      <w:start w:val="1"/>
      <w:numFmt w:val="bullet"/>
      <w:lvlText w:val="o"/>
      <w:lvlJc w:val="left"/>
      <w:pPr>
        <w:ind w:left="1227" w:hanging="360"/>
      </w:pPr>
      <w:rPr>
        <w:rFonts w:ascii="Courier New" w:hAnsi="Courier New" w:cs="Courier New" w:hint="default"/>
      </w:rPr>
    </w:lvl>
    <w:lvl w:ilvl="2" w:tplc="0C090005" w:tentative="1">
      <w:start w:val="1"/>
      <w:numFmt w:val="bullet"/>
      <w:lvlText w:val=""/>
      <w:lvlJc w:val="left"/>
      <w:pPr>
        <w:ind w:left="1947" w:hanging="360"/>
      </w:pPr>
      <w:rPr>
        <w:rFonts w:ascii="Wingdings" w:hAnsi="Wingdings" w:hint="default"/>
      </w:rPr>
    </w:lvl>
    <w:lvl w:ilvl="3" w:tplc="0C090001" w:tentative="1">
      <w:start w:val="1"/>
      <w:numFmt w:val="bullet"/>
      <w:lvlText w:val=""/>
      <w:lvlJc w:val="left"/>
      <w:pPr>
        <w:ind w:left="2667" w:hanging="360"/>
      </w:pPr>
      <w:rPr>
        <w:rFonts w:ascii="Symbol" w:hAnsi="Symbol" w:hint="default"/>
      </w:rPr>
    </w:lvl>
    <w:lvl w:ilvl="4" w:tplc="0C090003" w:tentative="1">
      <w:start w:val="1"/>
      <w:numFmt w:val="bullet"/>
      <w:lvlText w:val="o"/>
      <w:lvlJc w:val="left"/>
      <w:pPr>
        <w:ind w:left="3387" w:hanging="360"/>
      </w:pPr>
      <w:rPr>
        <w:rFonts w:ascii="Courier New" w:hAnsi="Courier New" w:cs="Courier New" w:hint="default"/>
      </w:rPr>
    </w:lvl>
    <w:lvl w:ilvl="5" w:tplc="0C090005" w:tentative="1">
      <w:start w:val="1"/>
      <w:numFmt w:val="bullet"/>
      <w:lvlText w:val=""/>
      <w:lvlJc w:val="left"/>
      <w:pPr>
        <w:ind w:left="4107" w:hanging="360"/>
      </w:pPr>
      <w:rPr>
        <w:rFonts w:ascii="Wingdings" w:hAnsi="Wingdings" w:hint="default"/>
      </w:rPr>
    </w:lvl>
    <w:lvl w:ilvl="6" w:tplc="0C090001" w:tentative="1">
      <w:start w:val="1"/>
      <w:numFmt w:val="bullet"/>
      <w:lvlText w:val=""/>
      <w:lvlJc w:val="left"/>
      <w:pPr>
        <w:ind w:left="4827" w:hanging="360"/>
      </w:pPr>
      <w:rPr>
        <w:rFonts w:ascii="Symbol" w:hAnsi="Symbol" w:hint="default"/>
      </w:rPr>
    </w:lvl>
    <w:lvl w:ilvl="7" w:tplc="0C090003" w:tentative="1">
      <w:start w:val="1"/>
      <w:numFmt w:val="bullet"/>
      <w:lvlText w:val="o"/>
      <w:lvlJc w:val="left"/>
      <w:pPr>
        <w:ind w:left="5547" w:hanging="360"/>
      </w:pPr>
      <w:rPr>
        <w:rFonts w:ascii="Courier New" w:hAnsi="Courier New" w:cs="Courier New" w:hint="default"/>
      </w:rPr>
    </w:lvl>
    <w:lvl w:ilvl="8" w:tplc="0C090005" w:tentative="1">
      <w:start w:val="1"/>
      <w:numFmt w:val="bullet"/>
      <w:lvlText w:val=""/>
      <w:lvlJc w:val="left"/>
      <w:pPr>
        <w:ind w:left="6267" w:hanging="360"/>
      </w:pPr>
      <w:rPr>
        <w:rFonts w:ascii="Wingdings" w:hAnsi="Wingdings" w:hint="default"/>
      </w:rPr>
    </w:lvl>
  </w:abstractNum>
  <w:abstractNum w:abstractNumId="11" w15:restartNumberingAfterBreak="0">
    <w:nsid w:val="2BBF04E1"/>
    <w:multiLevelType w:val="hybridMultilevel"/>
    <w:tmpl w:val="C2C6BBB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30744A3"/>
    <w:multiLevelType w:val="hybridMultilevel"/>
    <w:tmpl w:val="C50E2AF8"/>
    <w:lvl w:ilvl="0" w:tplc="0C090001">
      <w:start w:val="1"/>
      <w:numFmt w:val="bullet"/>
      <w:lvlText w:val=""/>
      <w:lvlJc w:val="left"/>
      <w:pPr>
        <w:ind w:left="766" w:hanging="360"/>
      </w:pPr>
      <w:rPr>
        <w:rFonts w:ascii="Symbol" w:hAnsi="Symbol" w:hint="default"/>
      </w:rPr>
    </w:lvl>
    <w:lvl w:ilvl="1" w:tplc="0C090003" w:tentative="1">
      <w:start w:val="1"/>
      <w:numFmt w:val="bullet"/>
      <w:lvlText w:val="o"/>
      <w:lvlJc w:val="left"/>
      <w:pPr>
        <w:ind w:left="1486" w:hanging="360"/>
      </w:pPr>
      <w:rPr>
        <w:rFonts w:ascii="Courier New" w:hAnsi="Courier New" w:cs="Courier New" w:hint="default"/>
      </w:rPr>
    </w:lvl>
    <w:lvl w:ilvl="2" w:tplc="0C090005" w:tentative="1">
      <w:start w:val="1"/>
      <w:numFmt w:val="bullet"/>
      <w:lvlText w:val=""/>
      <w:lvlJc w:val="left"/>
      <w:pPr>
        <w:ind w:left="2206" w:hanging="360"/>
      </w:pPr>
      <w:rPr>
        <w:rFonts w:ascii="Wingdings" w:hAnsi="Wingdings" w:hint="default"/>
      </w:rPr>
    </w:lvl>
    <w:lvl w:ilvl="3" w:tplc="0C090001" w:tentative="1">
      <w:start w:val="1"/>
      <w:numFmt w:val="bullet"/>
      <w:lvlText w:val=""/>
      <w:lvlJc w:val="left"/>
      <w:pPr>
        <w:ind w:left="2926" w:hanging="360"/>
      </w:pPr>
      <w:rPr>
        <w:rFonts w:ascii="Symbol" w:hAnsi="Symbol" w:hint="default"/>
      </w:rPr>
    </w:lvl>
    <w:lvl w:ilvl="4" w:tplc="0C090003" w:tentative="1">
      <w:start w:val="1"/>
      <w:numFmt w:val="bullet"/>
      <w:lvlText w:val="o"/>
      <w:lvlJc w:val="left"/>
      <w:pPr>
        <w:ind w:left="3646" w:hanging="360"/>
      </w:pPr>
      <w:rPr>
        <w:rFonts w:ascii="Courier New" w:hAnsi="Courier New" w:cs="Courier New" w:hint="default"/>
      </w:rPr>
    </w:lvl>
    <w:lvl w:ilvl="5" w:tplc="0C090005" w:tentative="1">
      <w:start w:val="1"/>
      <w:numFmt w:val="bullet"/>
      <w:lvlText w:val=""/>
      <w:lvlJc w:val="left"/>
      <w:pPr>
        <w:ind w:left="4366" w:hanging="360"/>
      </w:pPr>
      <w:rPr>
        <w:rFonts w:ascii="Wingdings" w:hAnsi="Wingdings" w:hint="default"/>
      </w:rPr>
    </w:lvl>
    <w:lvl w:ilvl="6" w:tplc="0C090001" w:tentative="1">
      <w:start w:val="1"/>
      <w:numFmt w:val="bullet"/>
      <w:lvlText w:val=""/>
      <w:lvlJc w:val="left"/>
      <w:pPr>
        <w:ind w:left="5086" w:hanging="360"/>
      </w:pPr>
      <w:rPr>
        <w:rFonts w:ascii="Symbol" w:hAnsi="Symbol" w:hint="default"/>
      </w:rPr>
    </w:lvl>
    <w:lvl w:ilvl="7" w:tplc="0C090003" w:tentative="1">
      <w:start w:val="1"/>
      <w:numFmt w:val="bullet"/>
      <w:lvlText w:val="o"/>
      <w:lvlJc w:val="left"/>
      <w:pPr>
        <w:ind w:left="5806" w:hanging="360"/>
      </w:pPr>
      <w:rPr>
        <w:rFonts w:ascii="Courier New" w:hAnsi="Courier New" w:cs="Courier New" w:hint="default"/>
      </w:rPr>
    </w:lvl>
    <w:lvl w:ilvl="8" w:tplc="0C090005" w:tentative="1">
      <w:start w:val="1"/>
      <w:numFmt w:val="bullet"/>
      <w:lvlText w:val=""/>
      <w:lvlJc w:val="left"/>
      <w:pPr>
        <w:ind w:left="6526" w:hanging="360"/>
      </w:pPr>
      <w:rPr>
        <w:rFonts w:ascii="Wingdings" w:hAnsi="Wingdings" w:hint="default"/>
      </w:rPr>
    </w:lvl>
  </w:abstractNum>
  <w:abstractNum w:abstractNumId="13" w15:restartNumberingAfterBreak="0">
    <w:nsid w:val="332B46C7"/>
    <w:multiLevelType w:val="hybridMultilevel"/>
    <w:tmpl w:val="14ECEE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66203D3"/>
    <w:multiLevelType w:val="hybridMultilevel"/>
    <w:tmpl w:val="061CDEF4"/>
    <w:lvl w:ilvl="0" w:tplc="0C090001">
      <w:start w:val="1"/>
      <w:numFmt w:val="bullet"/>
      <w:lvlText w:val=""/>
      <w:lvlJc w:val="left"/>
      <w:pPr>
        <w:ind w:left="771" w:hanging="360"/>
      </w:pPr>
      <w:rPr>
        <w:rFonts w:ascii="Symbol" w:hAnsi="Symbol" w:hint="default"/>
      </w:rPr>
    </w:lvl>
    <w:lvl w:ilvl="1" w:tplc="0C090003" w:tentative="1">
      <w:start w:val="1"/>
      <w:numFmt w:val="bullet"/>
      <w:lvlText w:val="o"/>
      <w:lvlJc w:val="left"/>
      <w:pPr>
        <w:ind w:left="1491" w:hanging="360"/>
      </w:pPr>
      <w:rPr>
        <w:rFonts w:ascii="Courier New" w:hAnsi="Courier New" w:cs="Courier New" w:hint="default"/>
      </w:rPr>
    </w:lvl>
    <w:lvl w:ilvl="2" w:tplc="0C090005" w:tentative="1">
      <w:start w:val="1"/>
      <w:numFmt w:val="bullet"/>
      <w:lvlText w:val=""/>
      <w:lvlJc w:val="left"/>
      <w:pPr>
        <w:ind w:left="2211" w:hanging="360"/>
      </w:pPr>
      <w:rPr>
        <w:rFonts w:ascii="Wingdings" w:hAnsi="Wingdings" w:hint="default"/>
      </w:rPr>
    </w:lvl>
    <w:lvl w:ilvl="3" w:tplc="0C090001" w:tentative="1">
      <w:start w:val="1"/>
      <w:numFmt w:val="bullet"/>
      <w:lvlText w:val=""/>
      <w:lvlJc w:val="left"/>
      <w:pPr>
        <w:ind w:left="2931" w:hanging="360"/>
      </w:pPr>
      <w:rPr>
        <w:rFonts w:ascii="Symbol" w:hAnsi="Symbol" w:hint="default"/>
      </w:rPr>
    </w:lvl>
    <w:lvl w:ilvl="4" w:tplc="0C090003" w:tentative="1">
      <w:start w:val="1"/>
      <w:numFmt w:val="bullet"/>
      <w:lvlText w:val="o"/>
      <w:lvlJc w:val="left"/>
      <w:pPr>
        <w:ind w:left="3651" w:hanging="360"/>
      </w:pPr>
      <w:rPr>
        <w:rFonts w:ascii="Courier New" w:hAnsi="Courier New" w:cs="Courier New" w:hint="default"/>
      </w:rPr>
    </w:lvl>
    <w:lvl w:ilvl="5" w:tplc="0C090005" w:tentative="1">
      <w:start w:val="1"/>
      <w:numFmt w:val="bullet"/>
      <w:lvlText w:val=""/>
      <w:lvlJc w:val="left"/>
      <w:pPr>
        <w:ind w:left="4371" w:hanging="360"/>
      </w:pPr>
      <w:rPr>
        <w:rFonts w:ascii="Wingdings" w:hAnsi="Wingdings" w:hint="default"/>
      </w:rPr>
    </w:lvl>
    <w:lvl w:ilvl="6" w:tplc="0C090001" w:tentative="1">
      <w:start w:val="1"/>
      <w:numFmt w:val="bullet"/>
      <w:lvlText w:val=""/>
      <w:lvlJc w:val="left"/>
      <w:pPr>
        <w:ind w:left="5091" w:hanging="360"/>
      </w:pPr>
      <w:rPr>
        <w:rFonts w:ascii="Symbol" w:hAnsi="Symbol" w:hint="default"/>
      </w:rPr>
    </w:lvl>
    <w:lvl w:ilvl="7" w:tplc="0C090003" w:tentative="1">
      <w:start w:val="1"/>
      <w:numFmt w:val="bullet"/>
      <w:lvlText w:val="o"/>
      <w:lvlJc w:val="left"/>
      <w:pPr>
        <w:ind w:left="5811" w:hanging="360"/>
      </w:pPr>
      <w:rPr>
        <w:rFonts w:ascii="Courier New" w:hAnsi="Courier New" w:cs="Courier New" w:hint="default"/>
      </w:rPr>
    </w:lvl>
    <w:lvl w:ilvl="8" w:tplc="0C090005" w:tentative="1">
      <w:start w:val="1"/>
      <w:numFmt w:val="bullet"/>
      <w:lvlText w:val=""/>
      <w:lvlJc w:val="left"/>
      <w:pPr>
        <w:ind w:left="6531" w:hanging="360"/>
      </w:pPr>
      <w:rPr>
        <w:rFonts w:ascii="Wingdings" w:hAnsi="Wingdings" w:hint="default"/>
      </w:rPr>
    </w:lvl>
  </w:abstractNum>
  <w:abstractNum w:abstractNumId="15" w15:restartNumberingAfterBreak="0">
    <w:nsid w:val="399844EB"/>
    <w:multiLevelType w:val="multilevel"/>
    <w:tmpl w:val="55F03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DA77128"/>
    <w:multiLevelType w:val="hybridMultilevel"/>
    <w:tmpl w:val="C6A2AB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DD67432"/>
    <w:multiLevelType w:val="hybridMultilevel"/>
    <w:tmpl w:val="D65C3A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00E0C50"/>
    <w:multiLevelType w:val="hybridMultilevel"/>
    <w:tmpl w:val="FCDA03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548132C"/>
    <w:multiLevelType w:val="hybridMultilevel"/>
    <w:tmpl w:val="7EFCE9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55E7169"/>
    <w:multiLevelType w:val="hybridMultilevel"/>
    <w:tmpl w:val="258E32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9877791"/>
    <w:multiLevelType w:val="hybridMultilevel"/>
    <w:tmpl w:val="77D0C4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0B14D03"/>
    <w:multiLevelType w:val="hybridMultilevel"/>
    <w:tmpl w:val="4B1A9B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2B6385E"/>
    <w:multiLevelType w:val="hybridMultilevel"/>
    <w:tmpl w:val="75F80D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B6F4165"/>
    <w:multiLevelType w:val="hybridMultilevel"/>
    <w:tmpl w:val="012A06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B9E4F17"/>
    <w:multiLevelType w:val="hybridMultilevel"/>
    <w:tmpl w:val="D8826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F7C37E5"/>
    <w:multiLevelType w:val="hybridMultilevel"/>
    <w:tmpl w:val="15B8B3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668523B"/>
    <w:multiLevelType w:val="hybridMultilevel"/>
    <w:tmpl w:val="EC2CD2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7"/>
  </w:num>
  <w:num w:numId="2">
    <w:abstractNumId w:val="27"/>
  </w:num>
  <w:num w:numId="3">
    <w:abstractNumId w:val="0"/>
  </w:num>
  <w:num w:numId="4">
    <w:abstractNumId w:val="21"/>
  </w:num>
  <w:num w:numId="5">
    <w:abstractNumId w:val="15"/>
  </w:num>
  <w:num w:numId="6">
    <w:abstractNumId w:val="11"/>
  </w:num>
  <w:num w:numId="7">
    <w:abstractNumId w:val="8"/>
    <w:lvlOverride w:ilvl="0">
      <w:startOverride w:val="1"/>
    </w:lvlOverride>
    <w:lvlOverride w:ilvl="1"/>
    <w:lvlOverride w:ilvl="2"/>
    <w:lvlOverride w:ilvl="3"/>
    <w:lvlOverride w:ilvl="4"/>
    <w:lvlOverride w:ilvl="5"/>
    <w:lvlOverride w:ilvl="6"/>
    <w:lvlOverride w:ilvl="7"/>
    <w:lvlOverride w:ilvl="8"/>
  </w:num>
  <w:num w:numId="8">
    <w:abstractNumId w:val="4"/>
  </w:num>
  <w:num w:numId="9">
    <w:abstractNumId w:val="13"/>
  </w:num>
  <w:num w:numId="10">
    <w:abstractNumId w:val="28"/>
  </w:num>
  <w:num w:numId="11">
    <w:abstractNumId w:val="26"/>
  </w:num>
  <w:num w:numId="12">
    <w:abstractNumId w:val="20"/>
  </w:num>
  <w:num w:numId="13">
    <w:abstractNumId w:val="2"/>
  </w:num>
  <w:num w:numId="14">
    <w:abstractNumId w:val="19"/>
  </w:num>
  <w:num w:numId="15">
    <w:abstractNumId w:val="17"/>
  </w:num>
  <w:num w:numId="16">
    <w:abstractNumId w:val="3"/>
  </w:num>
  <w:num w:numId="17">
    <w:abstractNumId w:val="7"/>
  </w:num>
  <w:num w:numId="18">
    <w:abstractNumId w:val="12"/>
  </w:num>
  <w:num w:numId="19">
    <w:abstractNumId w:val="18"/>
  </w:num>
  <w:num w:numId="20">
    <w:abstractNumId w:val="14"/>
  </w:num>
  <w:num w:numId="21">
    <w:abstractNumId w:val="10"/>
  </w:num>
  <w:num w:numId="22">
    <w:abstractNumId w:val="1"/>
  </w:num>
  <w:num w:numId="23">
    <w:abstractNumId w:val="23"/>
  </w:num>
  <w:num w:numId="24">
    <w:abstractNumId w:val="25"/>
  </w:num>
  <w:num w:numId="25">
    <w:abstractNumId w:val="6"/>
  </w:num>
  <w:num w:numId="26">
    <w:abstractNumId w:val="24"/>
  </w:num>
  <w:num w:numId="27">
    <w:abstractNumId w:val="5"/>
  </w:num>
  <w:num w:numId="28">
    <w:abstractNumId w:val="22"/>
  </w:num>
  <w:num w:numId="29">
    <w:abstractNumId w:val="9"/>
  </w:num>
  <w:num w:numId="3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1B56"/>
    <w:rsid w:val="00000455"/>
    <w:rsid w:val="000054B8"/>
    <w:rsid w:val="000272E9"/>
    <w:rsid w:val="00047D01"/>
    <w:rsid w:val="00052CDD"/>
    <w:rsid w:val="0006595C"/>
    <w:rsid w:val="00075E04"/>
    <w:rsid w:val="0007771F"/>
    <w:rsid w:val="00086662"/>
    <w:rsid w:val="000A6B17"/>
    <w:rsid w:val="000A7557"/>
    <w:rsid w:val="000B31D6"/>
    <w:rsid w:val="000B5EEB"/>
    <w:rsid w:val="000C20E2"/>
    <w:rsid w:val="000C7529"/>
    <w:rsid w:val="000D59B8"/>
    <w:rsid w:val="000F08C6"/>
    <w:rsid w:val="000F5282"/>
    <w:rsid w:val="000F54FD"/>
    <w:rsid w:val="001217EF"/>
    <w:rsid w:val="001318C9"/>
    <w:rsid w:val="00141E43"/>
    <w:rsid w:val="00144A42"/>
    <w:rsid w:val="00144DA8"/>
    <w:rsid w:val="001516AF"/>
    <w:rsid w:val="0015502B"/>
    <w:rsid w:val="00160C21"/>
    <w:rsid w:val="0016325D"/>
    <w:rsid w:val="00165A7B"/>
    <w:rsid w:val="001713DF"/>
    <w:rsid w:val="00186869"/>
    <w:rsid w:val="0019441F"/>
    <w:rsid w:val="001C027E"/>
    <w:rsid w:val="001D4D12"/>
    <w:rsid w:val="001E396B"/>
    <w:rsid w:val="001E467B"/>
    <w:rsid w:val="001E5A77"/>
    <w:rsid w:val="001F1493"/>
    <w:rsid w:val="00201B9D"/>
    <w:rsid w:val="00215FA8"/>
    <w:rsid w:val="002230ED"/>
    <w:rsid w:val="00231523"/>
    <w:rsid w:val="00233BE5"/>
    <w:rsid w:val="0023459F"/>
    <w:rsid w:val="00236238"/>
    <w:rsid w:val="0023651F"/>
    <w:rsid w:val="00271F3D"/>
    <w:rsid w:val="0027609D"/>
    <w:rsid w:val="00277F6B"/>
    <w:rsid w:val="002823E1"/>
    <w:rsid w:val="00283DC0"/>
    <w:rsid w:val="002A17FA"/>
    <w:rsid w:val="002A4357"/>
    <w:rsid w:val="002A69D5"/>
    <w:rsid w:val="002B5E7C"/>
    <w:rsid w:val="002B6716"/>
    <w:rsid w:val="002C0373"/>
    <w:rsid w:val="002C1026"/>
    <w:rsid w:val="002C6456"/>
    <w:rsid w:val="002C76A2"/>
    <w:rsid w:val="002E32A5"/>
    <w:rsid w:val="002F659D"/>
    <w:rsid w:val="00303CA7"/>
    <w:rsid w:val="003048FA"/>
    <w:rsid w:val="00316CE4"/>
    <w:rsid w:val="00316D64"/>
    <w:rsid w:val="0032188C"/>
    <w:rsid w:val="00323756"/>
    <w:rsid w:val="00332F8B"/>
    <w:rsid w:val="00333092"/>
    <w:rsid w:val="003356B1"/>
    <w:rsid w:val="00340C4B"/>
    <w:rsid w:val="0034556C"/>
    <w:rsid w:val="0035544F"/>
    <w:rsid w:val="00381122"/>
    <w:rsid w:val="003828E1"/>
    <w:rsid w:val="00392221"/>
    <w:rsid w:val="003A4A35"/>
    <w:rsid w:val="003B1D36"/>
    <w:rsid w:val="003B2E9B"/>
    <w:rsid w:val="003B4DD3"/>
    <w:rsid w:val="003B50D9"/>
    <w:rsid w:val="003E0E68"/>
    <w:rsid w:val="00403696"/>
    <w:rsid w:val="004039D7"/>
    <w:rsid w:val="00417078"/>
    <w:rsid w:val="00427CA6"/>
    <w:rsid w:val="00450751"/>
    <w:rsid w:val="00456C12"/>
    <w:rsid w:val="00457B7F"/>
    <w:rsid w:val="00482EF2"/>
    <w:rsid w:val="004832CC"/>
    <w:rsid w:val="00484BC2"/>
    <w:rsid w:val="00494C32"/>
    <w:rsid w:val="004D2794"/>
    <w:rsid w:val="004E75A6"/>
    <w:rsid w:val="00512563"/>
    <w:rsid w:val="00513527"/>
    <w:rsid w:val="005206AD"/>
    <w:rsid w:val="00522082"/>
    <w:rsid w:val="00526974"/>
    <w:rsid w:val="005439C0"/>
    <w:rsid w:val="00560760"/>
    <w:rsid w:val="00562173"/>
    <w:rsid w:val="00565018"/>
    <w:rsid w:val="005873AB"/>
    <w:rsid w:val="005917C4"/>
    <w:rsid w:val="005A01D4"/>
    <w:rsid w:val="005A12E2"/>
    <w:rsid w:val="005A4409"/>
    <w:rsid w:val="005B6B94"/>
    <w:rsid w:val="005D5500"/>
    <w:rsid w:val="005D5769"/>
    <w:rsid w:val="005E02C8"/>
    <w:rsid w:val="005E1D3E"/>
    <w:rsid w:val="0060112D"/>
    <w:rsid w:val="0060141E"/>
    <w:rsid w:val="00603B84"/>
    <w:rsid w:val="00622817"/>
    <w:rsid w:val="006230A3"/>
    <w:rsid w:val="00624905"/>
    <w:rsid w:val="00626761"/>
    <w:rsid w:val="00663F82"/>
    <w:rsid w:val="006662FE"/>
    <w:rsid w:val="00670F44"/>
    <w:rsid w:val="006A1812"/>
    <w:rsid w:val="006A1919"/>
    <w:rsid w:val="006A4ECE"/>
    <w:rsid w:val="006A664A"/>
    <w:rsid w:val="006B7B13"/>
    <w:rsid w:val="006D6CF8"/>
    <w:rsid w:val="006F23BF"/>
    <w:rsid w:val="0070370F"/>
    <w:rsid w:val="00704CAC"/>
    <w:rsid w:val="00725E87"/>
    <w:rsid w:val="00726A75"/>
    <w:rsid w:val="00727469"/>
    <w:rsid w:val="00731638"/>
    <w:rsid w:val="00736C10"/>
    <w:rsid w:val="00745874"/>
    <w:rsid w:val="007563E0"/>
    <w:rsid w:val="00771159"/>
    <w:rsid w:val="0077387F"/>
    <w:rsid w:val="00785069"/>
    <w:rsid w:val="00786F5C"/>
    <w:rsid w:val="007A0977"/>
    <w:rsid w:val="007A5356"/>
    <w:rsid w:val="007D3D74"/>
    <w:rsid w:val="007F6976"/>
    <w:rsid w:val="008003EF"/>
    <w:rsid w:val="00806649"/>
    <w:rsid w:val="00817C57"/>
    <w:rsid w:val="0082378F"/>
    <w:rsid w:val="008255B8"/>
    <w:rsid w:val="00856861"/>
    <w:rsid w:val="00860E2B"/>
    <w:rsid w:val="008674BF"/>
    <w:rsid w:val="00880EB5"/>
    <w:rsid w:val="008A3A5D"/>
    <w:rsid w:val="008A3AE2"/>
    <w:rsid w:val="008A436D"/>
    <w:rsid w:val="008A582C"/>
    <w:rsid w:val="008B5342"/>
    <w:rsid w:val="008B6F61"/>
    <w:rsid w:val="008C2331"/>
    <w:rsid w:val="008D427B"/>
    <w:rsid w:val="008D57C6"/>
    <w:rsid w:val="008F0280"/>
    <w:rsid w:val="008F387A"/>
    <w:rsid w:val="0091517E"/>
    <w:rsid w:val="00932233"/>
    <w:rsid w:val="00960BC0"/>
    <w:rsid w:val="00965A79"/>
    <w:rsid w:val="00966235"/>
    <w:rsid w:val="00974B93"/>
    <w:rsid w:val="00981C71"/>
    <w:rsid w:val="00984A2C"/>
    <w:rsid w:val="00985B54"/>
    <w:rsid w:val="0098655C"/>
    <w:rsid w:val="009B18D4"/>
    <w:rsid w:val="009B1A3C"/>
    <w:rsid w:val="00A50646"/>
    <w:rsid w:val="00A53CAE"/>
    <w:rsid w:val="00A57388"/>
    <w:rsid w:val="00A65D80"/>
    <w:rsid w:val="00A93A71"/>
    <w:rsid w:val="00A95310"/>
    <w:rsid w:val="00A97888"/>
    <w:rsid w:val="00AA1378"/>
    <w:rsid w:val="00AA78B7"/>
    <w:rsid w:val="00AD4D1A"/>
    <w:rsid w:val="00B0195E"/>
    <w:rsid w:val="00B124A9"/>
    <w:rsid w:val="00B14B5C"/>
    <w:rsid w:val="00B16C68"/>
    <w:rsid w:val="00B45B74"/>
    <w:rsid w:val="00B548D2"/>
    <w:rsid w:val="00B74F41"/>
    <w:rsid w:val="00B900C0"/>
    <w:rsid w:val="00BA1B56"/>
    <w:rsid w:val="00BA3E69"/>
    <w:rsid w:val="00BC2FE4"/>
    <w:rsid w:val="00BD00EC"/>
    <w:rsid w:val="00BD1F90"/>
    <w:rsid w:val="00BE190A"/>
    <w:rsid w:val="00BE25A5"/>
    <w:rsid w:val="00BE49BF"/>
    <w:rsid w:val="00BE7E23"/>
    <w:rsid w:val="00C0137D"/>
    <w:rsid w:val="00C15524"/>
    <w:rsid w:val="00C27CB2"/>
    <w:rsid w:val="00C30C7D"/>
    <w:rsid w:val="00C53E52"/>
    <w:rsid w:val="00C600E2"/>
    <w:rsid w:val="00C6151C"/>
    <w:rsid w:val="00C644FE"/>
    <w:rsid w:val="00C72C65"/>
    <w:rsid w:val="00C731E7"/>
    <w:rsid w:val="00C9156A"/>
    <w:rsid w:val="00C9372C"/>
    <w:rsid w:val="00CA1B7A"/>
    <w:rsid w:val="00CB1261"/>
    <w:rsid w:val="00CB63C4"/>
    <w:rsid w:val="00CB6945"/>
    <w:rsid w:val="00CC0404"/>
    <w:rsid w:val="00CE655D"/>
    <w:rsid w:val="00CF1F59"/>
    <w:rsid w:val="00CF587D"/>
    <w:rsid w:val="00D014B5"/>
    <w:rsid w:val="00D02DA4"/>
    <w:rsid w:val="00D64103"/>
    <w:rsid w:val="00D74A6F"/>
    <w:rsid w:val="00D84C59"/>
    <w:rsid w:val="00DE0923"/>
    <w:rsid w:val="00DE415A"/>
    <w:rsid w:val="00DF79C9"/>
    <w:rsid w:val="00E036F7"/>
    <w:rsid w:val="00E13D89"/>
    <w:rsid w:val="00E16479"/>
    <w:rsid w:val="00E33CAF"/>
    <w:rsid w:val="00E37A87"/>
    <w:rsid w:val="00E5754D"/>
    <w:rsid w:val="00E61F03"/>
    <w:rsid w:val="00E62D98"/>
    <w:rsid w:val="00E70EDD"/>
    <w:rsid w:val="00E819D0"/>
    <w:rsid w:val="00E83EF5"/>
    <w:rsid w:val="00E87310"/>
    <w:rsid w:val="00E90B49"/>
    <w:rsid w:val="00E95385"/>
    <w:rsid w:val="00EA4211"/>
    <w:rsid w:val="00EA44F3"/>
    <w:rsid w:val="00EB5676"/>
    <w:rsid w:val="00EB613C"/>
    <w:rsid w:val="00EC1E01"/>
    <w:rsid w:val="00EC2C9A"/>
    <w:rsid w:val="00ED10A0"/>
    <w:rsid w:val="00EE0A16"/>
    <w:rsid w:val="00EE4C16"/>
    <w:rsid w:val="00F0446E"/>
    <w:rsid w:val="00F04E92"/>
    <w:rsid w:val="00F22153"/>
    <w:rsid w:val="00F23E84"/>
    <w:rsid w:val="00F3336C"/>
    <w:rsid w:val="00F35544"/>
    <w:rsid w:val="00F44486"/>
    <w:rsid w:val="00F50E7F"/>
    <w:rsid w:val="00F62573"/>
    <w:rsid w:val="00F9354E"/>
    <w:rsid w:val="00FA56E0"/>
    <w:rsid w:val="00FC6A47"/>
    <w:rsid w:val="00FD615E"/>
    <w:rsid w:val="00FF51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331341F1"/>
  <w15:chartTrackingRefBased/>
  <w15:docId w15:val="{2F767FC8-A617-4808-9143-5C8F62085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6976"/>
  </w:style>
  <w:style w:type="paragraph" w:styleId="Heading1">
    <w:name w:val="heading 1"/>
    <w:basedOn w:val="Normal"/>
    <w:next w:val="Normal"/>
    <w:link w:val="Heading1Char"/>
    <w:uiPriority w:val="9"/>
    <w:qFormat/>
    <w:rsid w:val="002230ED"/>
    <w:pPr>
      <w:keepNext/>
      <w:keepLines/>
      <w:spacing w:before="120" w:after="240"/>
      <w:outlineLvl w:val="0"/>
    </w:pPr>
    <w:rPr>
      <w:rFonts w:eastAsiaTheme="majorEastAsia" w:cstheme="majorBidi"/>
      <w:b/>
      <w:bCs/>
      <w:color w:val="595959" w:themeColor="text1" w:themeTint="A6"/>
      <w:sz w:val="36"/>
      <w:szCs w:val="28"/>
    </w:rPr>
  </w:style>
  <w:style w:type="paragraph" w:styleId="Heading2">
    <w:name w:val="heading 2"/>
    <w:basedOn w:val="Normal"/>
    <w:next w:val="Normal"/>
    <w:link w:val="Heading2Char"/>
    <w:uiPriority w:val="9"/>
    <w:unhideWhenUsed/>
    <w:qFormat/>
    <w:rsid w:val="004039D7"/>
    <w:pPr>
      <w:keepNext/>
      <w:keepLines/>
      <w:spacing w:before="240" w:after="40"/>
      <w:outlineLvl w:val="1"/>
    </w:pPr>
    <w:rPr>
      <w:rFonts w:eastAsiaTheme="majorEastAsia" w:cstheme="majorBidi"/>
      <w:b/>
      <w:bCs/>
      <w:color w:val="595959" w:themeColor="text1" w:themeTint="A6"/>
      <w:sz w:val="24"/>
      <w:szCs w:val="26"/>
    </w:rPr>
  </w:style>
  <w:style w:type="paragraph" w:styleId="Heading3">
    <w:name w:val="heading 3"/>
    <w:basedOn w:val="Normal"/>
    <w:next w:val="Normal"/>
    <w:link w:val="Heading3Char"/>
    <w:uiPriority w:val="9"/>
    <w:unhideWhenUsed/>
    <w:qFormat/>
    <w:rsid w:val="007F6976"/>
    <w:pPr>
      <w:keepNext/>
      <w:keepLines/>
      <w:spacing w:before="200" w:after="0"/>
      <w:outlineLvl w:val="2"/>
    </w:pPr>
    <w:rPr>
      <w:rFonts w:eastAsiaTheme="majorEastAsia" w:cstheme="majorBidi"/>
      <w:b/>
      <w:bCs/>
      <w:color w:val="404040" w:themeColor="text1" w:themeTint="BF"/>
    </w:rPr>
  </w:style>
  <w:style w:type="paragraph" w:styleId="Heading4">
    <w:name w:val="heading 4"/>
    <w:basedOn w:val="Normal"/>
    <w:next w:val="Normal"/>
    <w:link w:val="Heading4Char"/>
    <w:uiPriority w:val="9"/>
    <w:semiHidden/>
    <w:unhideWhenUsed/>
    <w:qFormat/>
    <w:rsid w:val="003B2E9B"/>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3B2E9B"/>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230ED"/>
    <w:rPr>
      <w:rFonts w:eastAsiaTheme="majorEastAsia" w:cstheme="majorBidi"/>
      <w:b/>
      <w:bCs/>
      <w:color w:val="595959" w:themeColor="text1" w:themeTint="A6"/>
      <w:sz w:val="36"/>
      <w:szCs w:val="28"/>
    </w:rPr>
  </w:style>
  <w:style w:type="character" w:customStyle="1" w:styleId="Heading2Char">
    <w:name w:val="Heading 2 Char"/>
    <w:basedOn w:val="DefaultParagraphFont"/>
    <w:link w:val="Heading2"/>
    <w:uiPriority w:val="9"/>
    <w:rsid w:val="004039D7"/>
    <w:rPr>
      <w:rFonts w:eastAsiaTheme="majorEastAsia" w:cstheme="majorBidi"/>
      <w:b/>
      <w:bCs/>
      <w:color w:val="595959" w:themeColor="text1" w:themeTint="A6"/>
      <w:sz w:val="24"/>
      <w:szCs w:val="26"/>
    </w:rPr>
  </w:style>
  <w:style w:type="character" w:customStyle="1" w:styleId="Heading3Char">
    <w:name w:val="Heading 3 Char"/>
    <w:basedOn w:val="DefaultParagraphFont"/>
    <w:link w:val="Heading3"/>
    <w:uiPriority w:val="9"/>
    <w:rsid w:val="007F6976"/>
    <w:rPr>
      <w:rFonts w:eastAsiaTheme="majorEastAsia" w:cstheme="majorBidi"/>
      <w:b/>
      <w:bCs/>
      <w:color w:val="404040" w:themeColor="text1" w:themeTint="BF"/>
    </w:rPr>
  </w:style>
  <w:style w:type="character" w:customStyle="1" w:styleId="Heading4Char">
    <w:name w:val="Heading 4 Char"/>
    <w:basedOn w:val="DefaultParagraphFont"/>
    <w:link w:val="Heading4"/>
    <w:uiPriority w:val="9"/>
    <w:semiHidden/>
    <w:rsid w:val="003B2E9B"/>
    <w:rPr>
      <w:rFonts w:asciiTheme="majorHAnsi" w:eastAsiaTheme="majorEastAsia" w:hAnsiTheme="majorHAnsi" w:cstheme="majorBidi"/>
      <w:b/>
      <w:bCs/>
      <w:i/>
      <w:iCs/>
      <w:color w:val="4F81BD" w:themeColor="accent1"/>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3B2E9B"/>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3B2E9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B2E9B"/>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C30C7D"/>
    <w:rPr>
      <w:rFonts w:cs="Times New Roman"/>
      <w:color w:val="1F497D" w:themeColor="text2"/>
      <w:u w:val="single"/>
    </w:rPr>
  </w:style>
  <w:style w:type="character" w:styleId="Strong">
    <w:name w:val="Strong"/>
    <w:basedOn w:val="DefaultParagraphFont"/>
    <w:uiPriority w:val="22"/>
    <w:qFormat/>
    <w:rsid w:val="003B2E9B"/>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484BC2"/>
    <w:pPr>
      <w:ind w:left="720"/>
      <w:contextualSpacing/>
    </w:pPr>
  </w:style>
  <w:style w:type="paragraph" w:customStyle="1" w:styleId="ARbodytext">
    <w:name w:val="AR body text"/>
    <w:basedOn w:val="Normal"/>
    <w:qFormat/>
    <w:rsid w:val="00484BC2"/>
    <w:pPr>
      <w:spacing w:after="0"/>
    </w:pPr>
    <w:rPr>
      <w:rFonts w:ascii="Arial" w:hAnsi="Arial"/>
      <w:sz w:val="20"/>
    </w:rPr>
  </w:style>
  <w:style w:type="paragraph" w:customStyle="1" w:styleId="Head14pt">
    <w:name w:val="Head)14pt"/>
    <w:basedOn w:val="BodyText"/>
    <w:uiPriority w:val="99"/>
    <w:rsid w:val="00513527"/>
    <w:pPr>
      <w:tabs>
        <w:tab w:val="left" w:pos="454"/>
      </w:tabs>
      <w:suppressAutoHyphens/>
      <w:autoSpaceDE w:val="0"/>
      <w:autoSpaceDN w:val="0"/>
      <w:adjustRightInd w:val="0"/>
      <w:spacing w:after="170" w:line="340" w:lineRule="atLeast"/>
      <w:ind w:left="454" w:hanging="454"/>
      <w:jc w:val="both"/>
      <w:textAlignment w:val="center"/>
    </w:pPr>
    <w:rPr>
      <w:rFonts w:ascii="Futura Heavy" w:hAnsi="Futura Heavy" w:cs="Futura Heavy"/>
      <w:color w:val="003D7D"/>
      <w:sz w:val="28"/>
      <w:szCs w:val="28"/>
      <w:lang w:val="en-GB"/>
    </w:rPr>
  </w:style>
  <w:style w:type="paragraph" w:styleId="BodyText">
    <w:name w:val="Body Text"/>
    <w:basedOn w:val="Normal"/>
    <w:link w:val="BodyTextChar"/>
    <w:uiPriority w:val="99"/>
    <w:semiHidden/>
    <w:unhideWhenUsed/>
    <w:rsid w:val="00513527"/>
    <w:pPr>
      <w:spacing w:after="120"/>
    </w:pPr>
  </w:style>
  <w:style w:type="character" w:customStyle="1" w:styleId="BodyTextChar">
    <w:name w:val="Body Text Char"/>
    <w:basedOn w:val="DefaultParagraphFont"/>
    <w:link w:val="BodyText"/>
    <w:uiPriority w:val="99"/>
    <w:semiHidden/>
    <w:rsid w:val="00513527"/>
  </w:style>
  <w:style w:type="table" w:styleId="TableGrid">
    <w:name w:val="Table Grid"/>
    <w:basedOn w:val="TableNormal"/>
    <w:uiPriority w:val="59"/>
    <w:rsid w:val="00BE7E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E467B"/>
    <w:pPr>
      <w:spacing w:after="0" w:line="240" w:lineRule="auto"/>
    </w:pPr>
    <w:rPr>
      <w:sz w:val="20"/>
      <w:szCs w:val="20"/>
      <w:lang w:eastAsia="en-US"/>
    </w:rPr>
  </w:style>
  <w:style w:type="character" w:customStyle="1" w:styleId="FootnoteTextChar">
    <w:name w:val="Footnote Text Char"/>
    <w:basedOn w:val="DefaultParagraphFont"/>
    <w:link w:val="FootnoteText"/>
    <w:uiPriority w:val="99"/>
    <w:semiHidden/>
    <w:rsid w:val="001E467B"/>
    <w:rPr>
      <w:sz w:val="20"/>
      <w:szCs w:val="20"/>
      <w:lang w:eastAsia="en-US"/>
    </w:rPr>
  </w:style>
  <w:style w:type="character" w:styleId="FootnoteReference">
    <w:name w:val="footnote reference"/>
    <w:basedOn w:val="DefaultParagraphFont"/>
    <w:uiPriority w:val="99"/>
    <w:semiHidden/>
    <w:unhideWhenUsed/>
    <w:rsid w:val="001E467B"/>
    <w:rPr>
      <w:vertAlign w:val="superscript"/>
    </w:rPr>
  </w:style>
  <w:style w:type="character" w:styleId="FollowedHyperlink">
    <w:name w:val="FollowedHyperlink"/>
    <w:basedOn w:val="DefaultParagraphFont"/>
    <w:uiPriority w:val="99"/>
    <w:semiHidden/>
    <w:unhideWhenUsed/>
    <w:rsid w:val="002823E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998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youtu.be/vveGo3QkV2U" TargetMode="External"/><Relationship Id="rId18" Type="http://schemas.openxmlformats.org/officeDocument/2006/relationships/hyperlink" Target="https://www.youtube.com/watch?v=QQ7VzSjxAaE" TargetMode="External"/><Relationship Id="rId3" Type="http://schemas.openxmlformats.org/officeDocument/2006/relationships/customXml" Target="../customXml/item3.xml"/><Relationship Id="rId21" Type="http://schemas.openxmlformats.org/officeDocument/2006/relationships/image" Target="media/image4.png"/><Relationship Id="rId7" Type="http://schemas.openxmlformats.org/officeDocument/2006/relationships/settings" Target="settings.xml"/><Relationship Id="rId12" Type="http://schemas.openxmlformats.org/officeDocument/2006/relationships/hyperlink" Target="https://www.fcfcoa.gov.au/news-and-media-centre/updates-profession" TargetMode="External"/><Relationship Id="rId17" Type="http://schemas.openxmlformats.org/officeDocument/2006/relationships/hyperlink" Target="https://www.fcfcoa.gov.au/sites/default/files/2022-11/Guide_for_Parties_in_the_Evatt_List_1122V1.pdf" TargetMode="External"/><Relationship Id="rId2" Type="http://schemas.openxmlformats.org/officeDocument/2006/relationships/customXml" Target="../customXml/item2.xml"/><Relationship Id="rId16" Type="http://schemas.openxmlformats.org/officeDocument/2006/relationships/hyperlink" Target="https://www.fcfcoa.gov.au/sites/default/files/2022-11/Guide_for_ICLs_in_the_Evatt_List_1122V1.pdf" TargetMode="External"/><Relationship Id="rId20"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fcfcoa.gov.au/sites/default/files/2022-11/Guide_for_Practitioners_in_the_Evatt_List_1122V1.pdf"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youtu.be/KyK1WBtnJqA"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s://www.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7376628DF67CA40A5D8DE69030910CD" ma:contentTypeVersion="14" ma:contentTypeDescription="Create a new document." ma:contentTypeScope="" ma:versionID="fa49ba849b9d8fffbea4d241d1e7f54d">
  <xsd:schema xmlns:xsd="http://www.w3.org/2001/XMLSchema" xmlns:xs="http://www.w3.org/2001/XMLSchema" xmlns:p="http://schemas.microsoft.com/office/2006/metadata/properties" xmlns:ns3="1772084b-1031-4668-bd2d-261c976024cf" xmlns:ns4="a9fe9989-1cdb-434d-a3fb-b42173955144" targetNamespace="http://schemas.microsoft.com/office/2006/metadata/properties" ma:root="true" ma:fieldsID="6dbc2eb2a514fc852b63b55ac4b4f658" ns3:_="" ns4:_="">
    <xsd:import namespace="1772084b-1031-4668-bd2d-261c976024cf"/>
    <xsd:import namespace="a9fe9989-1cdb-434d-a3fb-b4217395514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AutoKeyPoints" minOccurs="0"/>
                <xsd:element ref="ns3:MediaServiceKeyPoint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72084b-1031-4668-bd2d-261c976024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9fe9989-1cdb-434d-a3fb-b4217395514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2F4CF6-746C-43FD-B9F2-A2F35FEB7337}">
  <ds:schemaRefs>
    <ds:schemaRef ds:uri="http://schemas.microsoft.com/sharepoint/v3/contenttype/forms"/>
  </ds:schemaRefs>
</ds:datastoreItem>
</file>

<file path=customXml/itemProps2.xml><?xml version="1.0" encoding="utf-8"?>
<ds:datastoreItem xmlns:ds="http://schemas.openxmlformats.org/officeDocument/2006/customXml" ds:itemID="{4E6AE99A-8BB9-4892-AA1B-BA011A762555}">
  <ds:schemaRefs>
    <ds:schemaRef ds:uri="a9fe9989-1cdb-434d-a3fb-b42173955144"/>
    <ds:schemaRef ds:uri="http://purl.org/dc/elements/1.1/"/>
    <ds:schemaRef ds:uri="http://schemas.microsoft.com/office/2006/metadata/properties"/>
    <ds:schemaRef ds:uri="1772084b-1031-4668-bd2d-261c976024cf"/>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EE9F9CEC-158D-4C32-AA29-9FEF244648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72084b-1031-4668-bd2d-261c976024cf"/>
    <ds:schemaRef ds:uri="a9fe9989-1cdb-434d-a3fb-b421739551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330606C-241D-4F99-BDE8-F248DC7B7F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4</Pages>
  <Words>1299</Words>
  <Characters>7410</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Update to the profession 2: Lighthouse Model Expansion – Evatt List</vt:lpstr>
    </vt:vector>
  </TitlesOfParts>
  <Manager/>
  <Company/>
  <LinksUpToDate>false</LinksUpToDate>
  <CharactersWithSpaces>8692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Update to the profession 3: Lighthouse Model Expansion – Evatt List</dc:title>
  <dc:subject/>
  <dc:creator>Federal Circuit and Family Court of Australia</dc:creator>
  <cp:keywords/>
  <dc:description/>
  <cp:lastModifiedBy>Christine Tuff</cp:lastModifiedBy>
  <cp:revision>13</cp:revision>
  <dcterms:created xsi:type="dcterms:W3CDTF">2022-11-15T04:25:00Z</dcterms:created>
  <dcterms:modified xsi:type="dcterms:W3CDTF">2022-11-15T05:28:00Z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0x010100B7376628DF67CA40A5D8DE69030910CD</vt:lpwstr>
  </property>
</Properties>
</file>