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3EDE" w14:textId="6FBA4153" w:rsidR="00513527" w:rsidRDefault="004D2794" w:rsidP="00BE190A">
      <w:pPr>
        <w:pStyle w:val="Heading2"/>
      </w:pPr>
      <w:r>
        <w:rPr>
          <w:noProof/>
        </w:rPr>
        <w:drawing>
          <wp:anchor distT="0" distB="0" distL="114300" distR="114300" simplePos="0" relativeHeight="251658240" behindDoc="1" locked="0" layoutInCell="1" allowOverlap="1" wp14:anchorId="59EFBA64" wp14:editId="4A49CF46">
            <wp:simplePos x="0" y="0"/>
            <wp:positionH relativeFrom="column">
              <wp:posOffset>-808892</wp:posOffset>
            </wp:positionH>
            <wp:positionV relativeFrom="page">
              <wp:posOffset>111760</wp:posOffset>
            </wp:positionV>
            <wp:extent cx="7326630" cy="169799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H_topper-01-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326630" cy="1697990"/>
                    </a:xfrm>
                    <a:prstGeom prst="rect">
                      <a:avLst/>
                    </a:prstGeom>
                  </pic:spPr>
                </pic:pic>
              </a:graphicData>
            </a:graphic>
            <wp14:sizeRelH relativeFrom="page">
              <wp14:pctWidth>0</wp14:pctWidth>
            </wp14:sizeRelH>
            <wp14:sizeRelV relativeFrom="page">
              <wp14:pctHeight>0</wp14:pctHeight>
            </wp14:sizeRelV>
          </wp:anchor>
        </w:drawing>
      </w:r>
    </w:p>
    <w:p w14:paraId="4359A16A" w14:textId="5DF47D24" w:rsidR="009430CF" w:rsidRPr="00CE655D" w:rsidRDefault="001E618B" w:rsidP="00E90B49">
      <w:pPr>
        <w:spacing w:before="840" w:after="120"/>
        <w:jc w:val="right"/>
        <w:rPr>
          <w:b/>
          <w:sz w:val="24"/>
          <w:szCs w:val="24"/>
        </w:rPr>
      </w:pPr>
      <w:r>
        <w:rPr>
          <w:b/>
          <w:sz w:val="24"/>
          <w:szCs w:val="24"/>
        </w:rPr>
        <w:t>11</w:t>
      </w:r>
      <w:r w:rsidR="0019441F">
        <w:rPr>
          <w:b/>
          <w:sz w:val="24"/>
          <w:szCs w:val="24"/>
        </w:rPr>
        <w:t xml:space="preserve"> November</w:t>
      </w:r>
      <w:r w:rsidR="00603B84">
        <w:rPr>
          <w:b/>
          <w:sz w:val="24"/>
          <w:szCs w:val="24"/>
        </w:rPr>
        <w:t xml:space="preserve"> 2022</w:t>
      </w:r>
    </w:p>
    <w:p w14:paraId="32E327C7" w14:textId="79578B7A" w:rsidR="0019441F" w:rsidRPr="0019441F" w:rsidRDefault="001E618B" w:rsidP="004E75A6">
      <w:pPr>
        <w:pStyle w:val="Heading1"/>
      </w:pPr>
      <w:r>
        <w:t xml:space="preserve">Lighthouse Latest News </w:t>
      </w:r>
    </w:p>
    <w:p w14:paraId="01F23E32" w14:textId="77777777" w:rsidR="001E618B" w:rsidRPr="001E618B" w:rsidRDefault="001E618B" w:rsidP="001E618B">
      <w:pPr>
        <w:rPr>
          <w:i/>
          <w:iCs/>
        </w:rPr>
      </w:pPr>
      <w:r w:rsidRPr="001E618B">
        <w:rPr>
          <w:i/>
          <w:iCs/>
        </w:rPr>
        <w:t>New court reform focused on the safety of children and their families by identifying and addressing issues of family violence and other risks.</w:t>
      </w:r>
    </w:p>
    <w:p w14:paraId="4548B086" w14:textId="65CD0BF3" w:rsidR="001E618B" w:rsidRPr="001E618B" w:rsidRDefault="001E618B" w:rsidP="001E618B">
      <w:pPr>
        <w:rPr>
          <w:iCs/>
        </w:rPr>
      </w:pPr>
      <w:r w:rsidRPr="001E618B">
        <w:rPr>
          <w:iCs/>
        </w:rPr>
        <w:t>The expansion of the Lighthouse model and risk screening from 3 current locations to 15 locations strengthens the Courts’ ability to identify risks early, and respond to those risks. The expansion will benefit many more families, not only because of the expanded number of locations, but it wi</w:t>
      </w:r>
      <w:r w:rsidR="00C27433">
        <w:rPr>
          <w:iCs/>
        </w:rPr>
        <w:t xml:space="preserve">ll also include parties filing </w:t>
      </w:r>
      <w:r w:rsidR="00945CF3">
        <w:rPr>
          <w:iCs/>
        </w:rPr>
        <w:t>‘</w:t>
      </w:r>
      <w:bookmarkStart w:id="0" w:name="_GoBack"/>
      <w:bookmarkEnd w:id="0"/>
      <w:r w:rsidRPr="001E618B">
        <w:rPr>
          <w:iCs/>
        </w:rPr>
        <w:t xml:space="preserve">parenting only’, and ‘parenting and financial’ order matters. </w:t>
      </w:r>
    </w:p>
    <w:p w14:paraId="10A8CC8B" w14:textId="77777777" w:rsidR="001E618B" w:rsidRPr="001E618B" w:rsidRDefault="001E618B" w:rsidP="001E618B">
      <w:pPr>
        <w:rPr>
          <w:iCs/>
        </w:rPr>
      </w:pPr>
      <w:r w:rsidRPr="001E618B">
        <w:rPr>
          <w:iCs/>
        </w:rPr>
        <w:t xml:space="preserve">To support the legal profession, unrepresented litigants and parties to become familiar with the expansion of the model, the Courts have developed several fact sheets that provide key information about what to expect from </w:t>
      </w:r>
      <w:r w:rsidRPr="001E618B">
        <w:rPr>
          <w:b/>
          <w:iCs/>
        </w:rPr>
        <w:t>28 November 2022</w:t>
      </w:r>
      <w:r w:rsidRPr="001E618B">
        <w:rPr>
          <w:iCs/>
        </w:rPr>
        <w:t xml:space="preserve">, when the new arrangements commence. </w:t>
      </w:r>
    </w:p>
    <w:p w14:paraId="36BB9C08" w14:textId="13164DF8" w:rsidR="001E618B" w:rsidRPr="001E618B" w:rsidRDefault="001E618B" w:rsidP="001E618B">
      <w:pPr>
        <w:rPr>
          <w:iCs/>
        </w:rPr>
      </w:pPr>
      <w:r w:rsidRPr="001E618B">
        <w:rPr>
          <w:iCs/>
        </w:rPr>
        <w:t>The </w:t>
      </w:r>
      <w:hyperlink r:id="rId8" w:tooltip="Lighthouse expansion – General fact sheet" w:history="1">
        <w:r w:rsidRPr="001E618B">
          <w:rPr>
            <w:rStyle w:val="Hyperlink"/>
            <w:rFonts w:cstheme="minorBidi"/>
            <w:iCs/>
          </w:rPr>
          <w:t>Lighthouse expansion – General fact sheet</w:t>
        </w:r>
      </w:hyperlink>
      <w:r w:rsidRPr="001E618B">
        <w:rPr>
          <w:iCs/>
        </w:rPr>
        <w:t xml:space="preserve"> provides an overview of the elements of the Lighthouse model. While the </w:t>
      </w:r>
      <w:hyperlink r:id="rId9" w:history="1">
        <w:r w:rsidRPr="001E618B">
          <w:rPr>
            <w:rStyle w:val="Hyperlink"/>
            <w:rFonts w:cstheme="minorBidi"/>
            <w:iCs/>
          </w:rPr>
          <w:t>Information Sheet for Parties</w:t>
        </w:r>
      </w:hyperlink>
      <w:r w:rsidR="00C27433">
        <w:rPr>
          <w:rStyle w:val="Hyperlink"/>
          <w:rFonts w:cstheme="minorBidi"/>
          <w:iCs/>
        </w:rPr>
        <w:t>,</w:t>
      </w:r>
      <w:r w:rsidRPr="001E618B">
        <w:rPr>
          <w:iCs/>
        </w:rPr>
        <w:t xml:space="preserve"> and </w:t>
      </w:r>
      <w:hyperlink r:id="rId10" w:history="1">
        <w:r w:rsidRPr="001E618B">
          <w:rPr>
            <w:rStyle w:val="Hyperlink"/>
            <w:rFonts w:cstheme="minorBidi"/>
            <w:iCs/>
          </w:rPr>
          <w:t>Information Sheet for Practitioners</w:t>
        </w:r>
      </w:hyperlink>
      <w:r w:rsidR="00C27433">
        <w:rPr>
          <w:rStyle w:val="Hyperlink"/>
          <w:rFonts w:cstheme="minorBidi"/>
          <w:iCs/>
        </w:rPr>
        <w:t>,</w:t>
      </w:r>
      <w:r w:rsidRPr="001E618B">
        <w:rPr>
          <w:iCs/>
        </w:rPr>
        <w:t xml:space="preserve"> provide detailed information on the risk screening process and how it assists the Court to determine the best case management pathway. </w:t>
      </w:r>
    </w:p>
    <w:p w14:paraId="565DA6D6" w14:textId="77777777" w:rsidR="001E618B" w:rsidRPr="001E618B" w:rsidRDefault="001E618B" w:rsidP="001E618B">
      <w:pPr>
        <w:rPr>
          <w:iCs/>
        </w:rPr>
      </w:pPr>
      <w:r w:rsidRPr="001E618B">
        <w:rPr>
          <w:iCs/>
        </w:rPr>
        <w:t xml:space="preserve">We hope you will be able to join us for one of the information sessions on the Lighthouse Expansion. The sessions will provide important information about the new arrangements, including the Evatt List (high risk list).  The sessions are scheduled for Wednesday, </w:t>
      </w:r>
      <w:r w:rsidRPr="001E618B">
        <w:rPr>
          <w:b/>
          <w:iCs/>
        </w:rPr>
        <w:t>16 November</w:t>
      </w:r>
      <w:r w:rsidRPr="001E618B">
        <w:rPr>
          <w:iCs/>
        </w:rPr>
        <w:t xml:space="preserve"> and Tuesday, </w:t>
      </w:r>
      <w:r w:rsidRPr="001E618B">
        <w:rPr>
          <w:b/>
          <w:iCs/>
        </w:rPr>
        <w:t>22 November</w:t>
      </w:r>
      <w:r w:rsidRPr="001E618B">
        <w:rPr>
          <w:iCs/>
        </w:rPr>
        <w:t>. As the session scheduled on 10 November unfortunately had to be postponed, the Courts will schedule an additional session for late November, to be advised soon.</w:t>
      </w:r>
    </w:p>
    <w:p w14:paraId="61D647F7" w14:textId="548161AE" w:rsidR="001E618B" w:rsidRPr="001E618B" w:rsidRDefault="001E618B" w:rsidP="001E618B">
      <w:pPr>
        <w:rPr>
          <w:iCs/>
        </w:rPr>
      </w:pPr>
      <w:r w:rsidRPr="001E618B">
        <w:rPr>
          <w:iCs/>
        </w:rPr>
        <w:t xml:space="preserve">In the meantime </w:t>
      </w:r>
      <w:r w:rsidR="008252A2">
        <w:rPr>
          <w:iCs/>
        </w:rPr>
        <w:t xml:space="preserve">see the </w:t>
      </w:r>
      <w:hyperlink r:id="rId11" w:history="1">
        <w:r w:rsidR="008252A2" w:rsidRPr="008252A2">
          <w:rPr>
            <w:rStyle w:val="Hyperlink"/>
            <w:rFonts w:cstheme="minorBidi"/>
            <w:iCs/>
          </w:rPr>
          <w:t>FCFCOA website</w:t>
        </w:r>
      </w:hyperlink>
      <w:r w:rsidR="008252A2">
        <w:rPr>
          <w:iCs/>
        </w:rPr>
        <w:t xml:space="preserve"> for </w:t>
      </w:r>
      <w:r w:rsidRPr="001E618B">
        <w:rPr>
          <w:iCs/>
        </w:rPr>
        <w:t>further information.</w:t>
      </w:r>
    </w:p>
    <w:sectPr w:rsidR="001E618B" w:rsidRPr="001E618B" w:rsidSect="00880EB5">
      <w:footerReference w:type="default" r:id="rId12"/>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751818" w14:textId="77777777" w:rsidR="00F41194" w:rsidRDefault="00F41194" w:rsidP="00BE7E23">
      <w:pPr>
        <w:spacing w:after="0" w:line="240" w:lineRule="auto"/>
      </w:pPr>
      <w:r>
        <w:separator/>
      </w:r>
    </w:p>
  </w:endnote>
  <w:endnote w:type="continuationSeparator" w:id="0">
    <w:p w14:paraId="2405BDBE" w14:textId="77777777" w:rsidR="00F41194" w:rsidRDefault="00F41194"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71D17" w14:textId="77777777" w:rsidR="00BE7E23" w:rsidRPr="00EB613C" w:rsidRDefault="00945CF3" w:rsidP="00332F8B">
    <w:pPr>
      <w:pStyle w:val="Heading1"/>
      <w:spacing w:before="0" w:after="0"/>
      <w:jc w:val="right"/>
    </w:pPr>
    <w:hyperlink r:id="rId1" w:history="1">
      <w:r w:rsidR="00332F8B" w:rsidRPr="00EB613C">
        <w:rPr>
          <w:rStyle w:val="Hyperlink"/>
          <w:rFonts w:cstheme="majorBidi"/>
          <w:color w:val="595959" w:themeColor="text1" w:themeTint="A6"/>
          <w:sz w:val="24"/>
          <w:szCs w:val="24"/>
          <w:u w:val="none"/>
        </w:rPr>
        <w:t>www.fcfcoa.gov.au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1B65EE" w14:textId="77777777" w:rsidR="00F41194" w:rsidRDefault="00F41194" w:rsidP="00BE7E23">
      <w:pPr>
        <w:spacing w:after="0" w:line="240" w:lineRule="auto"/>
      </w:pPr>
      <w:r>
        <w:separator/>
      </w:r>
    </w:p>
  </w:footnote>
  <w:footnote w:type="continuationSeparator" w:id="0">
    <w:p w14:paraId="3DDAA7EA" w14:textId="77777777" w:rsidR="00F41194" w:rsidRDefault="00F41194" w:rsidP="00BE7E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0D2398"/>
    <w:multiLevelType w:val="hybridMultilevel"/>
    <w:tmpl w:val="92B47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254278"/>
    <w:multiLevelType w:val="hybridMultilevel"/>
    <w:tmpl w:val="4BFA2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3205B1"/>
    <w:multiLevelType w:val="hybridMultilevel"/>
    <w:tmpl w:val="12EA2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E2223A"/>
    <w:multiLevelType w:val="multilevel"/>
    <w:tmpl w:val="82509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272198"/>
    <w:multiLevelType w:val="hybridMultilevel"/>
    <w:tmpl w:val="B7F0112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2B89696E"/>
    <w:multiLevelType w:val="hybridMultilevel"/>
    <w:tmpl w:val="ECA893DC"/>
    <w:lvl w:ilvl="0" w:tplc="0C090001">
      <w:start w:val="1"/>
      <w:numFmt w:val="bullet"/>
      <w:lvlText w:val=""/>
      <w:lvlJc w:val="left"/>
      <w:pPr>
        <w:ind w:left="507" w:hanging="360"/>
      </w:pPr>
      <w:rPr>
        <w:rFonts w:ascii="Symbol" w:hAnsi="Symbol" w:hint="default"/>
      </w:rPr>
    </w:lvl>
    <w:lvl w:ilvl="1" w:tplc="0C090003" w:tentative="1">
      <w:start w:val="1"/>
      <w:numFmt w:val="bullet"/>
      <w:lvlText w:val="o"/>
      <w:lvlJc w:val="left"/>
      <w:pPr>
        <w:ind w:left="1227" w:hanging="360"/>
      </w:pPr>
      <w:rPr>
        <w:rFonts w:ascii="Courier New" w:hAnsi="Courier New" w:cs="Courier New" w:hint="default"/>
      </w:rPr>
    </w:lvl>
    <w:lvl w:ilvl="2" w:tplc="0C090005" w:tentative="1">
      <w:start w:val="1"/>
      <w:numFmt w:val="bullet"/>
      <w:lvlText w:val=""/>
      <w:lvlJc w:val="left"/>
      <w:pPr>
        <w:ind w:left="1947" w:hanging="360"/>
      </w:pPr>
      <w:rPr>
        <w:rFonts w:ascii="Wingdings" w:hAnsi="Wingdings" w:hint="default"/>
      </w:rPr>
    </w:lvl>
    <w:lvl w:ilvl="3" w:tplc="0C090001" w:tentative="1">
      <w:start w:val="1"/>
      <w:numFmt w:val="bullet"/>
      <w:lvlText w:val=""/>
      <w:lvlJc w:val="left"/>
      <w:pPr>
        <w:ind w:left="2667" w:hanging="360"/>
      </w:pPr>
      <w:rPr>
        <w:rFonts w:ascii="Symbol" w:hAnsi="Symbol" w:hint="default"/>
      </w:rPr>
    </w:lvl>
    <w:lvl w:ilvl="4" w:tplc="0C090003" w:tentative="1">
      <w:start w:val="1"/>
      <w:numFmt w:val="bullet"/>
      <w:lvlText w:val="o"/>
      <w:lvlJc w:val="left"/>
      <w:pPr>
        <w:ind w:left="3387" w:hanging="360"/>
      </w:pPr>
      <w:rPr>
        <w:rFonts w:ascii="Courier New" w:hAnsi="Courier New" w:cs="Courier New" w:hint="default"/>
      </w:rPr>
    </w:lvl>
    <w:lvl w:ilvl="5" w:tplc="0C090005" w:tentative="1">
      <w:start w:val="1"/>
      <w:numFmt w:val="bullet"/>
      <w:lvlText w:val=""/>
      <w:lvlJc w:val="left"/>
      <w:pPr>
        <w:ind w:left="4107" w:hanging="360"/>
      </w:pPr>
      <w:rPr>
        <w:rFonts w:ascii="Wingdings" w:hAnsi="Wingdings" w:hint="default"/>
      </w:rPr>
    </w:lvl>
    <w:lvl w:ilvl="6" w:tplc="0C090001" w:tentative="1">
      <w:start w:val="1"/>
      <w:numFmt w:val="bullet"/>
      <w:lvlText w:val=""/>
      <w:lvlJc w:val="left"/>
      <w:pPr>
        <w:ind w:left="4827" w:hanging="360"/>
      </w:pPr>
      <w:rPr>
        <w:rFonts w:ascii="Symbol" w:hAnsi="Symbol" w:hint="default"/>
      </w:rPr>
    </w:lvl>
    <w:lvl w:ilvl="7" w:tplc="0C090003" w:tentative="1">
      <w:start w:val="1"/>
      <w:numFmt w:val="bullet"/>
      <w:lvlText w:val="o"/>
      <w:lvlJc w:val="left"/>
      <w:pPr>
        <w:ind w:left="5547" w:hanging="360"/>
      </w:pPr>
      <w:rPr>
        <w:rFonts w:ascii="Courier New" w:hAnsi="Courier New" w:cs="Courier New" w:hint="default"/>
      </w:rPr>
    </w:lvl>
    <w:lvl w:ilvl="8" w:tplc="0C090005" w:tentative="1">
      <w:start w:val="1"/>
      <w:numFmt w:val="bullet"/>
      <w:lvlText w:val=""/>
      <w:lvlJc w:val="left"/>
      <w:pPr>
        <w:ind w:left="6267" w:hanging="360"/>
      </w:pPr>
      <w:rPr>
        <w:rFonts w:ascii="Wingdings" w:hAnsi="Wingdings" w:hint="default"/>
      </w:rPr>
    </w:lvl>
  </w:abstractNum>
  <w:abstractNum w:abstractNumId="7" w15:restartNumberingAfterBreak="0">
    <w:nsid w:val="2BBF04E1"/>
    <w:multiLevelType w:val="hybridMultilevel"/>
    <w:tmpl w:val="C2C6BB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30744A3"/>
    <w:multiLevelType w:val="hybridMultilevel"/>
    <w:tmpl w:val="C50E2AF8"/>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9" w15:restartNumberingAfterBreak="0">
    <w:nsid w:val="332B46C7"/>
    <w:multiLevelType w:val="hybridMultilevel"/>
    <w:tmpl w:val="14ECE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66203D3"/>
    <w:multiLevelType w:val="hybridMultilevel"/>
    <w:tmpl w:val="061CDEF4"/>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1" w15:restartNumberingAfterBreak="0">
    <w:nsid w:val="399844EB"/>
    <w:multiLevelType w:val="multilevel"/>
    <w:tmpl w:val="55F03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D67432"/>
    <w:multiLevelType w:val="hybridMultilevel"/>
    <w:tmpl w:val="D65C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00E0C50"/>
    <w:multiLevelType w:val="hybridMultilevel"/>
    <w:tmpl w:val="FCDA0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48132C"/>
    <w:multiLevelType w:val="hybridMultilevel"/>
    <w:tmpl w:val="7EFCE9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55E7169"/>
    <w:multiLevelType w:val="hybridMultilevel"/>
    <w:tmpl w:val="258E3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F7C37E5"/>
    <w:multiLevelType w:val="hybridMultilevel"/>
    <w:tmpl w:val="15B8B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68523B"/>
    <w:multiLevelType w:val="hybridMultilevel"/>
    <w:tmpl w:val="EC2CD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18"/>
  </w:num>
  <w:num w:numId="3">
    <w:abstractNumId w:val="0"/>
  </w:num>
  <w:num w:numId="4">
    <w:abstractNumId w:val="16"/>
  </w:num>
  <w:num w:numId="5">
    <w:abstractNumId w:val="11"/>
  </w:num>
  <w:num w:numId="6">
    <w:abstractNumId w:val="7"/>
  </w:num>
  <w:num w:numId="7">
    <w:abstractNumId w:val="5"/>
    <w:lvlOverride w:ilvl="0">
      <w:startOverride w:val="1"/>
    </w:lvlOverride>
    <w:lvlOverride w:ilvl="1"/>
    <w:lvlOverride w:ilvl="2"/>
    <w:lvlOverride w:ilvl="3"/>
    <w:lvlOverride w:ilvl="4"/>
    <w:lvlOverride w:ilvl="5"/>
    <w:lvlOverride w:ilvl="6"/>
    <w:lvlOverride w:ilvl="7"/>
    <w:lvlOverride w:ilvl="8"/>
  </w:num>
  <w:num w:numId="8">
    <w:abstractNumId w:val="3"/>
  </w:num>
  <w:num w:numId="9">
    <w:abstractNumId w:val="9"/>
  </w:num>
  <w:num w:numId="10">
    <w:abstractNumId w:val="19"/>
  </w:num>
  <w:num w:numId="11">
    <w:abstractNumId w:val="17"/>
  </w:num>
  <w:num w:numId="12">
    <w:abstractNumId w:val="15"/>
  </w:num>
  <w:num w:numId="13">
    <w:abstractNumId w:val="1"/>
  </w:num>
  <w:num w:numId="14">
    <w:abstractNumId w:val="14"/>
  </w:num>
  <w:num w:numId="15">
    <w:abstractNumId w:val="12"/>
  </w:num>
  <w:num w:numId="16">
    <w:abstractNumId w:val="2"/>
  </w:num>
  <w:num w:numId="17">
    <w:abstractNumId w:val="4"/>
  </w:num>
  <w:num w:numId="18">
    <w:abstractNumId w:val="8"/>
  </w:num>
  <w:num w:numId="19">
    <w:abstractNumId w:val="13"/>
  </w:num>
  <w:num w:numId="20">
    <w:abstractNumId w:val="10"/>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DateAndTime/>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0455"/>
    <w:rsid w:val="000054B8"/>
    <w:rsid w:val="00047D01"/>
    <w:rsid w:val="0006595C"/>
    <w:rsid w:val="00075E04"/>
    <w:rsid w:val="0007771F"/>
    <w:rsid w:val="00086662"/>
    <w:rsid w:val="000A6B17"/>
    <w:rsid w:val="000A7557"/>
    <w:rsid w:val="000B31D6"/>
    <w:rsid w:val="000B5EEB"/>
    <w:rsid w:val="000C20E2"/>
    <w:rsid w:val="000C7529"/>
    <w:rsid w:val="000D59B8"/>
    <w:rsid w:val="000F08C6"/>
    <w:rsid w:val="000F5282"/>
    <w:rsid w:val="000F54FD"/>
    <w:rsid w:val="001217EF"/>
    <w:rsid w:val="00141E43"/>
    <w:rsid w:val="00144A42"/>
    <w:rsid w:val="00144DA8"/>
    <w:rsid w:val="001516AF"/>
    <w:rsid w:val="0015502B"/>
    <w:rsid w:val="0016325D"/>
    <w:rsid w:val="001713DF"/>
    <w:rsid w:val="0019441F"/>
    <w:rsid w:val="001C027E"/>
    <w:rsid w:val="001E396B"/>
    <w:rsid w:val="001E467B"/>
    <w:rsid w:val="001E5A77"/>
    <w:rsid w:val="001E618B"/>
    <w:rsid w:val="001F1493"/>
    <w:rsid w:val="00215FA8"/>
    <w:rsid w:val="002230ED"/>
    <w:rsid w:val="00231523"/>
    <w:rsid w:val="00233BE5"/>
    <w:rsid w:val="0023459F"/>
    <w:rsid w:val="00236238"/>
    <w:rsid w:val="0023651F"/>
    <w:rsid w:val="00271F3D"/>
    <w:rsid w:val="0027609D"/>
    <w:rsid w:val="00277F6B"/>
    <w:rsid w:val="002823E1"/>
    <w:rsid w:val="00283DC0"/>
    <w:rsid w:val="002A4357"/>
    <w:rsid w:val="002A69D5"/>
    <w:rsid w:val="002B5E7C"/>
    <w:rsid w:val="002C0373"/>
    <w:rsid w:val="002C6456"/>
    <w:rsid w:val="002C76A2"/>
    <w:rsid w:val="002E32A5"/>
    <w:rsid w:val="002F659D"/>
    <w:rsid w:val="00303CA7"/>
    <w:rsid w:val="003048FA"/>
    <w:rsid w:val="0032188C"/>
    <w:rsid w:val="00323756"/>
    <w:rsid w:val="00332F8B"/>
    <w:rsid w:val="00333092"/>
    <w:rsid w:val="003356B1"/>
    <w:rsid w:val="00340C4B"/>
    <w:rsid w:val="0034556C"/>
    <w:rsid w:val="0035544F"/>
    <w:rsid w:val="003828E1"/>
    <w:rsid w:val="003A4A35"/>
    <w:rsid w:val="003B1D36"/>
    <w:rsid w:val="003B2E9B"/>
    <w:rsid w:val="003B4DD3"/>
    <w:rsid w:val="003D4BAD"/>
    <w:rsid w:val="003E0E68"/>
    <w:rsid w:val="00403696"/>
    <w:rsid w:val="004039D7"/>
    <w:rsid w:val="00427CA6"/>
    <w:rsid w:val="00450751"/>
    <w:rsid w:val="00457B7F"/>
    <w:rsid w:val="004832CC"/>
    <w:rsid w:val="00484BC2"/>
    <w:rsid w:val="00494C32"/>
    <w:rsid w:val="004D2794"/>
    <w:rsid w:val="004E75A6"/>
    <w:rsid w:val="00512563"/>
    <w:rsid w:val="00513527"/>
    <w:rsid w:val="005206AD"/>
    <w:rsid w:val="00522082"/>
    <w:rsid w:val="00526974"/>
    <w:rsid w:val="005439C0"/>
    <w:rsid w:val="00562173"/>
    <w:rsid w:val="00565018"/>
    <w:rsid w:val="005873AB"/>
    <w:rsid w:val="005917C4"/>
    <w:rsid w:val="005A01D4"/>
    <w:rsid w:val="005A12E2"/>
    <w:rsid w:val="005A4409"/>
    <w:rsid w:val="005B6B94"/>
    <w:rsid w:val="005D5500"/>
    <w:rsid w:val="005D5769"/>
    <w:rsid w:val="005E1D3E"/>
    <w:rsid w:val="0060112D"/>
    <w:rsid w:val="0060141E"/>
    <w:rsid w:val="00603B84"/>
    <w:rsid w:val="00622817"/>
    <w:rsid w:val="006230A3"/>
    <w:rsid w:val="00624905"/>
    <w:rsid w:val="00626761"/>
    <w:rsid w:val="00663F82"/>
    <w:rsid w:val="006662FE"/>
    <w:rsid w:val="00670F44"/>
    <w:rsid w:val="006A1812"/>
    <w:rsid w:val="006A1919"/>
    <w:rsid w:val="006A664A"/>
    <w:rsid w:val="006B7B13"/>
    <w:rsid w:val="006D6CF8"/>
    <w:rsid w:val="006F23BF"/>
    <w:rsid w:val="00704CAC"/>
    <w:rsid w:val="00725E87"/>
    <w:rsid w:val="00726A75"/>
    <w:rsid w:val="00727469"/>
    <w:rsid w:val="00731638"/>
    <w:rsid w:val="00736C10"/>
    <w:rsid w:val="00745874"/>
    <w:rsid w:val="00771159"/>
    <w:rsid w:val="00785069"/>
    <w:rsid w:val="00786F5C"/>
    <w:rsid w:val="007A0977"/>
    <w:rsid w:val="007A5356"/>
    <w:rsid w:val="007D3D74"/>
    <w:rsid w:val="007F6976"/>
    <w:rsid w:val="008003EF"/>
    <w:rsid w:val="00806649"/>
    <w:rsid w:val="008252A2"/>
    <w:rsid w:val="008255B8"/>
    <w:rsid w:val="00856861"/>
    <w:rsid w:val="00860E2B"/>
    <w:rsid w:val="008674BF"/>
    <w:rsid w:val="00880EB5"/>
    <w:rsid w:val="008A3A5D"/>
    <w:rsid w:val="008A3AE2"/>
    <w:rsid w:val="008A436D"/>
    <w:rsid w:val="008A582C"/>
    <w:rsid w:val="008B5342"/>
    <w:rsid w:val="008B6F61"/>
    <w:rsid w:val="008C2331"/>
    <w:rsid w:val="008D427B"/>
    <w:rsid w:val="008D57C6"/>
    <w:rsid w:val="008F0280"/>
    <w:rsid w:val="008F387A"/>
    <w:rsid w:val="0091517E"/>
    <w:rsid w:val="00932233"/>
    <w:rsid w:val="00945CF3"/>
    <w:rsid w:val="00960BC0"/>
    <w:rsid w:val="00965A79"/>
    <w:rsid w:val="00966235"/>
    <w:rsid w:val="00974B93"/>
    <w:rsid w:val="00981C71"/>
    <w:rsid w:val="00984A2C"/>
    <w:rsid w:val="00985B54"/>
    <w:rsid w:val="0098655C"/>
    <w:rsid w:val="009B18D4"/>
    <w:rsid w:val="009B1A3C"/>
    <w:rsid w:val="00A53CAE"/>
    <w:rsid w:val="00A93A71"/>
    <w:rsid w:val="00A95310"/>
    <w:rsid w:val="00A97888"/>
    <w:rsid w:val="00AA78B7"/>
    <w:rsid w:val="00B0195E"/>
    <w:rsid w:val="00B124A9"/>
    <w:rsid w:val="00B14B5C"/>
    <w:rsid w:val="00B16C68"/>
    <w:rsid w:val="00B45B74"/>
    <w:rsid w:val="00B74F41"/>
    <w:rsid w:val="00BA1B56"/>
    <w:rsid w:val="00BA3E69"/>
    <w:rsid w:val="00BC2FE4"/>
    <w:rsid w:val="00BD00EC"/>
    <w:rsid w:val="00BE190A"/>
    <w:rsid w:val="00BE49BF"/>
    <w:rsid w:val="00BE7E23"/>
    <w:rsid w:val="00C15524"/>
    <w:rsid w:val="00C27433"/>
    <w:rsid w:val="00C27CB2"/>
    <w:rsid w:val="00C30C7D"/>
    <w:rsid w:val="00C53E52"/>
    <w:rsid w:val="00C600E2"/>
    <w:rsid w:val="00C6151C"/>
    <w:rsid w:val="00C644FE"/>
    <w:rsid w:val="00C72C65"/>
    <w:rsid w:val="00C9156A"/>
    <w:rsid w:val="00C9372C"/>
    <w:rsid w:val="00CA1B7A"/>
    <w:rsid w:val="00CB63C4"/>
    <w:rsid w:val="00CB6945"/>
    <w:rsid w:val="00CC0404"/>
    <w:rsid w:val="00CE655D"/>
    <w:rsid w:val="00CF587D"/>
    <w:rsid w:val="00D014B5"/>
    <w:rsid w:val="00D64103"/>
    <w:rsid w:val="00D74A6F"/>
    <w:rsid w:val="00D84C59"/>
    <w:rsid w:val="00DE0923"/>
    <w:rsid w:val="00DE415A"/>
    <w:rsid w:val="00DF79C9"/>
    <w:rsid w:val="00E036F7"/>
    <w:rsid w:val="00E16479"/>
    <w:rsid w:val="00E5754D"/>
    <w:rsid w:val="00E70EDD"/>
    <w:rsid w:val="00E819D0"/>
    <w:rsid w:val="00E83EF5"/>
    <w:rsid w:val="00E87310"/>
    <w:rsid w:val="00E90B49"/>
    <w:rsid w:val="00E95385"/>
    <w:rsid w:val="00EA4211"/>
    <w:rsid w:val="00EA44F3"/>
    <w:rsid w:val="00EB5676"/>
    <w:rsid w:val="00EB613C"/>
    <w:rsid w:val="00EC1E01"/>
    <w:rsid w:val="00EC2C9A"/>
    <w:rsid w:val="00ED10A0"/>
    <w:rsid w:val="00EE0A16"/>
    <w:rsid w:val="00EE4C16"/>
    <w:rsid w:val="00F0446E"/>
    <w:rsid w:val="00F04E92"/>
    <w:rsid w:val="00F22153"/>
    <w:rsid w:val="00F23E84"/>
    <w:rsid w:val="00F3336C"/>
    <w:rsid w:val="00F35544"/>
    <w:rsid w:val="00F41194"/>
    <w:rsid w:val="00F44486"/>
    <w:rsid w:val="00F50E7F"/>
    <w:rsid w:val="00F62573"/>
    <w:rsid w:val="00F9354E"/>
    <w:rsid w:val="00FA56E0"/>
    <w:rsid w:val="00FD615E"/>
    <w:rsid w:val="00FF51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1341F1"/>
  <w15:chartTrackingRefBased/>
  <w15:docId w15:val="{2F767FC8-A617-4808-9143-5C8F62085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6976"/>
  </w:style>
  <w:style w:type="paragraph" w:styleId="Heading1">
    <w:name w:val="heading 1"/>
    <w:basedOn w:val="Normal"/>
    <w:next w:val="Normal"/>
    <w:link w:val="Heading1Char"/>
    <w:uiPriority w:val="9"/>
    <w:qFormat/>
    <w:rsid w:val="002230ED"/>
    <w:pPr>
      <w:keepNext/>
      <w:keepLines/>
      <w:spacing w:before="120" w:after="240"/>
      <w:outlineLvl w:val="0"/>
    </w:pPr>
    <w:rPr>
      <w:rFonts w:eastAsiaTheme="majorEastAsia" w:cstheme="majorBidi"/>
      <w:b/>
      <w:bCs/>
      <w:color w:val="595959" w:themeColor="text1" w:themeTint="A6"/>
      <w:sz w:val="36"/>
      <w:szCs w:val="28"/>
    </w:rPr>
  </w:style>
  <w:style w:type="paragraph" w:styleId="Heading2">
    <w:name w:val="heading 2"/>
    <w:basedOn w:val="Normal"/>
    <w:next w:val="Normal"/>
    <w:link w:val="Heading2Char"/>
    <w:uiPriority w:val="9"/>
    <w:unhideWhenUsed/>
    <w:qFormat/>
    <w:rsid w:val="004039D7"/>
    <w:pPr>
      <w:keepNext/>
      <w:keepLines/>
      <w:spacing w:before="240" w:after="40"/>
      <w:outlineLvl w:val="1"/>
    </w:pPr>
    <w:rPr>
      <w:rFonts w:eastAsiaTheme="majorEastAsia" w:cstheme="majorBidi"/>
      <w:b/>
      <w:bCs/>
      <w:color w:val="595959" w:themeColor="text1" w:themeTint="A6"/>
      <w:sz w:val="24"/>
      <w:szCs w:val="26"/>
    </w:rPr>
  </w:style>
  <w:style w:type="paragraph" w:styleId="Heading3">
    <w:name w:val="heading 3"/>
    <w:basedOn w:val="Normal"/>
    <w:next w:val="Normal"/>
    <w:link w:val="Heading3Char"/>
    <w:uiPriority w:val="9"/>
    <w:unhideWhenUsed/>
    <w:qFormat/>
    <w:rsid w:val="007F6976"/>
    <w:pPr>
      <w:keepNext/>
      <w:keepLines/>
      <w:spacing w:before="200" w:after="0"/>
      <w:outlineLvl w:val="2"/>
    </w:pPr>
    <w:rPr>
      <w:rFonts w:eastAsiaTheme="majorEastAsia" w:cstheme="majorBidi"/>
      <w:b/>
      <w:bCs/>
      <w:color w:val="404040" w:themeColor="text1" w:themeTint="BF"/>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ED"/>
    <w:rPr>
      <w:rFonts w:eastAsiaTheme="majorEastAsia" w:cstheme="majorBidi"/>
      <w:b/>
      <w:bCs/>
      <w:color w:val="595959" w:themeColor="text1" w:themeTint="A6"/>
      <w:sz w:val="36"/>
      <w:szCs w:val="28"/>
    </w:rPr>
  </w:style>
  <w:style w:type="character" w:customStyle="1" w:styleId="Heading2Char">
    <w:name w:val="Heading 2 Char"/>
    <w:basedOn w:val="DefaultParagraphFont"/>
    <w:link w:val="Heading2"/>
    <w:uiPriority w:val="9"/>
    <w:rsid w:val="004039D7"/>
    <w:rPr>
      <w:rFonts w:eastAsiaTheme="majorEastAsia" w:cstheme="majorBidi"/>
      <w:b/>
      <w:bCs/>
      <w:color w:val="595959" w:themeColor="text1" w:themeTint="A6"/>
      <w:sz w:val="24"/>
      <w:szCs w:val="26"/>
    </w:rPr>
  </w:style>
  <w:style w:type="character" w:customStyle="1" w:styleId="Heading3Char">
    <w:name w:val="Heading 3 Char"/>
    <w:basedOn w:val="DefaultParagraphFont"/>
    <w:link w:val="Heading3"/>
    <w:uiPriority w:val="9"/>
    <w:rsid w:val="007F6976"/>
    <w:rPr>
      <w:rFonts w:eastAsiaTheme="majorEastAsia" w:cstheme="majorBidi"/>
      <w:b/>
      <w:bCs/>
      <w:color w:val="404040" w:themeColor="text1" w:themeTint="BF"/>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C30C7D"/>
    <w:rPr>
      <w:rFonts w:cs="Times New Roman"/>
      <w:color w:val="1F497D" w:themeColor="text2"/>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E467B"/>
    <w:pPr>
      <w:spacing w:after="0" w:line="240" w:lineRule="auto"/>
    </w:pPr>
    <w:rPr>
      <w:sz w:val="20"/>
      <w:szCs w:val="20"/>
      <w:lang w:eastAsia="en-US"/>
    </w:rPr>
  </w:style>
  <w:style w:type="character" w:customStyle="1" w:styleId="FootnoteTextChar">
    <w:name w:val="Footnote Text Char"/>
    <w:basedOn w:val="DefaultParagraphFont"/>
    <w:link w:val="FootnoteText"/>
    <w:uiPriority w:val="99"/>
    <w:semiHidden/>
    <w:rsid w:val="001E467B"/>
    <w:rPr>
      <w:sz w:val="20"/>
      <w:szCs w:val="20"/>
      <w:lang w:eastAsia="en-US"/>
    </w:rPr>
  </w:style>
  <w:style w:type="character" w:styleId="FootnoteReference">
    <w:name w:val="footnote reference"/>
    <w:basedOn w:val="DefaultParagraphFont"/>
    <w:uiPriority w:val="99"/>
    <w:semiHidden/>
    <w:unhideWhenUsed/>
    <w:rsid w:val="001E467B"/>
    <w:rPr>
      <w:vertAlign w:val="superscript"/>
    </w:rPr>
  </w:style>
  <w:style w:type="character" w:styleId="FollowedHyperlink">
    <w:name w:val="FollowedHyperlink"/>
    <w:basedOn w:val="DefaultParagraphFont"/>
    <w:uiPriority w:val="99"/>
    <w:semiHidden/>
    <w:unhideWhenUsed/>
    <w:rsid w:val="002823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9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news-and-media-centre/updates-profession/lh-expansio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lighthouse" TargetMode="External"/><Relationship Id="rId5" Type="http://schemas.openxmlformats.org/officeDocument/2006/relationships/footnotes" Target="footnotes.xml"/><Relationship Id="rId10" Type="http://schemas.openxmlformats.org/officeDocument/2006/relationships/hyperlink" Target="https://www.fcfcoa.gov.au/sites/default/files/2022-11/LHP_Info_Sheet_Practitioners_FS_1122V1.pdf" TargetMode="External"/><Relationship Id="rId4" Type="http://schemas.openxmlformats.org/officeDocument/2006/relationships/webSettings" Target="webSettings.xml"/><Relationship Id="rId9" Type="http://schemas.openxmlformats.org/officeDocument/2006/relationships/hyperlink" Target="https://www.fcfcoa.gov.au/sites/default/files/2022-11/LHP_Info_Sheet_Parties_FS_1122V1.pd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316</Words>
  <Characters>1803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Lighthouse Model Expansion – Risk Screening</vt:lpstr>
    </vt:vector>
  </TitlesOfParts>
  <Manager/>
  <Company/>
  <LinksUpToDate>false</LinksUpToDate>
  <CharactersWithSpaces>2115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Model Expansion – Risk Screening</dc:title>
  <dc:subject/>
  <dc:creator>Family Court and Federal Circuit Court</dc:creator>
  <cp:keywords/>
  <dc:description/>
  <cp:lastModifiedBy>Christine Tuff</cp:lastModifiedBy>
  <cp:revision>3</cp:revision>
  <dcterms:created xsi:type="dcterms:W3CDTF">2022-11-11T00:36:00Z</dcterms:created>
  <dcterms:modified xsi:type="dcterms:W3CDTF">2022-11-11T01:09:00Z</dcterms:modified>
</cp:coreProperties>
</file>