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D76F36" w14:textId="77777777" w:rsidR="00743380" w:rsidRPr="00DB5F35" w:rsidRDefault="00743380" w:rsidP="00F33852">
      <w:pPr>
        <w:pStyle w:val="Heading1"/>
      </w:pPr>
      <w:r w:rsidRPr="00157082">
        <w:rPr>
          <w:noProof/>
          <w:lang w:eastAsia="en-AU"/>
        </w:rPr>
        <w:drawing>
          <wp:inline distT="0" distB="0" distL="0" distR="0" wp14:anchorId="7CDDB90E" wp14:editId="61115B19">
            <wp:extent cx="3603600" cy="795600"/>
            <wp:effectExtent l="0" t="0" r="0" b="5080"/>
            <wp:docPr id="1" name="Picture 1" descr="Federal Circuit and Family Court of Australi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CFCOA_StackedLONG_Blk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3600" cy="7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D24057" w14:textId="1C2D755B" w:rsidR="00C55FD0" w:rsidRPr="00157082" w:rsidRDefault="00273A0B" w:rsidP="002928A2">
      <w:pPr>
        <w:pStyle w:val="Heading1"/>
        <w:spacing w:line="240" w:lineRule="auto"/>
      </w:pPr>
      <w:r w:rsidRPr="00157082">
        <w:t>hearing protocol</w:t>
      </w:r>
      <w:r w:rsidR="0031656A">
        <w:t xml:space="preserve"> (SMIN-HEARINGS)</w:t>
      </w:r>
    </w:p>
    <w:p w14:paraId="78FAF549" w14:textId="77777777" w:rsidR="00C55FD0" w:rsidRPr="00157082" w:rsidRDefault="00273A0B" w:rsidP="008F4D72">
      <w:pPr>
        <w:jc w:val="center"/>
        <w:rPr>
          <w:sz w:val="36"/>
          <w:szCs w:val="36"/>
        </w:rPr>
      </w:pPr>
      <w:r w:rsidRPr="00157082">
        <w:rPr>
          <w:sz w:val="36"/>
          <w:szCs w:val="36"/>
        </w:rPr>
        <w:t>FCFCOA Special Measures Information Notice</w:t>
      </w:r>
    </w:p>
    <w:p w14:paraId="4EA0EDC0" w14:textId="77777777" w:rsidR="00C55FD0" w:rsidRPr="00157082" w:rsidRDefault="00C55FD0" w:rsidP="002928A2">
      <w:pPr>
        <w:pStyle w:val="Heading2"/>
      </w:pPr>
      <w:r w:rsidRPr="00157082">
        <w:t>Introduction</w:t>
      </w:r>
    </w:p>
    <w:p w14:paraId="0ECDBEE3" w14:textId="58E09EF5" w:rsidR="00273A0B" w:rsidRPr="00157082" w:rsidRDefault="003D52E7" w:rsidP="004E183E">
      <w:pPr>
        <w:pStyle w:val="11style"/>
      </w:pPr>
      <w:r w:rsidRPr="00157082">
        <w:t>This protocol will apply to all hearings and other court events in the Federal Circuit and Family Court of Australia</w:t>
      </w:r>
      <w:r w:rsidR="00CB1255">
        <w:t xml:space="preserve"> (Division 1) and (Division 2)</w:t>
      </w:r>
      <w:r w:rsidRPr="00157082">
        <w:t xml:space="preserve"> (</w:t>
      </w:r>
      <w:r w:rsidRPr="00157082">
        <w:rPr>
          <w:b/>
        </w:rPr>
        <w:t>the Court</w:t>
      </w:r>
      <w:r w:rsidR="00CB1255">
        <w:rPr>
          <w:b/>
        </w:rPr>
        <w:t>s</w:t>
      </w:r>
      <w:r w:rsidRPr="00157082">
        <w:t xml:space="preserve">) from </w:t>
      </w:r>
      <w:r w:rsidR="00F42048">
        <w:br/>
      </w:r>
      <w:r w:rsidR="00A57A72" w:rsidRPr="00421FBC">
        <w:t>7</w:t>
      </w:r>
      <w:r w:rsidR="006D0EDA" w:rsidRPr="00670993">
        <w:t xml:space="preserve"> November</w:t>
      </w:r>
      <w:r w:rsidR="002B176F" w:rsidRPr="00670993">
        <w:t xml:space="preserve"> 2022</w:t>
      </w:r>
      <w:r w:rsidRPr="00670993">
        <w:t>.</w:t>
      </w:r>
    </w:p>
    <w:p w14:paraId="3165B540" w14:textId="7F4B3828" w:rsidR="003D52E7" w:rsidRDefault="003D52E7" w:rsidP="004E183E">
      <w:pPr>
        <w:pStyle w:val="11style"/>
      </w:pPr>
      <w:r w:rsidRPr="00157082">
        <w:t>This protocol applies equally to the Courts</w:t>
      </w:r>
      <w:r w:rsidR="00CB1255">
        <w:t>’</w:t>
      </w:r>
      <w:r w:rsidRPr="00157082">
        <w:t xml:space="preserve"> family law, migration law, and general federal law jurisdictions.</w:t>
      </w:r>
    </w:p>
    <w:p w14:paraId="03B65DEE" w14:textId="4BC2D25A" w:rsidR="006D0EDA" w:rsidRPr="00157082" w:rsidRDefault="006D0EDA" w:rsidP="004E183E">
      <w:pPr>
        <w:pStyle w:val="11style"/>
      </w:pPr>
      <w:r>
        <w:t xml:space="preserve">This protocol replaces the COVID-19 Hearing Protocol (SMIN-COVID-HEARINGS). </w:t>
      </w:r>
    </w:p>
    <w:p w14:paraId="25E71F95" w14:textId="77777777" w:rsidR="003D52E7" w:rsidRPr="00157082" w:rsidRDefault="003D52E7" w:rsidP="002928A2">
      <w:pPr>
        <w:pStyle w:val="Heading2"/>
      </w:pPr>
      <w:r w:rsidRPr="00157082">
        <w:t>COVIDSafe measures</w:t>
      </w:r>
    </w:p>
    <w:p w14:paraId="2EB36DF9" w14:textId="24E39AD5" w:rsidR="00EB2DA5" w:rsidRPr="00157082" w:rsidRDefault="00EB2DA5" w:rsidP="003D52E7">
      <w:pPr>
        <w:pStyle w:val="Heading3"/>
      </w:pPr>
      <w:r w:rsidRPr="00157082">
        <w:t>Attendance at a court registry</w:t>
      </w:r>
      <w:r w:rsidR="006D0EDA">
        <w:t xml:space="preserve"> </w:t>
      </w:r>
      <w:r w:rsidR="00A217AC">
        <w:t xml:space="preserve">for a court event </w:t>
      </w:r>
      <w:r w:rsidR="006D0EDA">
        <w:t>when COVID-19 positive</w:t>
      </w:r>
    </w:p>
    <w:p w14:paraId="0CAAF506" w14:textId="2D59E586" w:rsidR="00A35437" w:rsidRDefault="00A35437" w:rsidP="004E183E">
      <w:pPr>
        <w:pStyle w:val="11style"/>
      </w:pPr>
      <w:r>
        <w:t>If a</w:t>
      </w:r>
      <w:r w:rsidR="006D0EDA">
        <w:t xml:space="preserve"> c</w:t>
      </w:r>
      <w:r w:rsidR="0025406A" w:rsidRPr="00421FBC">
        <w:t>ourt user</w:t>
      </w:r>
      <w:r w:rsidR="006D0EDA">
        <w:t xml:space="preserve"> (</w:t>
      </w:r>
      <w:r w:rsidR="0025406A" w:rsidRPr="00157082">
        <w:t>includ</w:t>
      </w:r>
      <w:r w:rsidR="006D0EDA">
        <w:t>ing</w:t>
      </w:r>
      <w:r w:rsidR="0025406A" w:rsidRPr="00157082">
        <w:t xml:space="preserve"> a party, their legal representative, a witness, an expert or an interpreter</w:t>
      </w:r>
      <w:r w:rsidR="006D0EDA">
        <w:t xml:space="preserve">) </w:t>
      </w:r>
      <w:r>
        <w:t>has tested positive to COVID-19 within seven days of a court event scheduled to take place in-person, they must notify the presiding judicial officer or the court as soon as possible, copied to the other p</w:t>
      </w:r>
      <w:r w:rsidR="00F42048">
        <w:t>arties, and await direction</w:t>
      </w:r>
      <w:r>
        <w:t xml:space="preserve"> as to the conduct of the matter. </w:t>
      </w:r>
      <w:r w:rsidR="00E00A00">
        <w:t xml:space="preserve">Electronic attendance will ordinarily be required unless an application for adjournment is </w:t>
      </w:r>
      <w:r w:rsidR="004414F9">
        <w:t>granted</w:t>
      </w:r>
      <w:r w:rsidR="00E00A00">
        <w:t xml:space="preserve">. </w:t>
      </w:r>
      <w:r w:rsidR="00A23B83">
        <w:t xml:space="preserve">The presiding judicial officer may require proof of a positive COVID-19 test result. </w:t>
      </w:r>
    </w:p>
    <w:p w14:paraId="348EB0F1" w14:textId="6CC7006C" w:rsidR="00EB2DA5" w:rsidRPr="00157082" w:rsidRDefault="00A35437" w:rsidP="009A7262">
      <w:pPr>
        <w:pStyle w:val="11style"/>
      </w:pPr>
      <w:r>
        <w:t xml:space="preserve">Applications for adjournment based on a party or practitioner testing positive for COVID-19 will be considered in the usual course by the </w:t>
      </w:r>
      <w:r w:rsidR="00F42048">
        <w:t>court</w:t>
      </w:r>
      <w:r>
        <w:t>.</w:t>
      </w:r>
    </w:p>
    <w:p w14:paraId="7732DE9A" w14:textId="77777777" w:rsidR="003D52E7" w:rsidRPr="00157082" w:rsidRDefault="003D52E7" w:rsidP="003D52E7">
      <w:pPr>
        <w:pStyle w:val="Heading3"/>
      </w:pPr>
      <w:r w:rsidRPr="00157082">
        <w:t>Social distancing</w:t>
      </w:r>
    </w:p>
    <w:p w14:paraId="7592AEAE" w14:textId="77777777" w:rsidR="003D52E7" w:rsidRPr="00157082" w:rsidRDefault="00F00374" w:rsidP="004E183E">
      <w:pPr>
        <w:pStyle w:val="11style"/>
      </w:pPr>
      <w:r w:rsidRPr="00157082">
        <w:t>All court users are required to adhere to social distancing measures and keep at l</w:t>
      </w:r>
      <w:r w:rsidR="00184D5D" w:rsidRPr="00157082">
        <w:t>east 1.5 metres away from other court users</w:t>
      </w:r>
      <w:r w:rsidRPr="00157082">
        <w:t>.</w:t>
      </w:r>
    </w:p>
    <w:p w14:paraId="1744496B" w14:textId="79272F1E" w:rsidR="00A662DA" w:rsidRDefault="00C01F6E" w:rsidP="004E183E">
      <w:pPr>
        <w:pStyle w:val="11style"/>
      </w:pPr>
      <w:r>
        <w:t>C</w:t>
      </w:r>
      <w:r w:rsidR="00A662DA" w:rsidRPr="00157082">
        <w:t>ourt users must adhere to the functional density limits for e</w:t>
      </w:r>
      <w:r w:rsidR="00AB3F6C" w:rsidRPr="00157082">
        <w:t>ach courtroom, interview room,</w:t>
      </w:r>
      <w:r w:rsidR="00A662DA" w:rsidRPr="00157082">
        <w:t xml:space="preserve"> mediation room </w:t>
      </w:r>
      <w:r w:rsidR="00AB3F6C" w:rsidRPr="00157082">
        <w:t xml:space="preserve">and common areas </w:t>
      </w:r>
      <w:r w:rsidR="00A662DA" w:rsidRPr="00157082">
        <w:t>indicated by the relevant s</w:t>
      </w:r>
      <w:r>
        <w:t>ignage, or as otherwise directed by the Court.</w:t>
      </w:r>
    </w:p>
    <w:p w14:paraId="329F2A83" w14:textId="77777777" w:rsidR="00A35437" w:rsidRPr="00157082" w:rsidRDefault="00A35437" w:rsidP="00A35437">
      <w:pPr>
        <w:pStyle w:val="Heading3"/>
      </w:pPr>
      <w:r w:rsidRPr="00157082">
        <w:lastRenderedPageBreak/>
        <w:t>Face masks</w:t>
      </w:r>
    </w:p>
    <w:p w14:paraId="1F2EB4BD" w14:textId="06A387B6" w:rsidR="00A35437" w:rsidRDefault="00A35437" w:rsidP="00A35437">
      <w:pPr>
        <w:pStyle w:val="11style"/>
      </w:pPr>
      <w:r>
        <w:t xml:space="preserve">Face masks are </w:t>
      </w:r>
      <w:r w:rsidR="00DD44BB">
        <w:t xml:space="preserve">optional </w:t>
      </w:r>
      <w:r>
        <w:t>to be worn by court</w:t>
      </w:r>
      <w:r w:rsidR="00DD44BB">
        <w:t xml:space="preserve"> users when in a court registry.</w:t>
      </w:r>
      <w:r>
        <w:t xml:space="preserve"> </w:t>
      </w:r>
    </w:p>
    <w:p w14:paraId="6F4799D1" w14:textId="76DB177C" w:rsidR="00A35437" w:rsidRPr="00157082" w:rsidRDefault="00A35437" w:rsidP="009A7262">
      <w:pPr>
        <w:pStyle w:val="11style"/>
      </w:pPr>
      <w:r>
        <w:t xml:space="preserve">Face masks are </w:t>
      </w:r>
      <w:r w:rsidR="0056598C">
        <w:t>strongly recommended</w:t>
      </w:r>
      <w:r>
        <w:t xml:space="preserve"> to be worn where social distancing cannot be maintained. </w:t>
      </w:r>
    </w:p>
    <w:p w14:paraId="31C13941" w14:textId="0BECF718" w:rsidR="008A05EB" w:rsidRPr="00157082" w:rsidRDefault="008A05EB" w:rsidP="008A05EB">
      <w:pPr>
        <w:pStyle w:val="Heading3"/>
      </w:pPr>
      <w:r w:rsidRPr="00157082">
        <w:t>Documents</w:t>
      </w:r>
    </w:p>
    <w:p w14:paraId="0E6A607E" w14:textId="168EDBEC" w:rsidR="00C066F9" w:rsidRPr="00157082" w:rsidRDefault="001A632C" w:rsidP="004E183E">
      <w:pPr>
        <w:pStyle w:val="11style"/>
      </w:pPr>
      <w:r>
        <w:t xml:space="preserve">It is the Court’s preference that all documents and tender bundles to be tendered during an in-person hearing are provided electronically prior to the hearing, rather than in hard copy. </w:t>
      </w:r>
    </w:p>
    <w:p w14:paraId="5B004FA4" w14:textId="2B503A1D" w:rsidR="002D1A38" w:rsidRDefault="002D1A38" w:rsidP="002928A2">
      <w:pPr>
        <w:pStyle w:val="Heading2"/>
      </w:pPr>
      <w:r>
        <w:t>Hearings</w:t>
      </w:r>
      <w:r w:rsidR="004414F9">
        <w:t xml:space="preserve"> and court events</w:t>
      </w:r>
      <w:r>
        <w:t xml:space="preserve"> generally</w:t>
      </w:r>
    </w:p>
    <w:p w14:paraId="71592C36" w14:textId="2F89C43C" w:rsidR="004414F9" w:rsidRDefault="002D1A38" w:rsidP="002D1A38">
      <w:pPr>
        <w:pStyle w:val="11style"/>
      </w:pPr>
      <w:r>
        <w:t xml:space="preserve">Where a matter is listed for </w:t>
      </w:r>
      <w:r w:rsidR="004414F9">
        <w:t xml:space="preserve">a </w:t>
      </w:r>
      <w:r>
        <w:t>hearing</w:t>
      </w:r>
      <w:r w:rsidR="004414F9">
        <w:t xml:space="preserve"> or court event</w:t>
      </w:r>
      <w:r>
        <w:t xml:space="preserve"> to proceed in-person, a party seeking to appear electronically by video or telephone must </w:t>
      </w:r>
      <w:r w:rsidR="004414F9">
        <w:t xml:space="preserve">make an application to appear by video or telephone (see e.g. section 202 of the </w:t>
      </w:r>
      <w:r w:rsidR="004414F9">
        <w:rPr>
          <w:i/>
        </w:rPr>
        <w:t xml:space="preserve">Federal Circuit and Family Court of Australia Act 2021 </w:t>
      </w:r>
      <w:r w:rsidR="004414F9">
        <w:t>(Cth)).</w:t>
      </w:r>
    </w:p>
    <w:p w14:paraId="5B919B51" w14:textId="6FA36B28" w:rsidR="002D1A38" w:rsidRDefault="004414F9" w:rsidP="002D1A38">
      <w:pPr>
        <w:pStyle w:val="11style"/>
      </w:pPr>
      <w:r>
        <w:t>In family law proceedings, such a request is made by filing</w:t>
      </w:r>
      <w:r w:rsidR="002D1A38">
        <w:t xml:space="preserve"> a </w:t>
      </w:r>
      <w:hyperlink r:id="rId12" w:history="1">
        <w:r w:rsidR="002D1A38" w:rsidRPr="00387BA1">
          <w:rPr>
            <w:rStyle w:val="Hyperlink"/>
          </w:rPr>
          <w:t>Request to attend by electronic communication</w:t>
        </w:r>
      </w:hyperlink>
      <w:r w:rsidR="002D1A38">
        <w:t xml:space="preserve"> in the approved form (see rule 15.16 of the </w:t>
      </w:r>
      <w:r w:rsidR="002D1A38">
        <w:rPr>
          <w:i/>
        </w:rPr>
        <w:t>Federal Circuit and Family Court of Australia (Family Law) Rules 2021</w:t>
      </w:r>
      <w:r w:rsidR="002D1A38">
        <w:t xml:space="preserve">). </w:t>
      </w:r>
    </w:p>
    <w:p w14:paraId="21E4862A" w14:textId="25CF754B" w:rsidR="004414F9" w:rsidRDefault="004414F9" w:rsidP="002D1A38">
      <w:pPr>
        <w:pStyle w:val="11style"/>
      </w:pPr>
      <w:r>
        <w:t>The request must be made</w:t>
      </w:r>
      <w:r w:rsidR="00061552">
        <w:t xml:space="preserve"> (except in the circumstance 2.1 applies)</w:t>
      </w:r>
      <w:r>
        <w:t>:</w:t>
      </w:r>
    </w:p>
    <w:p w14:paraId="19526D56" w14:textId="7BFF6E60" w:rsidR="004414F9" w:rsidRDefault="004414F9" w:rsidP="00421FBC">
      <w:pPr>
        <w:pStyle w:val="Heading7"/>
      </w:pPr>
      <w:r>
        <w:t>For a final hearing – no later than 28 days before the final hearing; or</w:t>
      </w:r>
    </w:p>
    <w:p w14:paraId="113A649F" w14:textId="7191030C" w:rsidR="004414F9" w:rsidRPr="00061552" w:rsidRDefault="004414F9" w:rsidP="00421FBC">
      <w:pPr>
        <w:pStyle w:val="astyle"/>
      </w:pPr>
      <w:r>
        <w:t xml:space="preserve">for any other court event – no later than 5 business days before the court event. </w:t>
      </w:r>
    </w:p>
    <w:p w14:paraId="1C7DAC49" w14:textId="0161FEC1" w:rsidR="002D1A38" w:rsidRPr="009A7262" w:rsidRDefault="002D1A38" w:rsidP="00421FBC">
      <w:pPr>
        <w:pStyle w:val="11style"/>
      </w:pPr>
      <w:r w:rsidRPr="00157082">
        <w:t xml:space="preserve">It is a matter for each </w:t>
      </w:r>
      <w:r>
        <w:t>Judge</w:t>
      </w:r>
      <w:r w:rsidRPr="00157082">
        <w:t xml:space="preserve"> to consider the individual circumstances of the case and decide how best to conduct a fair hearing. </w:t>
      </w:r>
    </w:p>
    <w:p w14:paraId="4EC9B37A" w14:textId="3756BAC4" w:rsidR="003D52E7" w:rsidRDefault="003D52E7" w:rsidP="002928A2">
      <w:pPr>
        <w:pStyle w:val="Heading2"/>
      </w:pPr>
      <w:r w:rsidRPr="00157082">
        <w:t>FINAL HEARINGS</w:t>
      </w:r>
      <w:r w:rsidR="00666771" w:rsidRPr="00157082">
        <w:t xml:space="preserve"> (i.e. trials)</w:t>
      </w:r>
    </w:p>
    <w:p w14:paraId="1547BA69" w14:textId="3100580B" w:rsidR="00234BAD" w:rsidRPr="00234BAD" w:rsidRDefault="00EF10D8" w:rsidP="00234BAD">
      <w:pPr>
        <w:pStyle w:val="Heading3"/>
      </w:pPr>
      <w:r>
        <w:t>Final hearings heard by a local Judge</w:t>
      </w:r>
    </w:p>
    <w:p w14:paraId="2AF72950" w14:textId="4E4F817B" w:rsidR="00A662DA" w:rsidRPr="00157082" w:rsidRDefault="00666771" w:rsidP="004E183E">
      <w:pPr>
        <w:pStyle w:val="11style"/>
      </w:pPr>
      <w:r w:rsidRPr="00157082">
        <w:t>Where a matter is listed for final hearing before a local Judge, the final hearing</w:t>
      </w:r>
      <w:r w:rsidR="00A662DA" w:rsidRPr="00157082">
        <w:t xml:space="preserve"> will be conducted in-person </w:t>
      </w:r>
      <w:r w:rsidR="00EF10D8">
        <w:t>unless directed otherwise by the presiding Judge.</w:t>
      </w:r>
    </w:p>
    <w:p w14:paraId="13684EA4" w14:textId="15BEC893" w:rsidR="00234BAD" w:rsidRPr="004212A4" w:rsidRDefault="00234BAD" w:rsidP="00234BAD">
      <w:pPr>
        <w:pStyle w:val="Heading3"/>
      </w:pPr>
      <w:r w:rsidRPr="004212A4">
        <w:t xml:space="preserve">Final hearings heard by </w:t>
      </w:r>
      <w:r w:rsidR="002968A0" w:rsidRPr="004212A4">
        <w:t>non-local</w:t>
      </w:r>
      <w:r w:rsidRPr="004212A4">
        <w:t xml:space="preserve"> Judge</w:t>
      </w:r>
    </w:p>
    <w:p w14:paraId="743127DF" w14:textId="0A21BCF9" w:rsidR="00234BAD" w:rsidRPr="004212A4" w:rsidRDefault="00234BAD" w:rsidP="004E183E">
      <w:pPr>
        <w:pStyle w:val="11style"/>
      </w:pPr>
      <w:r w:rsidRPr="004212A4">
        <w:t>Where a matter is listed for final hearing before an interstate</w:t>
      </w:r>
      <w:r w:rsidR="002968A0" w:rsidRPr="004212A4">
        <w:t xml:space="preserve"> or non-local</w:t>
      </w:r>
      <w:r w:rsidRPr="004212A4">
        <w:t xml:space="preserve"> Judge, the final hearing will be conducted electronically</w:t>
      </w:r>
      <w:r w:rsidR="003A69DE" w:rsidRPr="004212A4">
        <w:t xml:space="preserve"> unless otherwise approved by the Chief Justice</w:t>
      </w:r>
      <w:r w:rsidR="001A632C" w:rsidRPr="004212A4">
        <w:t>/Chief Judge</w:t>
      </w:r>
      <w:r w:rsidR="00937B5A">
        <w:t>. C</w:t>
      </w:r>
      <w:r w:rsidR="004212A4">
        <w:t xml:space="preserve">onsideration </w:t>
      </w:r>
      <w:r w:rsidR="00937B5A">
        <w:t xml:space="preserve">may be </w:t>
      </w:r>
      <w:r w:rsidR="004212A4">
        <w:t>given to Judges from single judge registries travelling to larger registries to sit</w:t>
      </w:r>
      <w:r w:rsidR="00937B5A">
        <w:t>.</w:t>
      </w:r>
    </w:p>
    <w:p w14:paraId="1A11B1C7" w14:textId="122745CC" w:rsidR="008E25A7" w:rsidRPr="00157082" w:rsidRDefault="008E25A7" w:rsidP="002928A2">
      <w:pPr>
        <w:pStyle w:val="Heading2"/>
      </w:pPr>
      <w:r w:rsidRPr="00157082">
        <w:lastRenderedPageBreak/>
        <w:t>Interim or interlocutory hearings</w:t>
      </w:r>
    </w:p>
    <w:p w14:paraId="4D646980" w14:textId="09839096" w:rsidR="003A69DE" w:rsidRDefault="003A69DE" w:rsidP="004E183E">
      <w:pPr>
        <w:pStyle w:val="11style"/>
      </w:pPr>
      <w:r w:rsidRPr="00157082">
        <w:t xml:space="preserve">Where a matter is listed for </w:t>
      </w:r>
      <w:r>
        <w:t>interim</w:t>
      </w:r>
      <w:r w:rsidRPr="00157082">
        <w:t xml:space="preserve"> hearing before a local Judge, the </w:t>
      </w:r>
      <w:r>
        <w:t>interim</w:t>
      </w:r>
      <w:r w:rsidRPr="00157082">
        <w:t xml:space="preserve"> hearing will be conducted in-person </w:t>
      </w:r>
      <w:r w:rsidR="00313E07">
        <w:t>unless directed otherwise by</w:t>
      </w:r>
      <w:r w:rsidR="00313E07" w:rsidRPr="00157082">
        <w:t xml:space="preserve"> </w:t>
      </w:r>
      <w:r w:rsidRPr="00157082">
        <w:t xml:space="preserve">the presiding </w:t>
      </w:r>
      <w:r>
        <w:t>Judge</w:t>
      </w:r>
      <w:r w:rsidRPr="00157082">
        <w:t xml:space="preserve">. </w:t>
      </w:r>
    </w:p>
    <w:p w14:paraId="28424C15" w14:textId="54D48337" w:rsidR="00B778B5" w:rsidRDefault="00B778B5" w:rsidP="004E183E">
      <w:pPr>
        <w:pStyle w:val="Heading6"/>
      </w:pPr>
      <w:r>
        <w:t>Where a matter is listed for interim hearing before a local Senior Judicial Registrar</w:t>
      </w:r>
      <w:r w:rsidR="006E7EC4">
        <w:t xml:space="preserve"> in family law, or a </w:t>
      </w:r>
      <w:r w:rsidR="003A517C">
        <w:t xml:space="preserve">local </w:t>
      </w:r>
      <w:r w:rsidR="006E7EC4">
        <w:t>Judicial Registrar in general federal law</w:t>
      </w:r>
      <w:r>
        <w:t xml:space="preserve">, the interim hearing will be conducted in-person where the presiding judicial officer considers it appropriate to do so. </w:t>
      </w:r>
    </w:p>
    <w:p w14:paraId="25D3C9AB" w14:textId="77777777" w:rsidR="00A353B2" w:rsidRPr="00157082" w:rsidRDefault="00A662DA" w:rsidP="002928A2">
      <w:pPr>
        <w:pStyle w:val="Heading2"/>
      </w:pPr>
      <w:r w:rsidRPr="00157082">
        <w:t>Other short hearings e.g. first return hearings, directions and divorces</w:t>
      </w:r>
    </w:p>
    <w:p w14:paraId="6CECE4C5" w14:textId="625A8221" w:rsidR="00387BA1" w:rsidRDefault="00505053" w:rsidP="004E183E">
      <w:pPr>
        <w:pStyle w:val="11style"/>
      </w:pPr>
      <w:r>
        <w:t>S</w:t>
      </w:r>
      <w:r w:rsidR="00387BA1">
        <w:t xml:space="preserve">hort hearings and procedural hearings listed before a Judge </w:t>
      </w:r>
      <w:r>
        <w:t xml:space="preserve">may </w:t>
      </w:r>
      <w:r w:rsidR="00387BA1">
        <w:t xml:space="preserve">be heard </w:t>
      </w:r>
      <w:r>
        <w:t xml:space="preserve">in-person or </w:t>
      </w:r>
      <w:r w:rsidR="00387BA1">
        <w:t xml:space="preserve">electronically, </w:t>
      </w:r>
      <w:r>
        <w:t xml:space="preserve">as </w:t>
      </w:r>
      <w:r w:rsidR="00387BA1">
        <w:t>directed by the Judge</w:t>
      </w:r>
      <w:r>
        <w:t xml:space="preserve">. </w:t>
      </w:r>
    </w:p>
    <w:p w14:paraId="7C3C9EEC" w14:textId="7FC66E92" w:rsidR="00DC2324" w:rsidRDefault="00E174D0" w:rsidP="004E183E">
      <w:pPr>
        <w:pStyle w:val="11style"/>
      </w:pPr>
      <w:r>
        <w:t>S</w:t>
      </w:r>
      <w:r w:rsidR="00A662DA" w:rsidRPr="00157082">
        <w:t>hort hearings and procedural hearings</w:t>
      </w:r>
      <w:r w:rsidR="00387BA1">
        <w:t xml:space="preserve"> listed before </w:t>
      </w:r>
      <w:r w:rsidR="001A632C">
        <w:t>a</w:t>
      </w:r>
      <w:r w:rsidR="002B176F">
        <w:t xml:space="preserve"> </w:t>
      </w:r>
      <w:r w:rsidR="001A632C">
        <w:t>Senior Judicial Registrar, Judicial Registrar or Deputy Registrar</w:t>
      </w:r>
      <w:r w:rsidR="00A662DA" w:rsidRPr="00157082">
        <w:t xml:space="preserve"> will be heard electronically, including first return hearings, mentions, directions, judgment delivery</w:t>
      </w:r>
      <w:r w:rsidR="00893662">
        <w:t xml:space="preserve">, </w:t>
      </w:r>
      <w:r w:rsidR="00A662DA" w:rsidRPr="00157082">
        <w:t>and divorce hearings</w:t>
      </w:r>
      <w:r w:rsidR="002968A0">
        <w:t>, unless there are exceptional circumstances</w:t>
      </w:r>
      <w:r w:rsidR="00A662DA" w:rsidRPr="00157082">
        <w:t>.</w:t>
      </w:r>
    </w:p>
    <w:p w14:paraId="39227D97" w14:textId="453F2586" w:rsidR="00E174D0" w:rsidRPr="00157082" w:rsidRDefault="0021293F" w:rsidP="004E183E">
      <w:pPr>
        <w:pStyle w:val="11style"/>
      </w:pPr>
      <w:r>
        <w:t>In general federal law,</w:t>
      </w:r>
      <w:r w:rsidR="00E174D0">
        <w:t xml:space="preserve"> bankruptcy lists will be </w:t>
      </w:r>
      <w:r w:rsidR="003A517C">
        <w:t>conducted in-</w:t>
      </w:r>
      <w:r w:rsidR="00E174D0">
        <w:t>person.</w:t>
      </w:r>
    </w:p>
    <w:p w14:paraId="2FC4A399" w14:textId="7A8CCDDF" w:rsidR="00A662DA" w:rsidRPr="00157082" w:rsidRDefault="00A662DA" w:rsidP="002928A2">
      <w:pPr>
        <w:pStyle w:val="Heading2"/>
      </w:pPr>
      <w:r w:rsidRPr="00157082">
        <w:t>Dispute resolution events</w:t>
      </w:r>
    </w:p>
    <w:p w14:paraId="25C4F163" w14:textId="6F229C13" w:rsidR="005C4A6D" w:rsidRDefault="00CA56EC" w:rsidP="004E183E">
      <w:pPr>
        <w:pStyle w:val="11style"/>
      </w:pPr>
      <w:r>
        <w:t xml:space="preserve">In family law, </w:t>
      </w:r>
      <w:r w:rsidR="005C4A6D" w:rsidRPr="00157082">
        <w:t>Conciliation Conferences and Dispute Resolution Conferences will be conducted electronically unless the registrar considers that the matter requires an in-person conference to be effectively mediated</w:t>
      </w:r>
      <w:r w:rsidR="00505053">
        <w:t>.</w:t>
      </w:r>
    </w:p>
    <w:p w14:paraId="05D185B3" w14:textId="72FF1908" w:rsidR="00CA56EC" w:rsidRPr="00157082" w:rsidRDefault="00CA56EC" w:rsidP="004E183E">
      <w:pPr>
        <w:pStyle w:val="11style"/>
      </w:pPr>
      <w:r>
        <w:t>In general federal law, mediations will be conducted electronically unless the registrar considers that the matter requires an in-person conference to be effectively mediated.</w:t>
      </w:r>
    </w:p>
    <w:p w14:paraId="7EF0106D" w14:textId="1DCA7E83" w:rsidR="005C4A6D" w:rsidRDefault="005C4A6D" w:rsidP="002928A2">
      <w:pPr>
        <w:pStyle w:val="Heading2"/>
      </w:pPr>
      <w:r w:rsidRPr="00157082">
        <w:t xml:space="preserve">Court </w:t>
      </w:r>
      <w:r w:rsidR="00A217AC">
        <w:t>Children’s Service</w:t>
      </w:r>
      <w:r w:rsidRPr="00157082">
        <w:t xml:space="preserve"> events</w:t>
      </w:r>
    </w:p>
    <w:p w14:paraId="029DF971" w14:textId="7A636778" w:rsidR="00FA7E6C" w:rsidRPr="00FA7E6C" w:rsidRDefault="00A217AC" w:rsidP="00A217AC">
      <w:pPr>
        <w:pStyle w:val="11style"/>
      </w:pPr>
      <w:r w:rsidRPr="00421FBC">
        <w:rPr>
          <w:iCs/>
        </w:rPr>
        <w:t>Interviews and observations conducted for the preparation of a Court Children’s Service report may be conducted in-per</w:t>
      </w:r>
      <w:r>
        <w:rPr>
          <w:iCs/>
        </w:rPr>
        <w:t>son or electronically, depending</w:t>
      </w:r>
      <w:r w:rsidRPr="00421FBC">
        <w:rPr>
          <w:iCs/>
        </w:rPr>
        <w:t xml:space="preserve"> on the type of report an</w:t>
      </w:r>
      <w:r>
        <w:rPr>
          <w:iCs/>
        </w:rPr>
        <w:t>d the nature of the assessment.</w:t>
      </w:r>
      <w:r w:rsidRPr="00421FBC">
        <w:rPr>
          <w:iCs/>
        </w:rPr>
        <w:t xml:space="preserve"> In general</w:t>
      </w:r>
      <w:r>
        <w:rPr>
          <w:iCs/>
        </w:rPr>
        <w:t>,</w:t>
      </w:r>
      <w:r w:rsidRPr="00421FBC">
        <w:rPr>
          <w:iCs/>
        </w:rPr>
        <w:t xml:space="preserve"> assessments of children will </w:t>
      </w:r>
      <w:r>
        <w:rPr>
          <w:iCs/>
        </w:rPr>
        <w:t>be done in-person. </w:t>
      </w:r>
      <w:r w:rsidRPr="00421FBC">
        <w:rPr>
          <w:iCs/>
        </w:rPr>
        <w:t>Parties will be advised as to how each element of the assessment will be conducted either through the order for the report or by the Court Children’s Service/report writer.</w:t>
      </w:r>
    </w:p>
    <w:p w14:paraId="3676BF8C" w14:textId="77777777" w:rsidR="00421FBC" w:rsidRDefault="00421FBC">
      <w:pPr>
        <w:spacing w:before="0" w:after="160" w:line="259" w:lineRule="auto"/>
      </w:pPr>
      <w:r>
        <w:br w:type="page"/>
      </w:r>
    </w:p>
    <w:p w14:paraId="2EBCC610" w14:textId="6790BB85" w:rsidR="000E5ECE" w:rsidRPr="00157082" w:rsidRDefault="000E5ECE" w:rsidP="008F4D72">
      <w:pPr>
        <w:spacing w:line="240" w:lineRule="auto"/>
        <w:jc w:val="right"/>
      </w:pPr>
      <w:r w:rsidRPr="00157082">
        <w:t>The Honourable Justice William Alstergren</w:t>
      </w:r>
      <w:r w:rsidR="0080182F">
        <w:t xml:space="preserve"> AO</w:t>
      </w:r>
      <w:bookmarkStart w:id="0" w:name="_GoBack"/>
      <w:bookmarkEnd w:id="0"/>
    </w:p>
    <w:p w14:paraId="1B07282F" w14:textId="77777777" w:rsidR="000E5ECE" w:rsidRPr="00157082" w:rsidRDefault="000E5ECE" w:rsidP="008F4D72">
      <w:pPr>
        <w:spacing w:line="240" w:lineRule="auto"/>
        <w:jc w:val="right"/>
      </w:pPr>
      <w:r w:rsidRPr="00157082">
        <w:t>Chief Justice (Division 1) | Chief Judge (Division 2)</w:t>
      </w:r>
    </w:p>
    <w:p w14:paraId="7C9D5AC7" w14:textId="77777777" w:rsidR="000E5ECE" w:rsidRPr="00157082" w:rsidRDefault="000E5ECE" w:rsidP="008F4D72">
      <w:pPr>
        <w:spacing w:line="240" w:lineRule="auto"/>
        <w:jc w:val="right"/>
      </w:pPr>
      <w:r w:rsidRPr="00157082">
        <w:t>Federal Circuit and Family Court of Australia</w:t>
      </w:r>
    </w:p>
    <w:p w14:paraId="5A140863" w14:textId="769B831C" w:rsidR="00CE1328" w:rsidRPr="00157082" w:rsidRDefault="000E5ECE" w:rsidP="00421FBC">
      <w:pPr>
        <w:spacing w:line="240" w:lineRule="auto"/>
        <w:jc w:val="right"/>
      </w:pPr>
      <w:r w:rsidRPr="00157082">
        <w:t xml:space="preserve">Date: </w:t>
      </w:r>
      <w:r w:rsidR="00505053">
        <w:t>4 November 2022</w:t>
      </w:r>
    </w:p>
    <w:sectPr w:rsidR="00CE1328" w:rsidRPr="00157082" w:rsidSect="000F4A1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1134" w:bottom="1134" w:left="1134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1DCAED" w14:textId="77777777" w:rsidR="00A003F9" w:rsidRDefault="00A003F9" w:rsidP="00904C01">
      <w:pPr>
        <w:spacing w:before="0" w:after="0" w:line="240" w:lineRule="auto"/>
      </w:pPr>
      <w:r>
        <w:separator/>
      </w:r>
    </w:p>
  </w:endnote>
  <w:endnote w:type="continuationSeparator" w:id="0">
    <w:p w14:paraId="5BD7C841" w14:textId="77777777" w:rsidR="00A003F9" w:rsidRDefault="00A003F9" w:rsidP="00904C0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A3709C" w14:textId="77777777" w:rsidR="00B27628" w:rsidRDefault="00B276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179125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8389AA0" w14:textId="2694CDE1" w:rsidR="00904C01" w:rsidRDefault="00904C0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F5E8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E909A34" w14:textId="77777777" w:rsidR="00904C01" w:rsidRDefault="00904C0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2DD2A3" w14:textId="77777777" w:rsidR="00B27628" w:rsidRDefault="00B2762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FE4D63" w14:textId="77777777" w:rsidR="00A003F9" w:rsidRDefault="00A003F9" w:rsidP="00904C01">
      <w:pPr>
        <w:spacing w:before="0" w:after="0" w:line="240" w:lineRule="auto"/>
      </w:pPr>
      <w:r>
        <w:separator/>
      </w:r>
    </w:p>
  </w:footnote>
  <w:footnote w:type="continuationSeparator" w:id="0">
    <w:p w14:paraId="5CCFE80B" w14:textId="77777777" w:rsidR="00A003F9" w:rsidRDefault="00A003F9" w:rsidP="00904C01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E13F1A" w14:textId="77777777" w:rsidR="00B27628" w:rsidRDefault="00B276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356F97" w14:textId="77AE0ED9" w:rsidR="00B27628" w:rsidRDefault="00B276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4EC6D0" w14:textId="77777777" w:rsidR="00B27628" w:rsidRDefault="00B276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65F4D72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794FC2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B2A363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7762A3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14A93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CE0431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5684A1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688DCE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5EE4A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9F25F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8A214D"/>
    <w:multiLevelType w:val="hybridMultilevel"/>
    <w:tmpl w:val="7C7281F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0E16D6"/>
    <w:multiLevelType w:val="multilevel"/>
    <w:tmpl w:val="F56E22D0"/>
    <w:lvl w:ilvl="0">
      <w:start w:val="1"/>
      <w:numFmt w:val="decimal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olor w:val="auto"/>
        <w:sz w:val="24"/>
      </w:rPr>
    </w:lvl>
    <w:lvl w:ilvl="1">
      <w:start w:val="1"/>
      <w:numFmt w:val="lowerLetter"/>
      <w:lvlText w:val="(%2)"/>
      <w:lvlJc w:val="left"/>
      <w:pPr>
        <w:ind w:left="1134" w:hanging="567"/>
      </w:pPr>
      <w:rPr>
        <w:rFonts w:ascii="Arial" w:hAnsi="Arial" w:hint="default"/>
        <w:b w:val="0"/>
        <w:i w:val="0"/>
        <w:sz w:val="24"/>
      </w:rPr>
    </w:lvl>
    <w:lvl w:ilvl="2">
      <w:start w:val="1"/>
      <w:numFmt w:val="lowerRoman"/>
      <w:lvlText w:val="(%3)"/>
      <w:lvlJc w:val="left"/>
      <w:pPr>
        <w:ind w:left="1701" w:hanging="425"/>
      </w:pPr>
      <w:rPr>
        <w:rFonts w:ascii="Arial" w:hAnsi="Arial" w:hint="default"/>
        <w:b w:val="0"/>
        <w:i w:val="0"/>
        <w:sz w:val="24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114E18B3"/>
    <w:multiLevelType w:val="hybridMultilevel"/>
    <w:tmpl w:val="0F348024"/>
    <w:lvl w:ilvl="0" w:tplc="273A63AA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037EF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0B32095"/>
    <w:multiLevelType w:val="hybridMultilevel"/>
    <w:tmpl w:val="09CC1AA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963A25"/>
    <w:multiLevelType w:val="hybridMultilevel"/>
    <w:tmpl w:val="4C76AD9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272496"/>
    <w:multiLevelType w:val="multilevel"/>
    <w:tmpl w:val="AE7A3188"/>
    <w:styleLink w:val="Level1"/>
    <w:lvl w:ilvl="0">
      <w:start w:val="1"/>
      <w:numFmt w:val="decimal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olor w:val="auto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39A52931"/>
    <w:multiLevelType w:val="hybridMultilevel"/>
    <w:tmpl w:val="C35A02C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DF07C5"/>
    <w:multiLevelType w:val="multilevel"/>
    <w:tmpl w:val="AE7A3188"/>
    <w:numStyleLink w:val="Level1"/>
  </w:abstractNum>
  <w:abstractNum w:abstractNumId="19" w15:restartNumberingAfterBreak="0">
    <w:nsid w:val="49CA7FD1"/>
    <w:multiLevelType w:val="multilevel"/>
    <w:tmpl w:val="7FB25102"/>
    <w:lvl w:ilvl="0">
      <w:start w:val="1"/>
      <w:numFmt w:val="decimal"/>
      <w:pStyle w:val="Heading2"/>
      <w:lvlText w:val="%1."/>
      <w:lvlJc w:val="left"/>
      <w:pPr>
        <w:ind w:left="567" w:hanging="567"/>
      </w:pPr>
      <w:rPr>
        <w:rFonts w:ascii="Arial" w:hAnsi="Arial" w:hint="default"/>
        <w:b/>
        <w:i w:val="0"/>
        <w:sz w:val="28"/>
      </w:rPr>
    </w:lvl>
    <w:lvl w:ilvl="1">
      <w:start w:val="1"/>
      <w:numFmt w:val="decimal"/>
      <w:pStyle w:val="Heading6"/>
      <w:lvlText w:val="%1.%2"/>
      <w:lvlJc w:val="left"/>
      <w:pPr>
        <w:ind w:left="567" w:hanging="567"/>
      </w:pPr>
      <w:rPr>
        <w:rFonts w:ascii="Arial" w:hAnsi="Arial" w:hint="default"/>
        <w:b w:val="0"/>
        <w:i w:val="0"/>
        <w:sz w:val="24"/>
      </w:rPr>
    </w:lvl>
    <w:lvl w:ilvl="2">
      <w:start w:val="1"/>
      <w:numFmt w:val="lowerLetter"/>
      <w:pStyle w:val="Heading7"/>
      <w:lvlText w:val="(%3)"/>
      <w:lvlJc w:val="left"/>
      <w:pPr>
        <w:ind w:left="1134" w:hanging="567"/>
      </w:pPr>
      <w:rPr>
        <w:rFonts w:ascii="Arial" w:hAnsi="Arial" w:hint="default"/>
        <w:b w:val="0"/>
        <w:i w:val="0"/>
        <w:sz w:val="24"/>
      </w:rPr>
    </w:lvl>
    <w:lvl w:ilvl="3">
      <w:start w:val="1"/>
      <w:numFmt w:val="lowerRoman"/>
      <w:pStyle w:val="Heading8"/>
      <w:lvlText w:val="(%4)"/>
      <w:lvlJc w:val="left"/>
      <w:pPr>
        <w:ind w:left="1701" w:hanging="425"/>
      </w:pPr>
      <w:rPr>
        <w:rFonts w:ascii="Arial" w:hAnsi="Arial" w:hint="default"/>
        <w:b w:val="0"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25C5B52"/>
    <w:multiLevelType w:val="multilevel"/>
    <w:tmpl w:val="3F1A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55415A6C"/>
    <w:multiLevelType w:val="hybridMultilevel"/>
    <w:tmpl w:val="1184795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3C182D"/>
    <w:multiLevelType w:val="hybridMultilevel"/>
    <w:tmpl w:val="9086D51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3701871"/>
    <w:multiLevelType w:val="hybridMultilevel"/>
    <w:tmpl w:val="07709ACC"/>
    <w:lvl w:ilvl="0" w:tplc="E22EC02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06691A"/>
    <w:multiLevelType w:val="hybridMultilevel"/>
    <w:tmpl w:val="7562AE12"/>
    <w:lvl w:ilvl="0" w:tplc="58948CE0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7D11B9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7743078A"/>
    <w:multiLevelType w:val="hybridMultilevel"/>
    <w:tmpl w:val="7DFCA9D6"/>
    <w:lvl w:ilvl="0" w:tplc="184EBF4A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706807"/>
    <w:multiLevelType w:val="multilevel"/>
    <w:tmpl w:val="F56E22D0"/>
    <w:lvl w:ilvl="0">
      <w:start w:val="1"/>
      <w:numFmt w:val="decimal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olor w:val="auto"/>
        <w:sz w:val="24"/>
      </w:rPr>
    </w:lvl>
    <w:lvl w:ilvl="1">
      <w:start w:val="1"/>
      <w:numFmt w:val="lowerLetter"/>
      <w:lvlText w:val="(%2)"/>
      <w:lvlJc w:val="left"/>
      <w:pPr>
        <w:ind w:left="1134" w:hanging="567"/>
      </w:pPr>
      <w:rPr>
        <w:rFonts w:ascii="Arial" w:hAnsi="Arial" w:hint="default"/>
        <w:b w:val="0"/>
        <w:i w:val="0"/>
        <w:sz w:val="24"/>
      </w:rPr>
    </w:lvl>
    <w:lvl w:ilvl="2">
      <w:start w:val="1"/>
      <w:numFmt w:val="lowerRoman"/>
      <w:lvlText w:val="(%3)"/>
      <w:lvlJc w:val="left"/>
      <w:pPr>
        <w:ind w:left="1701" w:hanging="425"/>
      </w:pPr>
      <w:rPr>
        <w:rFonts w:ascii="Arial" w:hAnsi="Arial" w:hint="default"/>
        <w:b w:val="0"/>
        <w:i w:val="0"/>
        <w:sz w:val="24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8" w15:restartNumberingAfterBreak="0">
    <w:nsid w:val="7B7E557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26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6"/>
  </w:num>
  <w:num w:numId="13">
    <w:abstractNumId w:val="18"/>
  </w:num>
  <w:num w:numId="14">
    <w:abstractNumId w:val="11"/>
  </w:num>
  <w:num w:numId="15">
    <w:abstractNumId w:val="27"/>
  </w:num>
  <w:num w:numId="16">
    <w:abstractNumId w:val="12"/>
  </w:num>
  <w:num w:numId="17">
    <w:abstractNumId w:val="15"/>
  </w:num>
  <w:num w:numId="18">
    <w:abstractNumId w:val="17"/>
  </w:num>
  <w:num w:numId="19">
    <w:abstractNumId w:val="13"/>
  </w:num>
  <w:num w:numId="20">
    <w:abstractNumId w:val="10"/>
  </w:num>
  <w:num w:numId="21">
    <w:abstractNumId w:val="21"/>
  </w:num>
  <w:num w:numId="22">
    <w:abstractNumId w:val="14"/>
  </w:num>
  <w:num w:numId="23">
    <w:abstractNumId w:val="20"/>
  </w:num>
  <w:num w:numId="24">
    <w:abstractNumId w:val="22"/>
  </w:num>
  <w:num w:numId="25">
    <w:abstractNumId w:val="25"/>
  </w:num>
  <w:num w:numId="26">
    <w:abstractNumId w:val="28"/>
  </w:num>
  <w:num w:numId="27">
    <w:abstractNumId w:val="19"/>
  </w:num>
  <w:num w:numId="28">
    <w:abstractNumId w:val="24"/>
  </w:num>
  <w:num w:numId="29">
    <w:abstractNumId w:val="19"/>
  </w:num>
  <w:num w:numId="30">
    <w:abstractNumId w:val="23"/>
  </w:num>
  <w:num w:numId="31">
    <w:abstractNumId w:val="19"/>
  </w:num>
  <w:num w:numId="3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9"/>
  </w:num>
  <w:num w:numId="34">
    <w:abstractNumId w:val="19"/>
  </w:num>
  <w:num w:numId="3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0A9"/>
    <w:rsid w:val="0001381A"/>
    <w:rsid w:val="00023E12"/>
    <w:rsid w:val="00026A21"/>
    <w:rsid w:val="00061552"/>
    <w:rsid w:val="00082E43"/>
    <w:rsid w:val="00084479"/>
    <w:rsid w:val="000A015D"/>
    <w:rsid w:val="000E5ECE"/>
    <w:rsid w:val="000F4A10"/>
    <w:rsid w:val="00121B29"/>
    <w:rsid w:val="001508A4"/>
    <w:rsid w:val="00157082"/>
    <w:rsid w:val="0016280E"/>
    <w:rsid w:val="00184D5D"/>
    <w:rsid w:val="001A632C"/>
    <w:rsid w:val="001D6CB4"/>
    <w:rsid w:val="001E4814"/>
    <w:rsid w:val="0021293F"/>
    <w:rsid w:val="00231762"/>
    <w:rsid w:val="00234BAD"/>
    <w:rsid w:val="00237FAE"/>
    <w:rsid w:val="0025406A"/>
    <w:rsid w:val="00273A0B"/>
    <w:rsid w:val="002770A9"/>
    <w:rsid w:val="00285BA4"/>
    <w:rsid w:val="002928A2"/>
    <w:rsid w:val="0029664D"/>
    <w:rsid w:val="002968A0"/>
    <w:rsid w:val="002A3ABE"/>
    <w:rsid w:val="002B176F"/>
    <w:rsid w:val="002B7F2A"/>
    <w:rsid w:val="002D1A38"/>
    <w:rsid w:val="002E1BF8"/>
    <w:rsid w:val="00305B9F"/>
    <w:rsid w:val="00313E07"/>
    <w:rsid w:val="0031656A"/>
    <w:rsid w:val="00322154"/>
    <w:rsid w:val="00333C19"/>
    <w:rsid w:val="0033761D"/>
    <w:rsid w:val="00387BA1"/>
    <w:rsid w:val="003A517C"/>
    <w:rsid w:val="003A69DE"/>
    <w:rsid w:val="003D3AAB"/>
    <w:rsid w:val="003D52E7"/>
    <w:rsid w:val="00404632"/>
    <w:rsid w:val="00405E21"/>
    <w:rsid w:val="004212A4"/>
    <w:rsid w:val="00421FBC"/>
    <w:rsid w:val="004414F9"/>
    <w:rsid w:val="00463060"/>
    <w:rsid w:val="004778C7"/>
    <w:rsid w:val="004868F1"/>
    <w:rsid w:val="004A6822"/>
    <w:rsid w:val="004B2631"/>
    <w:rsid w:val="004C2B10"/>
    <w:rsid w:val="004C4218"/>
    <w:rsid w:val="004E183E"/>
    <w:rsid w:val="00505053"/>
    <w:rsid w:val="005503EB"/>
    <w:rsid w:val="0056598C"/>
    <w:rsid w:val="005C4A6D"/>
    <w:rsid w:val="005C4BAC"/>
    <w:rsid w:val="005D63F9"/>
    <w:rsid w:val="005D701C"/>
    <w:rsid w:val="005E76DC"/>
    <w:rsid w:val="00642230"/>
    <w:rsid w:val="00645208"/>
    <w:rsid w:val="0064716F"/>
    <w:rsid w:val="00656347"/>
    <w:rsid w:val="0065642B"/>
    <w:rsid w:val="00666771"/>
    <w:rsid w:val="00670993"/>
    <w:rsid w:val="006718E5"/>
    <w:rsid w:val="0067669A"/>
    <w:rsid w:val="006810EE"/>
    <w:rsid w:val="006A652A"/>
    <w:rsid w:val="006B754E"/>
    <w:rsid w:val="006D0EDA"/>
    <w:rsid w:val="006D3C1F"/>
    <w:rsid w:val="006D44B6"/>
    <w:rsid w:val="006E7EC4"/>
    <w:rsid w:val="006F5E8C"/>
    <w:rsid w:val="00730B11"/>
    <w:rsid w:val="007350ED"/>
    <w:rsid w:val="00743380"/>
    <w:rsid w:val="00771DC6"/>
    <w:rsid w:val="007A1B67"/>
    <w:rsid w:val="007E4E54"/>
    <w:rsid w:val="0080182F"/>
    <w:rsid w:val="00801CF7"/>
    <w:rsid w:val="0081451E"/>
    <w:rsid w:val="00847F94"/>
    <w:rsid w:val="00872B4D"/>
    <w:rsid w:val="00887D81"/>
    <w:rsid w:val="00893662"/>
    <w:rsid w:val="008A05EB"/>
    <w:rsid w:val="008B2D93"/>
    <w:rsid w:val="008B580F"/>
    <w:rsid w:val="008C24E7"/>
    <w:rsid w:val="008D5648"/>
    <w:rsid w:val="008E25A7"/>
    <w:rsid w:val="008F4D72"/>
    <w:rsid w:val="00904C01"/>
    <w:rsid w:val="00936ECE"/>
    <w:rsid w:val="00937B5A"/>
    <w:rsid w:val="00963D0A"/>
    <w:rsid w:val="0097766C"/>
    <w:rsid w:val="009A7262"/>
    <w:rsid w:val="009E4DFA"/>
    <w:rsid w:val="009E5127"/>
    <w:rsid w:val="00A003F9"/>
    <w:rsid w:val="00A217AC"/>
    <w:rsid w:val="00A21FC2"/>
    <w:rsid w:val="00A23B83"/>
    <w:rsid w:val="00A353B2"/>
    <w:rsid w:val="00A35437"/>
    <w:rsid w:val="00A557F1"/>
    <w:rsid w:val="00A57A72"/>
    <w:rsid w:val="00A662DA"/>
    <w:rsid w:val="00AB3F6C"/>
    <w:rsid w:val="00AE43CB"/>
    <w:rsid w:val="00B11D09"/>
    <w:rsid w:val="00B208D8"/>
    <w:rsid w:val="00B27628"/>
    <w:rsid w:val="00B3575C"/>
    <w:rsid w:val="00B540B4"/>
    <w:rsid w:val="00B60EFD"/>
    <w:rsid w:val="00B6377B"/>
    <w:rsid w:val="00B72159"/>
    <w:rsid w:val="00B75AAC"/>
    <w:rsid w:val="00B773AE"/>
    <w:rsid w:val="00B778B5"/>
    <w:rsid w:val="00B83B32"/>
    <w:rsid w:val="00B85C43"/>
    <w:rsid w:val="00B9248E"/>
    <w:rsid w:val="00BC7742"/>
    <w:rsid w:val="00BE2BDD"/>
    <w:rsid w:val="00BE69CF"/>
    <w:rsid w:val="00BF146A"/>
    <w:rsid w:val="00BF7EB3"/>
    <w:rsid w:val="00C01F6E"/>
    <w:rsid w:val="00C02386"/>
    <w:rsid w:val="00C066F9"/>
    <w:rsid w:val="00C24817"/>
    <w:rsid w:val="00C2764D"/>
    <w:rsid w:val="00C364B8"/>
    <w:rsid w:val="00C55FD0"/>
    <w:rsid w:val="00CA56EC"/>
    <w:rsid w:val="00CB1255"/>
    <w:rsid w:val="00CE1328"/>
    <w:rsid w:val="00CE5212"/>
    <w:rsid w:val="00CE73B0"/>
    <w:rsid w:val="00CF4724"/>
    <w:rsid w:val="00CF54AA"/>
    <w:rsid w:val="00D652CA"/>
    <w:rsid w:val="00D72596"/>
    <w:rsid w:val="00D839AC"/>
    <w:rsid w:val="00DA0B7D"/>
    <w:rsid w:val="00DB5F35"/>
    <w:rsid w:val="00DC2324"/>
    <w:rsid w:val="00DC4837"/>
    <w:rsid w:val="00DD44BB"/>
    <w:rsid w:val="00DE4632"/>
    <w:rsid w:val="00DF2B4E"/>
    <w:rsid w:val="00E00A00"/>
    <w:rsid w:val="00E174D0"/>
    <w:rsid w:val="00E55957"/>
    <w:rsid w:val="00E61AF7"/>
    <w:rsid w:val="00E876BF"/>
    <w:rsid w:val="00E918EE"/>
    <w:rsid w:val="00EA1143"/>
    <w:rsid w:val="00EB2DA5"/>
    <w:rsid w:val="00EC63E0"/>
    <w:rsid w:val="00ED61F8"/>
    <w:rsid w:val="00EE083D"/>
    <w:rsid w:val="00EE118A"/>
    <w:rsid w:val="00EF10D8"/>
    <w:rsid w:val="00EF1A93"/>
    <w:rsid w:val="00F0002E"/>
    <w:rsid w:val="00F00374"/>
    <w:rsid w:val="00F27177"/>
    <w:rsid w:val="00F33852"/>
    <w:rsid w:val="00F42048"/>
    <w:rsid w:val="00F464DC"/>
    <w:rsid w:val="00F719A0"/>
    <w:rsid w:val="00F83ED1"/>
    <w:rsid w:val="00F8750A"/>
    <w:rsid w:val="00FA3944"/>
    <w:rsid w:val="00FA731C"/>
    <w:rsid w:val="00FA7E6C"/>
    <w:rsid w:val="00FD0799"/>
    <w:rsid w:val="00FD0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  <w14:docId w14:val="4C3ED303"/>
  <w15:chartTrackingRefBased/>
  <w15:docId w15:val="{67A013F4-68C5-4C12-9606-DD3B865BF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764D"/>
    <w:pPr>
      <w:spacing w:before="120" w:after="120" w:line="36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770A9"/>
    <w:pPr>
      <w:keepNext/>
      <w:keepLines/>
      <w:jc w:val="center"/>
      <w:outlineLvl w:val="0"/>
    </w:pPr>
    <w:rPr>
      <w:rFonts w:eastAsiaTheme="majorEastAsia" w:cstheme="majorBidi"/>
      <w:b/>
      <w:caps/>
      <w:sz w:val="40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2928A2"/>
    <w:pPr>
      <w:keepNext/>
      <w:numPr>
        <w:numId w:val="29"/>
      </w:numPr>
      <w:outlineLvl w:val="1"/>
    </w:pPr>
    <w:rPr>
      <w:b/>
      <w:caps/>
      <w:sz w:val="28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8F4D72"/>
    <w:pPr>
      <w:outlineLvl w:val="2"/>
    </w:pPr>
    <w:rPr>
      <w:b/>
      <w:i/>
    </w:rPr>
  </w:style>
  <w:style w:type="paragraph" w:styleId="Heading4">
    <w:name w:val="heading 4"/>
    <w:basedOn w:val="Heading5"/>
    <w:next w:val="Normal"/>
    <w:link w:val="Heading4Char"/>
    <w:autoRedefine/>
    <w:uiPriority w:val="9"/>
    <w:unhideWhenUsed/>
    <w:qFormat/>
    <w:rsid w:val="008F4D72"/>
    <w:pPr>
      <w:outlineLvl w:val="3"/>
    </w:p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6B754E"/>
    <w:pPr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autoRedefine/>
    <w:uiPriority w:val="9"/>
    <w:unhideWhenUsed/>
    <w:qFormat/>
    <w:rsid w:val="004E183E"/>
    <w:pPr>
      <w:numPr>
        <w:ilvl w:val="1"/>
        <w:numId w:val="29"/>
      </w:numPr>
      <w:outlineLvl w:val="5"/>
    </w:pPr>
    <w:rPr>
      <w:rFonts w:eastAsiaTheme="majorEastAsia" w:cstheme="majorBidi"/>
    </w:rPr>
  </w:style>
  <w:style w:type="paragraph" w:styleId="Heading7">
    <w:name w:val="heading 7"/>
    <w:basedOn w:val="Normal"/>
    <w:next w:val="Normal"/>
    <w:link w:val="Heading7Char"/>
    <w:autoRedefine/>
    <w:uiPriority w:val="9"/>
    <w:unhideWhenUsed/>
    <w:qFormat/>
    <w:rsid w:val="006B754E"/>
    <w:pPr>
      <w:numPr>
        <w:ilvl w:val="2"/>
        <w:numId w:val="29"/>
      </w:numPr>
      <w:outlineLvl w:val="6"/>
    </w:pPr>
    <w:rPr>
      <w:rFonts w:eastAsiaTheme="majorEastAsia" w:cstheme="majorBidi"/>
      <w:iCs/>
    </w:rPr>
  </w:style>
  <w:style w:type="paragraph" w:styleId="Heading8">
    <w:name w:val="heading 8"/>
    <w:basedOn w:val="Normal"/>
    <w:next w:val="Normal"/>
    <w:link w:val="Heading8Char"/>
    <w:autoRedefine/>
    <w:uiPriority w:val="9"/>
    <w:unhideWhenUsed/>
    <w:qFormat/>
    <w:rsid w:val="000E5ECE"/>
    <w:pPr>
      <w:numPr>
        <w:ilvl w:val="3"/>
        <w:numId w:val="29"/>
      </w:numPr>
      <w:outlineLvl w:val="7"/>
    </w:pPr>
    <w:rPr>
      <w:rFonts w:eastAsiaTheme="majorEastAsia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A652A"/>
    <w:pPr>
      <w:keepNext/>
      <w:keepLines/>
      <w:spacing w:before="0" w:after="0"/>
      <w:jc w:val="right"/>
      <w:outlineLvl w:val="8"/>
    </w:pPr>
    <w:rPr>
      <w:rFonts w:eastAsiaTheme="majorEastAsia" w:cstheme="majorBidi"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70A9"/>
    <w:rPr>
      <w:rFonts w:ascii="Arial" w:eastAsiaTheme="majorEastAsia" w:hAnsi="Arial" w:cstheme="majorBidi"/>
      <w:b/>
      <w:caps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928A2"/>
    <w:rPr>
      <w:rFonts w:ascii="Arial" w:hAnsi="Arial"/>
      <w:b/>
      <w:caps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8F4D72"/>
    <w:rPr>
      <w:rFonts w:ascii="Arial" w:eastAsiaTheme="majorEastAsia" w:hAnsi="Arial" w:cstheme="majorBidi"/>
      <w:i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8F4D72"/>
    <w:rPr>
      <w:rFonts w:ascii="Arial" w:hAnsi="Arial"/>
      <w:b/>
      <w:i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B754E"/>
    <w:rPr>
      <w:rFonts w:ascii="Arial" w:eastAsiaTheme="majorEastAsia" w:hAnsi="Arial" w:cstheme="majorBidi"/>
      <w:i/>
      <w:sz w:val="24"/>
    </w:rPr>
  </w:style>
  <w:style w:type="numbering" w:customStyle="1" w:styleId="Level1">
    <w:name w:val="Level 1"/>
    <w:uiPriority w:val="99"/>
    <w:rsid w:val="00121B29"/>
    <w:pPr>
      <w:numPr>
        <w:numId w:val="12"/>
      </w:numPr>
    </w:pPr>
  </w:style>
  <w:style w:type="paragraph" w:styleId="ListParagraph">
    <w:name w:val="List Paragraph"/>
    <w:basedOn w:val="Normal"/>
    <w:uiPriority w:val="34"/>
    <w:qFormat/>
    <w:rsid w:val="00121B29"/>
    <w:pPr>
      <w:ind w:left="720"/>
      <w:contextualSpacing/>
    </w:pPr>
  </w:style>
  <w:style w:type="character" w:customStyle="1" w:styleId="Heading6Char">
    <w:name w:val="Heading 6 Char"/>
    <w:basedOn w:val="DefaultParagraphFont"/>
    <w:link w:val="Heading6"/>
    <w:uiPriority w:val="9"/>
    <w:rsid w:val="004E183E"/>
    <w:rPr>
      <w:rFonts w:ascii="Arial" w:eastAsiaTheme="majorEastAsia" w:hAnsi="Arial" w:cstheme="majorBidi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rsid w:val="006B754E"/>
    <w:rPr>
      <w:rFonts w:ascii="Arial" w:eastAsiaTheme="majorEastAsia" w:hAnsi="Arial" w:cstheme="majorBidi"/>
      <w:iCs/>
      <w:sz w:val="24"/>
    </w:rPr>
  </w:style>
  <w:style w:type="character" w:customStyle="1" w:styleId="Heading8Char">
    <w:name w:val="Heading 8 Char"/>
    <w:basedOn w:val="DefaultParagraphFont"/>
    <w:link w:val="Heading8"/>
    <w:uiPriority w:val="9"/>
    <w:rsid w:val="000E5ECE"/>
    <w:rPr>
      <w:rFonts w:ascii="Arial" w:eastAsiaTheme="majorEastAsia" w:hAnsi="Arial" w:cstheme="majorBidi"/>
      <w:color w:val="272727" w:themeColor="text1" w:themeTint="D8"/>
      <w:sz w:val="24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A652A"/>
    <w:rPr>
      <w:rFonts w:ascii="Arial" w:eastAsiaTheme="majorEastAsia" w:hAnsi="Arial" w:cstheme="majorBidi"/>
      <w:iCs/>
      <w:color w:val="272727" w:themeColor="text1" w:themeTint="D8"/>
      <w:sz w:val="24"/>
      <w:szCs w:val="21"/>
    </w:rPr>
  </w:style>
  <w:style w:type="paragraph" w:styleId="Header">
    <w:name w:val="header"/>
    <w:basedOn w:val="Normal"/>
    <w:link w:val="HeaderChar"/>
    <w:uiPriority w:val="99"/>
    <w:unhideWhenUsed/>
    <w:rsid w:val="00904C01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4C01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904C01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4C01"/>
    <w:rPr>
      <w:rFonts w:ascii="Arial" w:hAnsi="Arial"/>
      <w:sz w:val="24"/>
    </w:rPr>
  </w:style>
  <w:style w:type="character" w:styleId="Hyperlink">
    <w:name w:val="Hyperlink"/>
    <w:basedOn w:val="DefaultParagraphFont"/>
    <w:uiPriority w:val="99"/>
    <w:unhideWhenUsed/>
    <w:rsid w:val="006A652A"/>
    <w:rPr>
      <w:color w:val="0563C1" w:themeColor="hyperlink"/>
      <w:u w:val="single"/>
    </w:rPr>
  </w:style>
  <w:style w:type="paragraph" w:customStyle="1" w:styleId="11style">
    <w:name w:val="1.1 style"/>
    <w:basedOn w:val="Heading6"/>
    <w:qFormat/>
    <w:rsid w:val="008F4D72"/>
  </w:style>
  <w:style w:type="paragraph" w:customStyle="1" w:styleId="astyle">
    <w:name w:val="(a) style"/>
    <w:basedOn w:val="Heading7"/>
    <w:qFormat/>
    <w:rsid w:val="008F4D72"/>
  </w:style>
  <w:style w:type="paragraph" w:customStyle="1" w:styleId="istyle">
    <w:name w:val="(i) style"/>
    <w:basedOn w:val="Heading8"/>
    <w:qFormat/>
    <w:rsid w:val="008F4D72"/>
    <w:pPr>
      <w:keepNext/>
      <w:keepLines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C24E7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24E7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26A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6A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6A21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6A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6A21"/>
    <w:rPr>
      <w:rFonts w:ascii="Arial" w:hAnsi="Arial"/>
      <w:b/>
      <w:bCs/>
      <w:sz w:val="20"/>
      <w:szCs w:val="20"/>
    </w:rPr>
  </w:style>
  <w:style w:type="table" w:styleId="TableGrid">
    <w:name w:val="Table Grid"/>
    <w:basedOn w:val="TableNormal"/>
    <w:uiPriority w:val="39"/>
    <w:rsid w:val="00CE13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CA56E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961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fcfcoa.gov.au/form-request-electronic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376628DF67CA40A5D8DE69030910CD" ma:contentTypeVersion="14" ma:contentTypeDescription="Create a new document." ma:contentTypeScope="" ma:versionID="fa49ba849b9d8fffbea4d241d1e7f54d">
  <xsd:schema xmlns:xsd="http://www.w3.org/2001/XMLSchema" xmlns:xs="http://www.w3.org/2001/XMLSchema" xmlns:p="http://schemas.microsoft.com/office/2006/metadata/properties" xmlns:ns3="1772084b-1031-4668-bd2d-261c976024cf" xmlns:ns4="a9fe9989-1cdb-434d-a3fb-b42173955144" targetNamespace="http://schemas.microsoft.com/office/2006/metadata/properties" ma:root="true" ma:fieldsID="6dbc2eb2a514fc852b63b55ac4b4f658" ns3:_="" ns4:_="">
    <xsd:import namespace="1772084b-1031-4668-bd2d-261c976024cf"/>
    <xsd:import namespace="a9fe9989-1cdb-434d-a3fb-b4217395514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72084b-1031-4668-bd2d-261c976024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fe9989-1cdb-434d-a3fb-b4217395514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BE2426-017C-4719-A665-987D801C55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72084b-1031-4668-bd2d-261c976024cf"/>
    <ds:schemaRef ds:uri="a9fe9989-1cdb-434d-a3fb-b421739551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437058-FF99-4AB0-A94B-744CFBB077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8D75E9-CBE1-4159-903B-4B1F861923B3}">
  <ds:schemaRefs>
    <ds:schemaRef ds:uri="http://schemas.openxmlformats.org/package/2006/metadata/core-properties"/>
    <ds:schemaRef ds:uri="1772084b-1031-4668-bd2d-261c976024cf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a9fe9989-1cdb-434d-a3fb-b42173955144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06DD3C27-CC3D-4EA0-847B-A06D6C927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837</Words>
  <Characters>4777</Characters>
  <Application>Microsoft Office Word</Application>
  <DocSecurity>4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FCFCOA Special Measures Information Notice: COVID-19 Hearing protocol (SMIN-COVID-HEARINGS)</vt:lpstr>
    </vt:vector>
  </TitlesOfParts>
  <Company/>
  <LinksUpToDate>false</LinksUpToDate>
  <CharactersWithSpaces>5603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FCFCOA Special Measures Information Notice: COVID-19 Hearing protocol (SMIN-COVID-HEARINGS)</dc:title>
  <dc:subject/>
  <dc:creator>Federal Circuit and Family Court of Australia</dc:creator>
  <cp:keywords/>
  <dc:description/>
  <cp:lastModifiedBy>Christine Tuff</cp:lastModifiedBy>
  <cp:revision>2</cp:revision>
  <cp:lastPrinted>2022-10-26T04:43:00Z</cp:lastPrinted>
  <dcterms:created xsi:type="dcterms:W3CDTF">2022-11-04T05:49:00Z</dcterms:created>
  <dcterms:modified xsi:type="dcterms:W3CDTF">2022-11-04T05:49:00Z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0x010100B7376628DF67CA40A5D8DE69030910CD</vt:lpwstr>
  </property>
</Properties>
</file>