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bookmarkStart w:id="0" w:name="_GoBack"/>
      <w:bookmarkEnd w:id="0"/>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4F4CFA" w:rsidP="007429CB">
      <w:pPr>
        <w:pStyle w:val="Heading1"/>
        <w:jc w:val="right"/>
        <w:rPr>
          <w:sz w:val="24"/>
          <w:szCs w:val="24"/>
        </w:rPr>
      </w:pPr>
      <w:r>
        <w:rPr>
          <w:sz w:val="24"/>
          <w:szCs w:val="24"/>
        </w:rPr>
        <w:t xml:space="preserve">3 June </w:t>
      </w:r>
      <w:r w:rsidR="007429CB" w:rsidRPr="007429CB">
        <w:rPr>
          <w:sz w:val="24"/>
          <w:szCs w:val="24"/>
        </w:rPr>
        <w:t>202</w:t>
      </w:r>
      <w:r w:rsidR="00E55B08">
        <w:rPr>
          <w:sz w:val="24"/>
          <w:szCs w:val="24"/>
        </w:rPr>
        <w:t>2</w:t>
      </w:r>
    </w:p>
    <w:p w:rsidR="000D08F0" w:rsidRDefault="000D08F0" w:rsidP="000D08F0">
      <w:pPr>
        <w:pStyle w:val="Heading1"/>
      </w:pPr>
      <w:r>
        <w:t xml:space="preserve">Media Release: </w:t>
      </w:r>
      <w:r w:rsidR="007C0D1E">
        <w:t xml:space="preserve">New family law Critical Incident List to help make arrangements for children </w:t>
      </w:r>
      <w:r w:rsidR="002A0FE1">
        <w:t>during a time of crisis</w:t>
      </w:r>
    </w:p>
    <w:p w:rsidR="00A52C61" w:rsidRDefault="006C0109" w:rsidP="002A0FE1">
      <w:pPr>
        <w:spacing w:after="240" w:line="276" w:lineRule="auto"/>
        <w:ind w:right="-188"/>
        <w:rPr>
          <w:lang w:eastAsia="en-AU"/>
        </w:rPr>
      </w:pPr>
      <w:r>
        <w:rPr>
          <w:lang w:eastAsia="en-AU"/>
        </w:rPr>
        <w:t>The Federal Circuit and Family Court of Australia has established a fast-tracked process to help families</w:t>
      </w:r>
      <w:r w:rsidR="00055C46">
        <w:rPr>
          <w:lang w:eastAsia="en-AU"/>
        </w:rPr>
        <w:t xml:space="preserve"> who need to make </w:t>
      </w:r>
      <w:r w:rsidR="00FD1728">
        <w:rPr>
          <w:lang w:eastAsia="en-AU"/>
        </w:rPr>
        <w:t>appropriate</w:t>
      </w:r>
      <w:r w:rsidR="00055C46">
        <w:rPr>
          <w:lang w:eastAsia="en-AU"/>
        </w:rPr>
        <w:t xml:space="preserve"> </w:t>
      </w:r>
      <w:r>
        <w:rPr>
          <w:lang w:eastAsia="en-AU"/>
        </w:rPr>
        <w:t xml:space="preserve">arrangements for </w:t>
      </w:r>
      <w:r w:rsidR="00A52C61">
        <w:rPr>
          <w:lang w:eastAsia="en-AU"/>
        </w:rPr>
        <w:t xml:space="preserve">children </w:t>
      </w:r>
      <w:r w:rsidR="00C219B1">
        <w:rPr>
          <w:lang w:eastAsia="en-AU"/>
        </w:rPr>
        <w:t>where no parent is available</w:t>
      </w:r>
      <w:r w:rsidR="00A52C61">
        <w:rPr>
          <w:lang w:eastAsia="en-AU"/>
        </w:rPr>
        <w:t xml:space="preserve"> as a result of </w:t>
      </w:r>
      <w:r w:rsidR="00AF0E2A">
        <w:rPr>
          <w:lang w:eastAsia="en-AU"/>
        </w:rPr>
        <w:t xml:space="preserve">death, critical injury, or incarceration relating to </w:t>
      </w:r>
      <w:r w:rsidR="001310E9">
        <w:rPr>
          <w:lang w:eastAsia="en-AU"/>
        </w:rPr>
        <w:t>family violence.</w:t>
      </w:r>
    </w:p>
    <w:p w:rsidR="00C95BF0" w:rsidRPr="00C95BF0" w:rsidRDefault="00055C46" w:rsidP="002A0FE1">
      <w:pPr>
        <w:spacing w:after="240" w:line="276" w:lineRule="auto"/>
        <w:rPr>
          <w:lang w:eastAsia="en-AU"/>
        </w:rPr>
      </w:pPr>
      <w:r>
        <w:rPr>
          <w:lang w:eastAsia="en-AU"/>
        </w:rPr>
        <w:t xml:space="preserve">The new process will be known as the </w:t>
      </w:r>
      <w:r w:rsidRPr="00C95BF0">
        <w:rPr>
          <w:i/>
          <w:lang w:eastAsia="en-AU"/>
        </w:rPr>
        <w:t>Critical Incident List</w:t>
      </w:r>
      <w:r>
        <w:rPr>
          <w:lang w:eastAsia="en-AU"/>
        </w:rPr>
        <w:t xml:space="preserve"> and will commence on 6 June 2022. It will be accessible </w:t>
      </w:r>
      <w:r w:rsidR="00C219B1">
        <w:rPr>
          <w:lang w:eastAsia="en-AU"/>
        </w:rPr>
        <w:t xml:space="preserve">for people in </w:t>
      </w:r>
      <w:r>
        <w:rPr>
          <w:lang w:eastAsia="en-AU"/>
        </w:rPr>
        <w:t>every state and territory other than Western Australia</w:t>
      </w:r>
      <w:r w:rsidRPr="00C95BF0">
        <w:rPr>
          <w:sz w:val="16"/>
          <w:szCs w:val="16"/>
          <w:lang w:eastAsia="en-AU"/>
        </w:rPr>
        <w:t>*</w:t>
      </w:r>
      <w:r>
        <w:rPr>
          <w:lang w:eastAsia="en-AU"/>
        </w:rPr>
        <w:t xml:space="preserve">. </w:t>
      </w:r>
      <w:r w:rsidR="00C95BF0">
        <w:rPr>
          <w:lang w:eastAsia="en-AU"/>
        </w:rPr>
        <w:t xml:space="preserve">The List will be managed by </w:t>
      </w:r>
      <w:r w:rsidR="00C95BF0" w:rsidRPr="00C95BF0">
        <w:rPr>
          <w:lang w:eastAsia="en-AU"/>
        </w:rPr>
        <w:t xml:space="preserve">a dedicated, specialist Division 1 Judge, Justice Jacoba Brasch, who will </w:t>
      </w:r>
      <w:r w:rsidR="00C95BF0">
        <w:rPr>
          <w:lang w:eastAsia="en-AU"/>
        </w:rPr>
        <w:t>manage</w:t>
      </w:r>
      <w:r w:rsidR="00C95BF0" w:rsidRPr="00C95BF0">
        <w:rPr>
          <w:lang w:eastAsia="en-AU"/>
        </w:rPr>
        <w:t xml:space="preserve"> the</w:t>
      </w:r>
      <w:r w:rsidR="001310E9">
        <w:rPr>
          <w:lang w:eastAsia="en-AU"/>
        </w:rPr>
        <w:t>se matters on a national basis.</w:t>
      </w:r>
    </w:p>
    <w:p w:rsidR="00C219B1" w:rsidRDefault="00C219B1" w:rsidP="002A0FE1">
      <w:pPr>
        <w:spacing w:after="240" w:line="276" w:lineRule="auto"/>
        <w:ind w:right="-188"/>
        <w:rPr>
          <w:lang w:eastAsia="en-AU"/>
        </w:rPr>
      </w:pPr>
      <w:r>
        <w:rPr>
          <w:lang w:eastAsia="en-AU"/>
        </w:rPr>
        <w:t>The Courts’ Family Violence Committee has worked with t</w:t>
      </w:r>
      <w:r w:rsidR="000C1017">
        <w:rPr>
          <w:lang w:eastAsia="en-AU"/>
        </w:rPr>
        <w:t>he Queensland Homicide Victims Support Group (QHVSG)</w:t>
      </w:r>
      <w:r>
        <w:rPr>
          <w:lang w:eastAsia="en-AU"/>
        </w:rPr>
        <w:t xml:space="preserve"> </w:t>
      </w:r>
      <w:r w:rsidR="000C1017">
        <w:rPr>
          <w:lang w:eastAsia="en-AU"/>
        </w:rPr>
        <w:t xml:space="preserve">to </w:t>
      </w:r>
      <w:r w:rsidR="00A64DEF">
        <w:rPr>
          <w:lang w:eastAsia="en-AU"/>
        </w:rPr>
        <w:t xml:space="preserve">establish a </w:t>
      </w:r>
      <w:r w:rsidR="000C1017">
        <w:rPr>
          <w:lang w:eastAsia="en-AU"/>
        </w:rPr>
        <w:t>way for people to have faster access to listing dates before the Court in circumstances</w:t>
      </w:r>
      <w:r w:rsidR="00A64DEF">
        <w:rPr>
          <w:lang w:eastAsia="en-AU"/>
        </w:rPr>
        <w:t xml:space="preserve"> where </w:t>
      </w:r>
      <w:r w:rsidR="006C0109">
        <w:rPr>
          <w:lang w:eastAsia="en-AU"/>
        </w:rPr>
        <w:t xml:space="preserve">no parent </w:t>
      </w:r>
      <w:r w:rsidR="00FD1728">
        <w:rPr>
          <w:lang w:eastAsia="en-AU"/>
        </w:rPr>
        <w:t>is</w:t>
      </w:r>
      <w:r w:rsidR="00A64DEF">
        <w:rPr>
          <w:lang w:eastAsia="en-AU"/>
        </w:rPr>
        <w:t xml:space="preserve"> </w:t>
      </w:r>
      <w:r w:rsidR="006C0109">
        <w:rPr>
          <w:lang w:eastAsia="en-AU"/>
        </w:rPr>
        <w:t xml:space="preserve">available to care for </w:t>
      </w:r>
      <w:r w:rsidR="00FD1728">
        <w:rPr>
          <w:lang w:eastAsia="en-AU"/>
        </w:rPr>
        <w:t xml:space="preserve">the child or children </w:t>
      </w:r>
      <w:r w:rsidR="006C0109">
        <w:rPr>
          <w:lang w:eastAsia="en-AU"/>
        </w:rPr>
        <w:t>as a result of death (including homicide or suicide), critical injury, or incarceration relating to a family</w:t>
      </w:r>
      <w:r w:rsidR="00A52C61">
        <w:rPr>
          <w:lang w:eastAsia="en-AU"/>
        </w:rPr>
        <w:t xml:space="preserve"> </w:t>
      </w:r>
      <w:r w:rsidR="006C0109">
        <w:rPr>
          <w:lang w:eastAsia="en-AU"/>
        </w:rPr>
        <w:t>violence incident</w:t>
      </w:r>
      <w:r w:rsidR="001310E9">
        <w:rPr>
          <w:lang w:eastAsia="en-AU"/>
        </w:rPr>
        <w:t>.</w:t>
      </w:r>
    </w:p>
    <w:p w:rsidR="00C219B1" w:rsidRPr="00A003B4" w:rsidRDefault="00C219B1" w:rsidP="002A0FE1">
      <w:pPr>
        <w:spacing w:after="240" w:line="276" w:lineRule="auto"/>
        <w:ind w:right="-188"/>
        <w:rPr>
          <w:lang w:eastAsia="en-AU"/>
        </w:rPr>
      </w:pPr>
      <w:r>
        <w:rPr>
          <w:lang w:eastAsia="en-AU"/>
        </w:rPr>
        <w:t>Court orders are often needed during these times of crisis</w:t>
      </w:r>
      <w:r w:rsidR="003E5627">
        <w:rPr>
          <w:lang w:eastAsia="en-AU"/>
        </w:rPr>
        <w:t xml:space="preserve">. </w:t>
      </w:r>
      <w:r w:rsidR="00FD1728">
        <w:rPr>
          <w:lang w:eastAsia="en-AU"/>
        </w:rPr>
        <w:t xml:space="preserve">The Federal Circuit and Family Court of Australia can make orders about where children live, as well as orders for parental responsibility which will enable non-parent carers to make appropriate arrangements for children, including enrolling children in school and </w:t>
      </w:r>
      <w:r w:rsidR="00AF0E2A">
        <w:rPr>
          <w:lang w:eastAsia="en-AU"/>
        </w:rPr>
        <w:t xml:space="preserve">organising and </w:t>
      </w:r>
      <w:r w:rsidR="00FD1728">
        <w:rPr>
          <w:lang w:eastAsia="en-AU"/>
        </w:rPr>
        <w:t>c</w:t>
      </w:r>
      <w:r w:rsidR="001310E9">
        <w:rPr>
          <w:lang w:eastAsia="en-AU"/>
        </w:rPr>
        <w:t>onsenting to medical treatment.</w:t>
      </w:r>
    </w:p>
    <w:p w:rsidR="003E5627" w:rsidRDefault="009E4A49" w:rsidP="002A0FE1">
      <w:pPr>
        <w:spacing w:after="240" w:line="276" w:lineRule="auto"/>
        <w:rPr>
          <w:rFonts w:eastAsia="Times New Roman"/>
        </w:rPr>
      </w:pPr>
      <w:r w:rsidRPr="00DE38E6">
        <w:rPr>
          <w:iCs/>
        </w:rPr>
        <w:t>The Chief Justice of the Federal Circuit and Family Court of Australia, the Hon Will Alstergren</w:t>
      </w:r>
      <w:r w:rsidR="00A52C61">
        <w:rPr>
          <w:iCs/>
        </w:rPr>
        <w:t>,</w:t>
      </w:r>
      <w:r w:rsidRPr="00DE38E6">
        <w:rPr>
          <w:rFonts w:eastAsia="Times New Roman"/>
        </w:rPr>
        <w:t xml:space="preserve"> said that</w:t>
      </w:r>
      <w:r w:rsidR="001F0ECB" w:rsidRPr="00DE38E6">
        <w:rPr>
          <w:rFonts w:eastAsia="Times New Roman"/>
        </w:rPr>
        <w:t xml:space="preserve"> </w:t>
      </w:r>
      <w:r w:rsidR="003E5627">
        <w:rPr>
          <w:rFonts w:eastAsia="Times New Roman"/>
        </w:rPr>
        <w:t>establishing the Critical Incident List is a small, but hopefully effective, way to help fa</w:t>
      </w:r>
      <w:r w:rsidR="001310E9">
        <w:rPr>
          <w:rFonts w:eastAsia="Times New Roman"/>
        </w:rPr>
        <w:t>milies during a time of crisis.</w:t>
      </w:r>
    </w:p>
    <w:p w:rsidR="00491469" w:rsidRDefault="003E5627" w:rsidP="002A0FE1">
      <w:pPr>
        <w:spacing w:after="240" w:line="276" w:lineRule="auto"/>
        <w:rPr>
          <w:rFonts w:eastAsia="Times New Roman"/>
        </w:rPr>
      </w:pPr>
      <w:r>
        <w:rPr>
          <w:rFonts w:eastAsia="Times New Roman"/>
        </w:rPr>
        <w:t>“</w:t>
      </w:r>
      <w:r w:rsidR="00205EAA">
        <w:rPr>
          <w:rFonts w:eastAsia="Times New Roman"/>
        </w:rPr>
        <w:t xml:space="preserve">Family violence is a </w:t>
      </w:r>
      <w:r>
        <w:rPr>
          <w:rFonts w:eastAsia="Times New Roman"/>
        </w:rPr>
        <w:t>national disgrace</w:t>
      </w:r>
      <w:r w:rsidR="00205EAA">
        <w:rPr>
          <w:rFonts w:eastAsia="Times New Roman"/>
        </w:rPr>
        <w:t>, and far too often, results in the death of a parent at the hands of their partner</w:t>
      </w:r>
      <w:r w:rsidR="000402D6">
        <w:rPr>
          <w:rFonts w:eastAsia="Times New Roman"/>
        </w:rPr>
        <w:t xml:space="preserve"> or former partner</w:t>
      </w:r>
      <w:r w:rsidR="00205EAA">
        <w:rPr>
          <w:rFonts w:eastAsia="Times New Roman"/>
        </w:rPr>
        <w:t xml:space="preserve">. Australia has witnessed too many situations in which children are left without the care of their biological or legal parent following </w:t>
      </w:r>
      <w:r w:rsidR="00491469">
        <w:rPr>
          <w:rFonts w:eastAsia="Times New Roman"/>
        </w:rPr>
        <w:t xml:space="preserve">the murder of one parent and the </w:t>
      </w:r>
      <w:r w:rsidR="00A52C61">
        <w:rPr>
          <w:rFonts w:eastAsia="Times New Roman"/>
        </w:rPr>
        <w:t xml:space="preserve">death or </w:t>
      </w:r>
      <w:r w:rsidR="00491469">
        <w:rPr>
          <w:rFonts w:eastAsia="Times New Roman"/>
        </w:rPr>
        <w:t xml:space="preserve">incarceration of the </w:t>
      </w:r>
      <w:r w:rsidR="007D2A0E">
        <w:rPr>
          <w:rFonts w:eastAsia="Times New Roman"/>
        </w:rPr>
        <w:t>other.</w:t>
      </w:r>
    </w:p>
    <w:p w:rsidR="00491469" w:rsidRDefault="00491469" w:rsidP="002A0FE1">
      <w:pPr>
        <w:spacing w:after="240" w:line="276" w:lineRule="auto"/>
        <w:rPr>
          <w:rFonts w:eastAsia="Times New Roman"/>
        </w:rPr>
      </w:pPr>
      <w:r>
        <w:rPr>
          <w:rFonts w:eastAsia="Times New Roman"/>
        </w:rPr>
        <w:t xml:space="preserve">“It is </w:t>
      </w:r>
      <w:r w:rsidR="00E411AD">
        <w:rPr>
          <w:rFonts w:eastAsia="Times New Roman"/>
        </w:rPr>
        <w:t xml:space="preserve">an </w:t>
      </w:r>
      <w:r>
        <w:rPr>
          <w:rFonts w:eastAsia="Times New Roman"/>
        </w:rPr>
        <w:t>extraordinarily tragic and stressful time for the children involved, and the extended family members who are suddenly left to pick up the pieces and care for the children and make arrangements for their health and education.</w:t>
      </w:r>
    </w:p>
    <w:p w:rsidR="00E8183A" w:rsidRDefault="00491469" w:rsidP="002A0FE1">
      <w:pPr>
        <w:spacing w:after="240" w:line="276" w:lineRule="auto"/>
        <w:rPr>
          <w:rFonts w:eastAsia="Times New Roman"/>
        </w:rPr>
      </w:pPr>
      <w:r>
        <w:rPr>
          <w:rFonts w:eastAsia="Times New Roman"/>
        </w:rPr>
        <w:t xml:space="preserve">“The Court has established the Critical Incident </w:t>
      </w:r>
      <w:r w:rsidR="00E411AD">
        <w:rPr>
          <w:rFonts w:eastAsia="Times New Roman"/>
        </w:rPr>
        <w:t xml:space="preserve">List </w:t>
      </w:r>
      <w:r>
        <w:rPr>
          <w:rFonts w:eastAsia="Times New Roman"/>
        </w:rPr>
        <w:t>following consultation with the QHVSG, and we thank them for their assistance and work in providin</w:t>
      </w:r>
      <w:r w:rsidR="007D2A0E">
        <w:rPr>
          <w:rFonts w:eastAsia="Times New Roman"/>
        </w:rPr>
        <w:t>g support to victims of crime.”</w:t>
      </w:r>
    </w:p>
    <w:p w:rsidR="00E8183A" w:rsidRPr="00E8183A" w:rsidRDefault="00E8183A" w:rsidP="002A0FE1">
      <w:pPr>
        <w:spacing w:after="240" w:line="276" w:lineRule="auto"/>
        <w:rPr>
          <w:rFonts w:eastAsia="Times New Roman"/>
        </w:rPr>
      </w:pPr>
      <w:r>
        <w:rPr>
          <w:rFonts w:eastAsia="Times New Roman"/>
        </w:rPr>
        <w:t xml:space="preserve">Mr </w:t>
      </w:r>
      <w:r w:rsidRPr="00E8183A">
        <w:rPr>
          <w:rFonts w:eastAsia="Times New Roman"/>
        </w:rPr>
        <w:t>Brett Thompson, QHVSG Chief Executive Officer s</w:t>
      </w:r>
      <w:r>
        <w:rPr>
          <w:rFonts w:eastAsia="Times New Roman"/>
        </w:rPr>
        <w:t>aid</w:t>
      </w:r>
      <w:r w:rsidR="002C54C1">
        <w:rPr>
          <w:rFonts w:eastAsia="Times New Roman"/>
        </w:rPr>
        <w:t xml:space="preserve"> that t</w:t>
      </w:r>
      <w:r w:rsidRPr="00E8183A">
        <w:rPr>
          <w:rFonts w:eastAsia="Times New Roman"/>
        </w:rPr>
        <w:t xml:space="preserve">he establishment of the Critical Incident List by the Federal Circuit and Family Court of Australia displays an understanding from the </w:t>
      </w:r>
      <w:r w:rsidRPr="00E8183A">
        <w:rPr>
          <w:rFonts w:eastAsia="Times New Roman"/>
        </w:rPr>
        <w:lastRenderedPageBreak/>
        <w:t>victim’s perspective. It is a progressive and trauma informed process, which will assist in establishing genuine support and greater certainty for children, in the most abhorrent of circumstances.</w:t>
      </w:r>
    </w:p>
    <w:p w:rsidR="00E8183A" w:rsidRPr="00E8183A" w:rsidRDefault="00E8183A" w:rsidP="002A0FE1">
      <w:pPr>
        <w:spacing w:after="240" w:line="276" w:lineRule="auto"/>
        <w:rPr>
          <w:rFonts w:eastAsia="Times New Roman"/>
        </w:rPr>
      </w:pPr>
      <w:r w:rsidRPr="00E8183A">
        <w:rPr>
          <w:rFonts w:eastAsia="Times New Roman"/>
        </w:rPr>
        <w:t>‘The impact upon children when a parent is lost through family violence is immeasurable, and our society must ensure that appropriate support is able to put in place as an absolute priority. The energy and focus needs to be on the welfare of the children, and not on how to navigate the right to support them in the most basic of ways every day.</w:t>
      </w:r>
    </w:p>
    <w:p w:rsidR="00DE38E6" w:rsidRDefault="002C54C1" w:rsidP="002A0FE1">
      <w:pPr>
        <w:spacing w:after="240" w:line="276" w:lineRule="auto"/>
        <w:rPr>
          <w:rFonts w:eastAsia="Times New Roman"/>
        </w:rPr>
      </w:pPr>
      <w:r>
        <w:rPr>
          <w:rFonts w:eastAsia="Times New Roman"/>
        </w:rPr>
        <w:t>“</w:t>
      </w:r>
      <w:r w:rsidR="00E8183A" w:rsidRPr="00E8183A">
        <w:rPr>
          <w:rFonts w:eastAsia="Times New Roman"/>
        </w:rPr>
        <w:t xml:space="preserve">We sincerely thank the Chief Justice for his support in its establishment, and for the victims of homicide who </w:t>
      </w:r>
      <w:r w:rsidR="00C95BF0">
        <w:rPr>
          <w:rFonts w:eastAsia="Times New Roman"/>
        </w:rPr>
        <w:t xml:space="preserve">have </w:t>
      </w:r>
      <w:r w:rsidR="00E8183A" w:rsidRPr="00E8183A">
        <w:rPr>
          <w:rFonts w:eastAsia="Times New Roman"/>
        </w:rPr>
        <w:t>share</w:t>
      </w:r>
      <w:r w:rsidR="00C95BF0">
        <w:rPr>
          <w:rFonts w:eastAsia="Times New Roman"/>
        </w:rPr>
        <w:t>d</w:t>
      </w:r>
      <w:r w:rsidR="00E8183A" w:rsidRPr="00E8183A">
        <w:rPr>
          <w:rFonts w:eastAsia="Times New Roman"/>
        </w:rPr>
        <w:t xml:space="preserve"> their stories to demonstrate why this change </w:t>
      </w:r>
      <w:r>
        <w:rPr>
          <w:rFonts w:eastAsia="Times New Roman"/>
        </w:rPr>
        <w:t>i</w:t>
      </w:r>
      <w:r w:rsidR="00E8183A" w:rsidRPr="00E8183A">
        <w:rPr>
          <w:rFonts w:eastAsia="Times New Roman"/>
        </w:rPr>
        <w:t>s so important.</w:t>
      </w:r>
    </w:p>
    <w:p w:rsidR="007C7343" w:rsidRPr="007C7343" w:rsidRDefault="007C7343" w:rsidP="001310E9">
      <w:pPr>
        <w:spacing w:before="10080" w:line="276" w:lineRule="auto"/>
        <w:jc w:val="both"/>
        <w:rPr>
          <w:b/>
          <w:sz w:val="18"/>
          <w:szCs w:val="18"/>
          <w:u w:val="single"/>
        </w:rPr>
      </w:pPr>
      <w:r w:rsidRPr="007C7343">
        <w:rPr>
          <w:rFonts w:eastAsia="Times New Roman"/>
          <w:sz w:val="18"/>
          <w:szCs w:val="18"/>
        </w:rPr>
        <w:t xml:space="preserve">*Family law matters in Western Australia are </w:t>
      </w:r>
      <w:r>
        <w:rPr>
          <w:rFonts w:eastAsia="Times New Roman"/>
          <w:sz w:val="18"/>
          <w:szCs w:val="18"/>
        </w:rPr>
        <w:t>heard in</w:t>
      </w:r>
      <w:r w:rsidRPr="007C7343">
        <w:rPr>
          <w:rFonts w:eastAsia="Times New Roman"/>
          <w:sz w:val="18"/>
          <w:szCs w:val="18"/>
        </w:rPr>
        <w:t xml:space="preserve"> the Family Court of WA.</w:t>
      </w:r>
    </w:p>
    <w:sectPr w:rsidR="007C7343" w:rsidRPr="007C7343">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0128" w:rsidRDefault="006E0128" w:rsidP="00965ADE">
      <w:r>
        <w:separator/>
      </w:r>
    </w:p>
  </w:endnote>
  <w:endnote w:type="continuationSeparator" w:id="0">
    <w:p w:rsidR="006E0128" w:rsidRDefault="006E0128"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E72F38" w:rsidRPr="00E72F38">
          <w:rPr>
            <w:b/>
            <w:bCs/>
            <w:noProof/>
            <w:sz w:val="16"/>
            <w:szCs w:val="16"/>
          </w:rPr>
          <w:t>2</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687663" w:rsidRPr="00687663" w:rsidRDefault="00687663" w:rsidP="00687663">
    <w:pPr>
      <w:autoSpaceDE w:val="0"/>
      <w:autoSpaceDN w:val="0"/>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Denise Healy</w:t>
    </w:r>
    <w:r w:rsidRPr="00687663">
      <w:rPr>
        <w:rFonts w:ascii="Calibri Light" w:eastAsiaTheme="minorEastAsia" w:hAnsi="Calibri Light" w:cs="Calibri Light"/>
        <w:noProof/>
        <w:color w:val="44546A"/>
        <w:sz w:val="16"/>
        <w:szCs w:val="16"/>
        <w:lang w:eastAsia="en-AU"/>
      </w:rPr>
      <w:t xml:space="preserve"> – </w:t>
    </w:r>
    <w:r w:rsidRPr="00687663">
      <w:rPr>
        <w:rFonts w:ascii="Calibri Light" w:eastAsiaTheme="minorEastAsia" w:hAnsi="Calibri Light" w:cs="Calibri Light"/>
        <w:noProof/>
        <w:color w:val="666666"/>
        <w:sz w:val="16"/>
        <w:szCs w:val="16"/>
        <w:lang w:eastAsia="en-AU"/>
      </w:rPr>
      <w:t xml:space="preserve">Director, Media &amp; Public Affairs, Federal Circuit and Family Court of Australia </w:t>
    </w:r>
  </w:p>
  <w:p w:rsidR="00687663" w:rsidRPr="00687663" w:rsidRDefault="00687663" w:rsidP="00687663">
    <w:pPr>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 xml:space="preserve">m. </w:t>
    </w:r>
    <w:r w:rsidRPr="00687663">
      <w:rPr>
        <w:rFonts w:ascii="Calibri Light" w:eastAsiaTheme="minorEastAsia" w:hAnsi="Calibri Light" w:cs="Calibri Light"/>
        <w:noProof/>
        <w:color w:val="666666"/>
        <w:sz w:val="16"/>
        <w:szCs w:val="16"/>
        <w:lang w:eastAsia="en-AU"/>
      </w:rPr>
      <w:t xml:space="preserve">0409 743 695 </w:t>
    </w:r>
    <w:r w:rsidRPr="00687663">
      <w:rPr>
        <w:rFonts w:ascii="Calibri Light" w:eastAsiaTheme="minorEastAsia" w:hAnsi="Calibri Light" w:cs="Calibri Light"/>
        <w:b/>
        <w:bCs/>
        <w:noProof/>
        <w:color w:val="44546A"/>
        <w:sz w:val="16"/>
        <w:szCs w:val="16"/>
        <w:lang w:eastAsia="en-AU"/>
      </w:rPr>
      <w:t>e.</w:t>
    </w:r>
    <w:r w:rsidRPr="00687663">
      <w:rPr>
        <w:rFonts w:ascii="Calibri Light" w:eastAsiaTheme="minorEastAsia" w:hAnsi="Calibri Light" w:cs="Calibri Light"/>
        <w:b/>
        <w:bCs/>
        <w:noProof/>
        <w:color w:val="000000"/>
        <w:sz w:val="16"/>
        <w:szCs w:val="16"/>
        <w:lang w:eastAsia="en-AU"/>
      </w:rPr>
      <w:t xml:space="preserve"> </w:t>
    </w:r>
    <w:hyperlink r:id="rId1" w:history="1">
      <w:r w:rsidRPr="00687663">
        <w:rPr>
          <w:rStyle w:val="Hyperlink"/>
          <w:rFonts w:ascii="Calibri Light" w:eastAsiaTheme="minorEastAsia" w:hAnsi="Calibri Light" w:cs="Calibri Light"/>
          <w:noProof/>
          <w:sz w:val="16"/>
          <w:szCs w:val="16"/>
        </w:rPr>
        <w:t>denise.healy@fcfcoa.gov.au</w:t>
      </w:r>
    </w:hyperlink>
  </w:p>
  <w:p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0128" w:rsidRDefault="006E0128" w:rsidP="00965ADE">
      <w:r>
        <w:separator/>
      </w:r>
    </w:p>
  </w:footnote>
  <w:footnote w:type="continuationSeparator" w:id="0">
    <w:p w:rsidR="006E0128" w:rsidRDefault="006E0128"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402D6"/>
    <w:rsid w:val="00055C46"/>
    <w:rsid w:val="0006637E"/>
    <w:rsid w:val="000C1017"/>
    <w:rsid w:val="000D08F0"/>
    <w:rsid w:val="000D18BD"/>
    <w:rsid w:val="00101C4D"/>
    <w:rsid w:val="00112F65"/>
    <w:rsid w:val="001310E9"/>
    <w:rsid w:val="00192A52"/>
    <w:rsid w:val="0019309C"/>
    <w:rsid w:val="00193B13"/>
    <w:rsid w:val="001E7306"/>
    <w:rsid w:val="001F0ECB"/>
    <w:rsid w:val="00205EAA"/>
    <w:rsid w:val="00240260"/>
    <w:rsid w:val="00297812"/>
    <w:rsid w:val="002A0FE1"/>
    <w:rsid w:val="002A789E"/>
    <w:rsid w:val="002B26C3"/>
    <w:rsid w:val="002C3438"/>
    <w:rsid w:val="002C54C1"/>
    <w:rsid w:val="002E4412"/>
    <w:rsid w:val="002F79C3"/>
    <w:rsid w:val="0032618C"/>
    <w:rsid w:val="00344A2D"/>
    <w:rsid w:val="00344C32"/>
    <w:rsid w:val="003A02C8"/>
    <w:rsid w:val="003E5627"/>
    <w:rsid w:val="003F50C0"/>
    <w:rsid w:val="00491469"/>
    <w:rsid w:val="004A449A"/>
    <w:rsid w:val="004B3650"/>
    <w:rsid w:val="004B3CCE"/>
    <w:rsid w:val="004F0938"/>
    <w:rsid w:val="004F4CFA"/>
    <w:rsid w:val="00557964"/>
    <w:rsid w:val="00561E5B"/>
    <w:rsid w:val="00581DF2"/>
    <w:rsid w:val="005842F3"/>
    <w:rsid w:val="00590E94"/>
    <w:rsid w:val="005D1D63"/>
    <w:rsid w:val="005E648A"/>
    <w:rsid w:val="00621578"/>
    <w:rsid w:val="006301D4"/>
    <w:rsid w:val="006406C5"/>
    <w:rsid w:val="00646011"/>
    <w:rsid w:val="00675F96"/>
    <w:rsid w:val="00687663"/>
    <w:rsid w:val="006A661F"/>
    <w:rsid w:val="006C0109"/>
    <w:rsid w:val="006D4130"/>
    <w:rsid w:val="006D51A8"/>
    <w:rsid w:val="006E0128"/>
    <w:rsid w:val="006E5B2A"/>
    <w:rsid w:val="007429CB"/>
    <w:rsid w:val="007507CC"/>
    <w:rsid w:val="007518E5"/>
    <w:rsid w:val="007647D3"/>
    <w:rsid w:val="007B6732"/>
    <w:rsid w:val="007B728D"/>
    <w:rsid w:val="007C0D1E"/>
    <w:rsid w:val="007C7343"/>
    <w:rsid w:val="007D1EC8"/>
    <w:rsid w:val="007D2A0E"/>
    <w:rsid w:val="007F2644"/>
    <w:rsid w:val="008101B0"/>
    <w:rsid w:val="00851312"/>
    <w:rsid w:val="008646D0"/>
    <w:rsid w:val="00876C16"/>
    <w:rsid w:val="008D695F"/>
    <w:rsid w:val="008E6804"/>
    <w:rsid w:val="00911767"/>
    <w:rsid w:val="00965ADE"/>
    <w:rsid w:val="009718C6"/>
    <w:rsid w:val="0098571C"/>
    <w:rsid w:val="009946DB"/>
    <w:rsid w:val="009C3689"/>
    <w:rsid w:val="009E4A49"/>
    <w:rsid w:val="00A003B4"/>
    <w:rsid w:val="00A17641"/>
    <w:rsid w:val="00A242E9"/>
    <w:rsid w:val="00A52C61"/>
    <w:rsid w:val="00A64DEF"/>
    <w:rsid w:val="00AE739B"/>
    <w:rsid w:val="00AF0E2A"/>
    <w:rsid w:val="00AF16F6"/>
    <w:rsid w:val="00B108B0"/>
    <w:rsid w:val="00B22227"/>
    <w:rsid w:val="00B518FD"/>
    <w:rsid w:val="00B83755"/>
    <w:rsid w:val="00BD7794"/>
    <w:rsid w:val="00BE1E85"/>
    <w:rsid w:val="00BE6F74"/>
    <w:rsid w:val="00C13C6E"/>
    <w:rsid w:val="00C219B1"/>
    <w:rsid w:val="00C27320"/>
    <w:rsid w:val="00C410F3"/>
    <w:rsid w:val="00C95BF0"/>
    <w:rsid w:val="00CB2E3D"/>
    <w:rsid w:val="00D2548B"/>
    <w:rsid w:val="00DA43B4"/>
    <w:rsid w:val="00DC268B"/>
    <w:rsid w:val="00DD253A"/>
    <w:rsid w:val="00DE38E6"/>
    <w:rsid w:val="00E0390F"/>
    <w:rsid w:val="00E15E05"/>
    <w:rsid w:val="00E32FF8"/>
    <w:rsid w:val="00E411AD"/>
    <w:rsid w:val="00E55B08"/>
    <w:rsid w:val="00E63A3A"/>
    <w:rsid w:val="00E72F38"/>
    <w:rsid w:val="00E8183A"/>
    <w:rsid w:val="00E9113C"/>
    <w:rsid w:val="00EE7497"/>
    <w:rsid w:val="00EF1CDB"/>
    <w:rsid w:val="00EF2472"/>
    <w:rsid w:val="00F21172"/>
    <w:rsid w:val="00FB52D2"/>
    <w:rsid w:val="00FD17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semiHidden/>
    <w:unhideWhenUsed/>
    <w:qFormat/>
    <w:rsid w:val="00A52C61"/>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7">
    <w:name w:val="heading 7"/>
    <w:basedOn w:val="Normal"/>
    <w:next w:val="Normal"/>
    <w:link w:val="Heading7Char"/>
    <w:uiPriority w:val="9"/>
    <w:semiHidden/>
    <w:unhideWhenUsed/>
    <w:qFormat/>
    <w:rsid w:val="00A52C61"/>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paragraph" w:customStyle="1" w:styleId="1hzxw">
    <w:name w:val="_1hzxw"/>
    <w:basedOn w:val="Normal"/>
    <w:rsid w:val="006406C5"/>
    <w:pPr>
      <w:spacing w:before="100" w:beforeAutospacing="1" w:after="100" w:afterAutospacing="1"/>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9718C6"/>
    <w:rPr>
      <w:sz w:val="16"/>
      <w:szCs w:val="16"/>
    </w:rPr>
  </w:style>
  <w:style w:type="paragraph" w:styleId="CommentText">
    <w:name w:val="annotation text"/>
    <w:basedOn w:val="Normal"/>
    <w:link w:val="CommentTextChar"/>
    <w:uiPriority w:val="99"/>
    <w:semiHidden/>
    <w:unhideWhenUsed/>
    <w:rsid w:val="009718C6"/>
    <w:rPr>
      <w:sz w:val="20"/>
      <w:szCs w:val="20"/>
    </w:rPr>
  </w:style>
  <w:style w:type="character" w:customStyle="1" w:styleId="CommentTextChar">
    <w:name w:val="Comment Text Char"/>
    <w:basedOn w:val="DefaultParagraphFont"/>
    <w:link w:val="CommentText"/>
    <w:uiPriority w:val="99"/>
    <w:semiHidden/>
    <w:rsid w:val="009718C6"/>
    <w:rPr>
      <w:sz w:val="20"/>
      <w:szCs w:val="20"/>
    </w:rPr>
  </w:style>
  <w:style w:type="paragraph" w:styleId="CommentSubject">
    <w:name w:val="annotation subject"/>
    <w:basedOn w:val="CommentText"/>
    <w:next w:val="CommentText"/>
    <w:link w:val="CommentSubjectChar"/>
    <w:uiPriority w:val="99"/>
    <w:semiHidden/>
    <w:unhideWhenUsed/>
    <w:rsid w:val="009718C6"/>
    <w:rPr>
      <w:b/>
      <w:bCs/>
    </w:rPr>
  </w:style>
  <w:style w:type="character" w:customStyle="1" w:styleId="CommentSubjectChar">
    <w:name w:val="Comment Subject Char"/>
    <w:basedOn w:val="CommentTextChar"/>
    <w:link w:val="CommentSubject"/>
    <w:uiPriority w:val="99"/>
    <w:semiHidden/>
    <w:rsid w:val="009718C6"/>
    <w:rPr>
      <w:b/>
      <w:bCs/>
      <w:sz w:val="20"/>
      <w:szCs w:val="20"/>
    </w:rPr>
  </w:style>
  <w:style w:type="paragraph" w:styleId="BodyText">
    <w:name w:val="Body Text"/>
    <w:basedOn w:val="Normal"/>
    <w:link w:val="BodyTextChar"/>
    <w:uiPriority w:val="1"/>
    <w:qFormat/>
    <w:rsid w:val="006E5B2A"/>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6E5B2A"/>
    <w:rPr>
      <w:rFonts w:ascii="Times New Roman" w:hAnsi="Times New Roman" w:cs="Times New Roman"/>
      <w:sz w:val="20"/>
      <w:szCs w:val="20"/>
    </w:rPr>
  </w:style>
  <w:style w:type="character" w:customStyle="1" w:styleId="Heading2Char">
    <w:name w:val="Heading 2 Char"/>
    <w:basedOn w:val="DefaultParagraphFont"/>
    <w:link w:val="Heading2"/>
    <w:uiPriority w:val="9"/>
    <w:semiHidden/>
    <w:rsid w:val="00A52C61"/>
    <w:rPr>
      <w:rFonts w:asciiTheme="majorHAnsi" w:eastAsiaTheme="majorEastAsia" w:hAnsiTheme="majorHAnsi" w:cstheme="majorBidi"/>
      <w:color w:val="2E74B5" w:themeColor="accent1" w:themeShade="BF"/>
      <w:sz w:val="26"/>
      <w:szCs w:val="26"/>
    </w:rPr>
  </w:style>
  <w:style w:type="character" w:customStyle="1" w:styleId="Heading7Char">
    <w:name w:val="Heading 7 Char"/>
    <w:basedOn w:val="DefaultParagraphFont"/>
    <w:link w:val="Heading7"/>
    <w:uiPriority w:val="9"/>
    <w:semiHidden/>
    <w:rsid w:val="00A52C61"/>
    <w:rPr>
      <w:rFonts w:asciiTheme="majorHAnsi" w:eastAsiaTheme="majorEastAsia" w:hAnsiTheme="majorHAnsi" w:cstheme="majorBidi"/>
      <w:i/>
      <w:iCs/>
      <w:color w:val="1F4D78"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797651502">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193373875">
      <w:bodyDiv w:val="1"/>
      <w:marLeft w:val="0"/>
      <w:marRight w:val="0"/>
      <w:marTop w:val="0"/>
      <w:marBottom w:val="0"/>
      <w:divBdr>
        <w:top w:val="none" w:sz="0" w:space="0" w:color="auto"/>
        <w:left w:val="none" w:sz="0" w:space="0" w:color="auto"/>
        <w:bottom w:val="none" w:sz="0" w:space="0" w:color="auto"/>
        <w:right w:val="none" w:sz="0" w:space="0" w:color="auto"/>
      </w:divBdr>
    </w:div>
    <w:div w:id="159281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574</Words>
  <Characters>2934</Characters>
  <Application>Microsoft Office Word</Application>
  <DocSecurity>0</DocSecurity>
  <Lines>42</Lines>
  <Paragraphs>16</Paragraphs>
  <ScaleCrop>false</ScaleCrop>
  <HeadingPairs>
    <vt:vector size="2" baseType="variant">
      <vt:variant>
        <vt:lpstr>Title</vt:lpstr>
      </vt:variant>
      <vt:variant>
        <vt:i4>1</vt:i4>
      </vt:variant>
    </vt:vector>
  </HeadingPairs>
  <TitlesOfParts>
    <vt:vector size="1" baseType="lpstr">
      <vt:lpstr>Media Release: New family law Critical Incident List to help make arrangements for children during a time of crisis</vt:lpstr>
    </vt:vector>
  </TitlesOfParts>
  <Company>Federal Court of Australia</Company>
  <LinksUpToDate>false</LinksUpToDate>
  <CharactersWithSpaces>3492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family law Critical Incident List to help make arrangements for children during a time of crisis</dc:title>
  <dc:subject/>
  <dc:creator>Federal Circuit and Family Court of Australia</dc:creator>
  <cp:keywords/>
  <dc:description/>
  <cp:lastModifiedBy>Christine Tuff</cp:lastModifiedBy>
  <cp:revision>2</cp:revision>
  <cp:lastPrinted>2021-11-24T04:35:00Z</cp:lastPrinted>
  <dcterms:created xsi:type="dcterms:W3CDTF">2022-06-02T23:04:00Z</dcterms:created>
  <dcterms:modified xsi:type="dcterms:W3CDTF">2022-06-02T23:04:00Z</dcterms:modified>
</cp:coreProperties>
</file>