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76DDAF" w14:textId="14EAA04B" w:rsidR="00CA51E6" w:rsidRPr="00E72C3F" w:rsidRDefault="004436DA" w:rsidP="00E72C3F">
      <w:pPr>
        <w:pStyle w:val="Heading3"/>
        <w:jc w:val="right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76770D0D" wp14:editId="4548DF0E">
            <wp:simplePos x="0" y="0"/>
            <wp:positionH relativeFrom="column">
              <wp:posOffset>-306374</wp:posOffset>
            </wp:positionH>
            <wp:positionV relativeFrom="paragraph">
              <wp:posOffset>-441979</wp:posOffset>
            </wp:positionV>
            <wp:extent cx="4319016" cy="579120"/>
            <wp:effectExtent l="0" t="0" r="571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CFCOA_logo_Long_Bl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016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1E6" w:rsidRPr="00E72C3F">
        <w:rPr>
          <w:rStyle w:val="normaltextrun"/>
        </w:rPr>
        <w:t>FACT SHEET</w:t>
      </w:r>
      <w:r w:rsidR="00CA51E6" w:rsidRPr="00E72C3F">
        <w:rPr>
          <w:rStyle w:val="eop"/>
        </w:rPr>
        <w:t> </w:t>
      </w:r>
    </w:p>
    <w:p w14:paraId="164FAF2F" w14:textId="77777777" w:rsidR="00C1475B" w:rsidRPr="00342F47" w:rsidRDefault="00C1475B" w:rsidP="00E72C3F">
      <w:pPr>
        <w:pStyle w:val="Heading1"/>
      </w:pPr>
      <w:r w:rsidRPr="00342F47">
        <w:rPr>
          <w:rStyle w:val="normaltextrun"/>
        </w:rPr>
        <w:t>Expert witnesses in family law</w:t>
      </w:r>
      <w:r w:rsidRPr="00342F47">
        <w:rPr>
          <w:rStyle w:val="eop"/>
        </w:rPr>
        <w:t> </w:t>
      </w:r>
    </w:p>
    <w:p w14:paraId="0A0062F0" w14:textId="65743678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This fact sheet provides information about the different types of experts that provide evidence in family law matters before the </w:t>
      </w:r>
      <w:r w:rsidR="00C65E6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Federal Circuit and Family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Court of Australia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(the Court)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BE041E4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6"/>
          <w:szCs w:val="26"/>
          <w:lang w:val="en-GB"/>
        </w:rPr>
      </w:pPr>
    </w:p>
    <w:p w14:paraId="754CA436" w14:textId="49A33D1F" w:rsidR="00C1475B" w:rsidRPr="00E72C3F" w:rsidRDefault="00C1475B" w:rsidP="00E72C3F">
      <w:pPr>
        <w:pStyle w:val="Heading2"/>
      </w:pPr>
      <w:r w:rsidRPr="00E72C3F">
        <w:rPr>
          <w:rStyle w:val="normaltextrun"/>
        </w:rPr>
        <w:t xml:space="preserve">Family </w:t>
      </w:r>
      <w:r w:rsidR="00342F47" w:rsidRPr="00E72C3F">
        <w:rPr>
          <w:rStyle w:val="normaltextrun"/>
        </w:rPr>
        <w:t>c</w:t>
      </w:r>
      <w:r w:rsidRPr="00E72C3F">
        <w:rPr>
          <w:rStyle w:val="normaltextrun"/>
        </w:rPr>
        <w:t>onsultant</w:t>
      </w:r>
      <w:r w:rsidRPr="00E72C3F">
        <w:rPr>
          <w:rStyle w:val="eop"/>
        </w:rPr>
        <w:t> </w:t>
      </w:r>
    </w:p>
    <w:p w14:paraId="1844AA66" w14:textId="7EBDBAA0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The role of a family consultant is defined under sections 11A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–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11F of the </w:t>
      </w:r>
      <w:r>
        <w:rPr>
          <w:rStyle w:val="normaltextrun"/>
          <w:rFonts w:ascii="Calibri" w:hAnsi="Calibri" w:cs="Calibri"/>
          <w:i/>
          <w:iCs/>
          <w:color w:val="000000"/>
          <w:sz w:val="22"/>
          <w:szCs w:val="22"/>
          <w:lang w:val="en-GB"/>
        </w:rPr>
        <w:t>Family Law Act 1975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 </w:t>
      </w:r>
      <w:proofErr w:type="spellStart"/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Cth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 These functions include assisting and advising the Court, and parties, in relation to court proceedings. This is generally done by way of conducting an assessment, and providing a written document to the Court that takes the form of expert evidence in the proceedings. As such, a family consultant is considered to be an expert witness.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D49CB6C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330DA2D6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The work of family consultant</w:t>
      </w:r>
      <w:r w:rsidR="00867D82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 is organised through the Court Children’s Service section (CCS) and is fully funded by the Court.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D2CB2DA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26D61722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Family consultants are either: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E424731" w14:textId="77777777" w:rsidR="00C1475B" w:rsidRDefault="00C1475B" w:rsidP="00C1475B">
      <w:pPr>
        <w:pStyle w:val="paragraph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360" w:hanging="218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employees of the Court who are appointed under the </w:t>
      </w:r>
      <w:r w:rsidRPr="00773ECE">
        <w:rPr>
          <w:rStyle w:val="normaltextrun"/>
          <w:rFonts w:ascii="Calibri" w:hAnsi="Calibri" w:cs="Calibri"/>
          <w:i/>
          <w:iCs/>
          <w:color w:val="000000"/>
          <w:sz w:val="22"/>
          <w:szCs w:val="22"/>
          <w:lang w:val="en-GB"/>
        </w:rPr>
        <w:t>Federal Court of Australia Act 1976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, or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FB22CD1" w14:textId="77777777" w:rsidR="00C1475B" w:rsidRDefault="00C1475B" w:rsidP="00C1475B">
      <w:pPr>
        <w:pStyle w:val="paragraph"/>
        <w:numPr>
          <w:ilvl w:val="0"/>
          <w:numId w:val="6"/>
        </w:numPr>
        <w:shd w:val="clear" w:color="auto" w:fill="FFFFFF"/>
        <w:tabs>
          <w:tab w:val="clear" w:pos="720"/>
          <w:tab w:val="num" w:pos="426"/>
        </w:tabs>
        <w:spacing w:before="0" w:beforeAutospacing="0" w:after="0" w:afterAutospacing="0"/>
        <w:ind w:left="360" w:hanging="218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private practitioners who have applied and been deemed suitable by the Court Children’s Service to undertake the duties of a family consultant, and are appointed pursuant to Regulation 7 of the </w:t>
      </w:r>
      <w:r w:rsidRPr="00867D82">
        <w:rPr>
          <w:rStyle w:val="normaltextrun"/>
          <w:rFonts w:ascii="Calibri" w:hAnsi="Calibri" w:cs="Calibri"/>
          <w:i/>
          <w:color w:val="000000"/>
          <w:sz w:val="22"/>
          <w:szCs w:val="22"/>
          <w:lang w:val="en-GB"/>
        </w:rPr>
        <w:t>Family Law Regulations 1984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16E3E3F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7D56B513" w14:textId="13039393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Family consultants who are employed by the Court are referred to as </w:t>
      </w:r>
      <w:r w:rsidR="00342F47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c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 xml:space="preserve">ourt </w:t>
      </w:r>
      <w:r w:rsidR="00342F47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c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e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xperts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. Court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xperts undertake the role of a family consultant </w:t>
      </w:r>
      <w:r w:rsidR="00C65E6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and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 w:rsidR="00C65E6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of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a family counsellor (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as defined under section 10B</w:t>
      </w:r>
      <w:r w:rsidR="00205AE3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of the Family Law Act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). 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Court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xperts may only undertake one of 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these roles in a given matter. 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When undertaking the role of a family counsellor, the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xpert is not an </w:t>
      </w:r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expert</w:t>
      </w:r>
      <w:proofErr w:type="gramEnd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witness as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information shared with a family counsellor is confidential (section 10D</w:t>
      </w:r>
      <w:r w:rsidR="00241A85">
        <w:rPr>
          <w:rStyle w:val="eop"/>
          <w:rFonts w:ascii="Calibri" w:hAnsi="Calibri" w:cs="Calibri"/>
          <w:color w:val="000000"/>
          <w:sz w:val="22"/>
          <w:szCs w:val="22"/>
        </w:rPr>
        <w:t xml:space="preserve"> of the Family Law Act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).</w:t>
      </w:r>
    </w:p>
    <w:p w14:paraId="026D90F8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405F2ADF" w14:textId="3D98D60E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Family consultants appointed under the regulations are referred to as 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 xml:space="preserve">Regulation 7 </w:t>
      </w:r>
      <w:r w:rsidR="00342F47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f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 xml:space="preserve">amily </w:t>
      </w:r>
      <w:r w:rsidR="00342F47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c</w:t>
      </w:r>
      <w:r w:rsidRPr="00867D82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onsultants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 and are paid by the Court on a fee-for-service basis. These Regulation 7 family consultants may also prepare private reports or reports for Legal Aid. When they do so they are not performing the role of a family consultant and do not come under the governance of the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CCS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</w:p>
    <w:p w14:paraId="1DFC905F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n-GB"/>
        </w:rPr>
      </w:pPr>
    </w:p>
    <w:p w14:paraId="7D3B5171" w14:textId="77777777" w:rsidR="00C1475B" w:rsidRPr="00342F47" w:rsidRDefault="00C1475B" w:rsidP="00342F47">
      <w:pPr>
        <w:pStyle w:val="Heading2"/>
      </w:pPr>
      <w:r w:rsidRPr="00342F47">
        <w:rPr>
          <w:rStyle w:val="normaltextrun"/>
        </w:rPr>
        <w:t>Selection criteria and performance</w:t>
      </w:r>
      <w:r w:rsidRPr="00342F47">
        <w:rPr>
          <w:rStyle w:val="eop"/>
        </w:rPr>
        <w:t> </w:t>
      </w:r>
    </w:p>
    <w:p w14:paraId="67B06072" w14:textId="13B68D36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All 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xperts and Regulation 7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amily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onsultants must be </w:t>
      </w:r>
      <w:r w:rsidR="00867D82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fully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registered psychologists, or social workers eligible for membership of Australian Association of Social Workers, and they must have a minimum of five years’ </w:t>
      </w:r>
      <w:r w:rsidR="00867D82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relevant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experience working with children and families.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470F41D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2C5202A9" w14:textId="03E6AE6D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Court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xperts and Regulation 7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amily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onsultants work within an extensive clinical governance framework, are subject to quality assurance mechanisms, and are required to participate in regular professional development and supervision.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13CC643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n-GB"/>
        </w:rPr>
      </w:pPr>
    </w:p>
    <w:p w14:paraId="738EF35F" w14:textId="77777777" w:rsidR="00C1475B" w:rsidRPr="00D81FC6" w:rsidRDefault="00C1475B" w:rsidP="00D81FC6">
      <w:pPr>
        <w:pStyle w:val="Heading2"/>
      </w:pPr>
      <w:r w:rsidRPr="00D81FC6">
        <w:rPr>
          <w:rStyle w:val="normaltextrun"/>
        </w:rPr>
        <w:t>The role of a </w:t>
      </w:r>
      <w:r w:rsidR="00867D82" w:rsidRPr="00D81FC6">
        <w:rPr>
          <w:rStyle w:val="normaltextrun"/>
        </w:rPr>
        <w:t>family consultant</w:t>
      </w:r>
      <w:r w:rsidRPr="00D81FC6">
        <w:rPr>
          <w:rStyle w:val="eop"/>
        </w:rPr>
        <w:t> </w:t>
      </w:r>
    </w:p>
    <w:p w14:paraId="4E1B6717" w14:textId="082AE521" w:rsidR="00C1475B" w:rsidRDefault="00867D82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Court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xperts 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and Regulation 7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amily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onsultants 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conduct assessments and prepare reports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pursuant to an order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of the Court 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made under section 62G</w:t>
      </w:r>
      <w:r w:rsidR="00241A85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of the Family Law Act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. These may be preliminary assessments prepared early in proceedings (undertaken by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ourt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hild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xperts only) or assessments ordered in preparation for a final hearing.</w:t>
      </w:r>
      <w:r w:rsidR="00FE700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 A comprehensive assessment undertaken by a family consultant for the purpose of being expert evidence for trial is referred to as a Family Report.</w:t>
      </w:r>
      <w:r w:rsidR="008C5D62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0C4EC6A2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6"/>
          <w:szCs w:val="26"/>
          <w:lang w:val="en-GB"/>
        </w:rPr>
      </w:pPr>
    </w:p>
    <w:p w14:paraId="4526F032" w14:textId="77777777" w:rsidR="000A09AD" w:rsidRDefault="000A09AD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6"/>
          <w:szCs w:val="26"/>
          <w:lang w:val="en-GB"/>
        </w:rPr>
      </w:pPr>
    </w:p>
    <w:p w14:paraId="5CFA4A88" w14:textId="77777777" w:rsidR="00C1475B" w:rsidRPr="00D81FC6" w:rsidRDefault="00C1475B" w:rsidP="00D81FC6">
      <w:pPr>
        <w:pStyle w:val="Heading2"/>
      </w:pPr>
      <w:r w:rsidRPr="00D81FC6">
        <w:rPr>
          <w:rStyle w:val="normaltextrun"/>
        </w:rPr>
        <w:lastRenderedPageBreak/>
        <w:t>Other experts</w:t>
      </w:r>
      <w:r w:rsidRPr="00D81FC6">
        <w:rPr>
          <w:rStyle w:val="eop"/>
        </w:rPr>
        <w:t> </w:t>
      </w:r>
    </w:p>
    <w:p w14:paraId="090A3407" w14:textId="77777777" w:rsidR="00C1475B" w:rsidRDefault="00FE7008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Other types of e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xpert witnesses in family law proceedings include the following:</w:t>
      </w:r>
      <w:r w:rsidR="00C1475B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77AA43E" w14:textId="77777777" w:rsidR="00C1475B" w:rsidRDefault="00C1475B" w:rsidP="00C1475B">
      <w:pPr>
        <w:pStyle w:val="paragraph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psychologists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6FBC519" w14:textId="77777777" w:rsidR="00C1475B" w:rsidRDefault="00C1475B" w:rsidP="00C1475B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social workers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3C54378" w14:textId="77777777" w:rsidR="00C1475B" w:rsidRDefault="00C1475B" w:rsidP="00C1475B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child </w:t>
      </w:r>
      <w:r w:rsidR="00FE700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and family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psychiatrists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1BA484F" w14:textId="77777777" w:rsidR="00C1475B" w:rsidRDefault="00C1475B" w:rsidP="00C1475B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medical specialists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274BFE4" w14:textId="77777777" w:rsidR="00C1475B" w:rsidRDefault="00C1475B" w:rsidP="00C1475B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property 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valuers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, and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3F2425A" w14:textId="77777777" w:rsidR="00C1475B" w:rsidRDefault="00C1475B" w:rsidP="00C1475B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financial</w:t>
      </w:r>
      <w:proofErr w:type="gramEnd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 consultants.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FE85D34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5D5EC4FA" w14:textId="6F6D3EEE" w:rsidR="00C1475B" w:rsidRPr="008E36E4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These types of experts may 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prepare a report pursuant to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an order of the Court, </w:t>
      </w:r>
      <w:r w:rsidR="00FE700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usually as a result of 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the expert </w:t>
      </w:r>
      <w:r w:rsidR="00FE700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having been nominated by one or both parties (or their legal representatives). In some matters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,</w:t>
      </w:r>
      <w:r w:rsidR="00FE700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the parties 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agree to engage an expert to prepare a report without an order 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of the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ourt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. Reports prepared by these types of experts are generally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funded by </w:t>
      </w:r>
      <w:r w:rsidR="00C65E68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one or both of 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the parties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7B78928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3594A725" w14:textId="1EE9DC5C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If a private professional is 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preparing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a report for the Court on behalf of both parties, that profes</w:t>
      </w:r>
      <w:r w:rsidR="008E36E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sional may be referred to as a </w:t>
      </w:r>
      <w:r w:rsidRPr="00C65E68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single expert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In many matters, these privately commissioned experts are engaged to prepare a report that takes a similar form to a family report prepared by a family consultant.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  <w:r w:rsidR="000A09AD">
        <w:rPr>
          <w:rStyle w:val="eop"/>
          <w:rFonts w:ascii="Calibri" w:hAnsi="Calibri" w:cs="Calibri"/>
          <w:color w:val="000000"/>
          <w:sz w:val="22"/>
          <w:szCs w:val="22"/>
        </w:rPr>
        <w:t xml:space="preserve">These are commonly referred to as </w:t>
      </w:r>
      <w:r w:rsidR="000A09AD" w:rsidRPr="00C65E68">
        <w:rPr>
          <w:rStyle w:val="eop"/>
          <w:rFonts w:ascii="Calibri" w:hAnsi="Calibri" w:cs="Calibri"/>
          <w:b/>
          <w:color w:val="000000"/>
          <w:sz w:val="22"/>
          <w:szCs w:val="22"/>
        </w:rPr>
        <w:t>private family reports</w:t>
      </w:r>
      <w:r w:rsidR="000A09AD">
        <w:rPr>
          <w:rStyle w:val="eop"/>
          <w:rFonts w:ascii="Calibri" w:hAnsi="Calibri" w:cs="Calibri"/>
          <w:color w:val="000000"/>
          <w:sz w:val="22"/>
          <w:szCs w:val="22"/>
        </w:rPr>
        <w:t>.</w:t>
      </w:r>
    </w:p>
    <w:p w14:paraId="22DCF5AF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11C9F9BE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In some states, the Legal Aid Commission may engage and fund an expert report writer following the appointment of an Independent Children’s Lawyer.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C7EA639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71BB9506" w14:textId="2B5D5CFA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Expert evidence may also be submitted to the Court by a 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professional who is/was providing treatment to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one of the parties or children. 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These are commonly referred to as </w:t>
      </w:r>
      <w:r w:rsidR="000A09AD" w:rsidRPr="00C65E68">
        <w:rPr>
          <w:rStyle w:val="normaltextrun"/>
          <w:rFonts w:ascii="Calibri" w:hAnsi="Calibri" w:cs="Calibri"/>
          <w:b/>
          <w:color w:val="000000"/>
          <w:sz w:val="22"/>
          <w:szCs w:val="22"/>
          <w:lang w:val="en-GB"/>
        </w:rPr>
        <w:t>treating practitioner reports</w:t>
      </w:r>
      <w:r w:rsidR="000A09A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</w:p>
    <w:p w14:paraId="4450E97C" w14:textId="77777777" w:rsidR="000A09AD" w:rsidRDefault="000A09AD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6F1A1FDF" w14:textId="5B09BF51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The </w:t>
      </w:r>
      <w:r w:rsidRPr="00342F47">
        <w:rPr>
          <w:rStyle w:val="normaltextrun"/>
          <w:rFonts w:ascii="Calibri" w:hAnsi="Calibri" w:cs="Calibri"/>
          <w:i/>
          <w:color w:val="000000"/>
          <w:sz w:val="22"/>
          <w:szCs w:val="22"/>
          <w:lang w:val="en-GB"/>
        </w:rPr>
        <w:t>Australian Standards of Practice for Family Assessments and Reporting</w:t>
      </w:r>
      <w:r w:rsidR="00F7262D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provides guidance to expert report writers, decision makers, agencies and legal professionals regarding the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ourt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’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s expectations in relation to family assessments and report writing. The </w:t>
      </w:r>
      <w:r w:rsidR="00342F47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CCS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’s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clinical governance framework is aligned with these Australian Standards.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845A872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n-GB"/>
        </w:rPr>
      </w:pPr>
    </w:p>
    <w:p w14:paraId="035BEFC4" w14:textId="77777777" w:rsidR="00C1475B" w:rsidRPr="00342F47" w:rsidRDefault="00C65E68" w:rsidP="00342F47">
      <w:pPr>
        <w:pStyle w:val="Heading2"/>
      </w:pPr>
      <w:r w:rsidRPr="00342F47">
        <w:rPr>
          <w:rStyle w:val="normaltextrun"/>
        </w:rPr>
        <w:t>Challenging e</w:t>
      </w:r>
      <w:r w:rsidR="00C1475B" w:rsidRPr="00342F47">
        <w:rPr>
          <w:rStyle w:val="normaltextrun"/>
        </w:rPr>
        <w:t>xpert evidence</w:t>
      </w:r>
      <w:r w:rsidR="00C1475B" w:rsidRPr="00342F47">
        <w:rPr>
          <w:rStyle w:val="eop"/>
        </w:rPr>
        <w:t> </w:t>
      </w:r>
    </w:p>
    <w:p w14:paraId="7909D737" w14:textId="3DBCDB8B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As with all evidence, the evidence of experts (including family consultants) may or may not be relied upon in the Court’s determinative process. The appropriate means of challenging </w:t>
      </w:r>
      <w:r w:rsidR="00134FB4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any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expert evidence is through the Court process, e.g. by cross-examination.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9924ED9" w14:textId="7777777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n-GB"/>
        </w:rPr>
      </w:pPr>
    </w:p>
    <w:p w14:paraId="4CE783AB" w14:textId="77777777" w:rsidR="00C1475B" w:rsidRPr="00342F47" w:rsidRDefault="00C1475B" w:rsidP="00342F47">
      <w:pPr>
        <w:pStyle w:val="Heading2"/>
      </w:pPr>
      <w:r w:rsidRPr="00342F47">
        <w:rPr>
          <w:rStyle w:val="normaltextrun"/>
        </w:rPr>
        <w:t>More information</w:t>
      </w:r>
      <w:r w:rsidRPr="00342F47">
        <w:rPr>
          <w:rStyle w:val="eop"/>
        </w:rPr>
        <w:t> </w:t>
      </w:r>
    </w:p>
    <w:p w14:paraId="68B310BC" w14:textId="55DC2A9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For more information see the following publications available on the </w:t>
      </w:r>
      <w:hyperlink r:id="rId8" w:history="1">
        <w:r w:rsidRPr="00D81FC6">
          <w:rPr>
            <w:rStyle w:val="Hyperlink"/>
            <w:rFonts w:ascii="Calibri" w:hAnsi="Calibri" w:cs="Calibri"/>
            <w:sz w:val="22"/>
            <w:szCs w:val="22"/>
            <w:lang w:val="en-GB"/>
          </w:rPr>
          <w:t>Court</w:t>
        </w:r>
        <w:r w:rsidR="00342F47" w:rsidRPr="00D81FC6">
          <w:rPr>
            <w:rStyle w:val="Hyperlink"/>
            <w:rFonts w:ascii="Calibri" w:hAnsi="Calibri" w:cs="Calibri"/>
            <w:sz w:val="22"/>
            <w:szCs w:val="22"/>
            <w:lang w:val="en-GB"/>
          </w:rPr>
          <w:t>’s</w:t>
        </w:r>
        <w:r w:rsidRPr="00D81FC6">
          <w:rPr>
            <w:rStyle w:val="Hyperlink"/>
            <w:rFonts w:ascii="Calibri" w:hAnsi="Calibri" w:cs="Calibri"/>
            <w:sz w:val="22"/>
            <w:szCs w:val="22"/>
            <w:lang w:val="en-GB"/>
          </w:rPr>
          <w:t> website</w:t>
        </w:r>
      </w:hyperlink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895DF6E" w14:textId="7A5ACBD4" w:rsidR="00C1475B" w:rsidRPr="00D81FC6" w:rsidRDefault="000A09AD" w:rsidP="00C1475B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D81FC6">
        <w:rPr>
          <w:rFonts w:asciiTheme="minorHAnsi" w:hAnsiTheme="minorHAnsi" w:cstheme="minorHAnsi"/>
          <w:color w:val="000000"/>
          <w:sz w:val="22"/>
          <w:szCs w:val="22"/>
        </w:rPr>
        <w:t>Family Consultant FAQs</w:t>
      </w:r>
    </w:p>
    <w:p w14:paraId="68A93E59" w14:textId="084A7037" w:rsidR="00C1475B" w:rsidRPr="00D81FC6" w:rsidRDefault="000A09AD" w:rsidP="00C1475B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D81FC6">
        <w:rPr>
          <w:rFonts w:asciiTheme="minorHAnsi" w:hAnsiTheme="minorHAnsi" w:cstheme="minorHAnsi"/>
          <w:color w:val="000000"/>
          <w:sz w:val="22"/>
          <w:szCs w:val="22"/>
        </w:rPr>
        <w:t>Court Child Expert FAQs</w:t>
      </w:r>
      <w:r w:rsidR="00C1475B" w:rsidRPr="00D81FC6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FC9CFCC" w14:textId="02E6EA97" w:rsidR="00C1475B" w:rsidRPr="00D81FC6" w:rsidRDefault="000A09AD" w:rsidP="00C1475B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D81FC6">
        <w:rPr>
          <w:rFonts w:asciiTheme="minorHAnsi" w:hAnsiTheme="minorHAnsi" w:cstheme="minorHAnsi"/>
          <w:color w:val="000000"/>
          <w:sz w:val="22"/>
          <w:szCs w:val="22"/>
        </w:rPr>
        <w:t>Family Reports FAQs</w:t>
      </w:r>
    </w:p>
    <w:p w14:paraId="3C359B6D" w14:textId="503ECE21" w:rsidR="000A09AD" w:rsidRDefault="000A09AD" w:rsidP="00C1475B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D81FC6">
        <w:rPr>
          <w:rFonts w:asciiTheme="minorHAnsi" w:hAnsiTheme="minorHAnsi" w:cstheme="minorHAnsi"/>
          <w:color w:val="000000"/>
          <w:sz w:val="22"/>
          <w:szCs w:val="22"/>
        </w:rPr>
        <w:t>Child Impact Reports FAQs</w:t>
      </w:r>
      <w:bookmarkStart w:id="0" w:name="_GoBack"/>
      <w:bookmarkEnd w:id="0"/>
    </w:p>
    <w:p w14:paraId="5CE5F68E" w14:textId="3DE212A4" w:rsidR="008E36E4" w:rsidRDefault="00773ECE" w:rsidP="00241A85">
      <w:pPr>
        <w:pStyle w:val="paragraph"/>
        <w:numPr>
          <w:ilvl w:val="0"/>
          <w:numId w:val="9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  <w:r w:rsidRPr="00773ECE">
        <w:rPr>
          <w:rFonts w:asciiTheme="minorHAnsi" w:hAnsiTheme="minorHAnsi" w:cstheme="minorHAnsi"/>
          <w:color w:val="000000"/>
          <w:sz w:val="22"/>
          <w:szCs w:val="22"/>
        </w:rPr>
        <w:t>Reports prepared by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773ECE">
        <w:rPr>
          <w:rFonts w:asciiTheme="minorHAnsi" w:hAnsiTheme="minorHAnsi" w:cstheme="minorHAnsi"/>
          <w:color w:val="000000"/>
          <w:sz w:val="22"/>
          <w:szCs w:val="22"/>
        </w:rPr>
        <w:t>Court Children’s Service</w:t>
      </w:r>
      <w:r w:rsidR="00095BB8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Pr="00773ECE" w:rsidDel="00773EC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14:paraId="1F5C5BA2" w14:textId="77777777" w:rsidR="00773ECE" w:rsidRDefault="00773ECE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</w:pPr>
    </w:p>
    <w:p w14:paraId="49A74FCE" w14:textId="3FE06A57" w:rsidR="00C1475B" w:rsidRDefault="00C1475B" w:rsidP="00C1475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For more information about the Court: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2AD74F8" w14:textId="65F02957" w:rsidR="00C1475B" w:rsidRDefault="00D81FC6" w:rsidP="00C1475B">
      <w:pPr>
        <w:pStyle w:val="paragraph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g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o to </w:t>
      </w:r>
      <w:r w:rsidR="00C1475B">
        <w:rPr>
          <w:rStyle w:val="normaltextrun"/>
          <w:rFonts w:ascii="Calibri" w:hAnsi="Calibri" w:cs="Calibri"/>
          <w:b/>
          <w:bCs/>
          <w:color w:val="000000"/>
          <w:sz w:val="22"/>
          <w:szCs w:val="22"/>
          <w:lang w:val="en-GB"/>
        </w:rPr>
        <w:t>www.fcfcoa.gov.au</w:t>
      </w:r>
      <w:r w:rsidR="00C1475B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36D0D7C" w14:textId="63217CC5" w:rsidR="00C1475B" w:rsidRDefault="00D81FC6" w:rsidP="00C1475B">
      <w:pPr>
        <w:pStyle w:val="paragraph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l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ive chat on the website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, or</w:t>
      </w:r>
    </w:p>
    <w:p w14:paraId="443D571F" w14:textId="49408036" w:rsidR="0080245B" w:rsidRPr="009E0532" w:rsidRDefault="00D81FC6" w:rsidP="00D81FC6">
      <w:pPr>
        <w:pStyle w:val="paragraph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360" w:firstLine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c</w:t>
      </w:r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all</w:t>
      </w:r>
      <w:proofErr w:type="gramEnd"/>
      <w:r w:rsidR="00C1475B"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 xml:space="preserve"> 1300 352 00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GB"/>
        </w:rPr>
        <w:t>.</w:t>
      </w:r>
    </w:p>
    <w:p w14:paraId="3B73D448" w14:textId="5562D2C7" w:rsidR="00245F32" w:rsidRPr="00004AD3" w:rsidRDefault="00245F32" w:rsidP="00004AD3">
      <w:pPr>
        <w:pStyle w:val="Footer"/>
        <w:spacing w:before="360"/>
        <w:jc w:val="right"/>
        <w:rPr>
          <w:color w:val="0563C1" w:themeColor="hyperlink"/>
          <w:sz w:val="18"/>
          <w:szCs w:val="18"/>
          <w:u w:val="single"/>
        </w:rPr>
      </w:pPr>
      <w:r>
        <w:rPr>
          <w:sz w:val="18"/>
          <w:szCs w:val="18"/>
        </w:rPr>
        <w:t xml:space="preserve">FEDERAL CIRCUIT AND </w:t>
      </w:r>
      <w:r w:rsidRPr="00641071">
        <w:rPr>
          <w:sz w:val="18"/>
          <w:szCs w:val="18"/>
        </w:rPr>
        <w:t>FAMILY COURT OF AUSTRALIA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hyperlink r:id="rId9" w:history="1">
        <w:r w:rsidRPr="00695F7F">
          <w:rPr>
            <w:rStyle w:val="Hyperlink"/>
            <w:sz w:val="18"/>
            <w:szCs w:val="18"/>
          </w:rPr>
          <w:t>www.fcfcoa.gov.au</w:t>
        </w:r>
      </w:hyperlink>
      <w:r>
        <w:rPr>
          <w:rStyle w:val="Hyperlink"/>
          <w:sz w:val="18"/>
          <w:szCs w:val="18"/>
        </w:rPr>
        <w:t xml:space="preserve"> </w:t>
      </w:r>
      <w:r>
        <w:rPr>
          <w:rStyle w:val="Hyperlink"/>
          <w:sz w:val="18"/>
          <w:szCs w:val="18"/>
        </w:rPr>
        <w:br/>
      </w:r>
      <w:r w:rsidR="004728E2" w:rsidRPr="00E72C3F">
        <w:rPr>
          <w:rStyle w:val="Hyperlink"/>
          <w:color w:val="auto"/>
          <w:sz w:val="18"/>
          <w:szCs w:val="18"/>
          <w:u w:val="none"/>
        </w:rPr>
        <w:t>0921V</w:t>
      </w:r>
      <w:r w:rsidR="004728E2">
        <w:rPr>
          <w:rStyle w:val="Hyperlink"/>
          <w:color w:val="auto"/>
          <w:sz w:val="18"/>
          <w:szCs w:val="18"/>
          <w:u w:val="none"/>
        </w:rPr>
        <w:t>2</w:t>
      </w:r>
    </w:p>
    <w:sectPr w:rsidR="00245F32" w:rsidRPr="00004AD3" w:rsidSect="00245F32">
      <w:headerReference w:type="default" r:id="rId10"/>
      <w:footerReference w:type="default" r:id="rId11"/>
      <w:headerReference w:type="first" r:id="rId12"/>
      <w:pgSz w:w="11906" w:h="16838"/>
      <w:pgMar w:top="1440" w:right="1440" w:bottom="28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A06094" w14:textId="77777777" w:rsidR="001F039B" w:rsidRDefault="001F039B" w:rsidP="00774F0E">
      <w:pPr>
        <w:spacing w:after="0" w:line="240" w:lineRule="auto"/>
      </w:pPr>
      <w:r>
        <w:separator/>
      </w:r>
    </w:p>
  </w:endnote>
  <w:endnote w:type="continuationSeparator" w:id="0">
    <w:p w14:paraId="1508DC15" w14:textId="77777777" w:rsidR="001F039B" w:rsidRDefault="001F039B" w:rsidP="00774F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DA790" w14:textId="3A653A32" w:rsidR="00E72C3F" w:rsidRDefault="00E72C3F">
    <w:pPr>
      <w:pStyle w:val="Footer"/>
    </w:pPr>
  </w:p>
  <w:p w14:paraId="68F386DC" w14:textId="77777777" w:rsidR="00D81FC6" w:rsidRDefault="00D81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BE1B6D" w14:textId="77777777" w:rsidR="001F039B" w:rsidRDefault="001F039B" w:rsidP="00774F0E">
      <w:pPr>
        <w:spacing w:after="0" w:line="240" w:lineRule="auto"/>
      </w:pPr>
      <w:r>
        <w:separator/>
      </w:r>
    </w:p>
  </w:footnote>
  <w:footnote w:type="continuationSeparator" w:id="0">
    <w:p w14:paraId="46F296BC" w14:textId="77777777" w:rsidR="001F039B" w:rsidRDefault="001F039B" w:rsidP="00774F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ED7F00" w14:textId="1F19A3B5" w:rsidR="00774F0E" w:rsidRDefault="00774F0E">
    <w:pPr>
      <w:pStyle w:val="Header"/>
    </w:pPr>
  </w:p>
  <w:p w14:paraId="12FBB555" w14:textId="77777777" w:rsidR="00774F0E" w:rsidRDefault="00774F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0B8609" w14:textId="22ADB9EA" w:rsidR="00D81FC6" w:rsidRDefault="00D81FC6">
    <w:pPr>
      <w:pStyle w:val="Header"/>
    </w:pPr>
  </w:p>
  <w:p w14:paraId="68B3FC51" w14:textId="77777777" w:rsidR="00D81FC6" w:rsidRDefault="00D81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81EFA"/>
    <w:multiLevelType w:val="multilevel"/>
    <w:tmpl w:val="36DAD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F16A47"/>
    <w:multiLevelType w:val="multilevel"/>
    <w:tmpl w:val="0C36D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0C3313A"/>
    <w:multiLevelType w:val="multilevel"/>
    <w:tmpl w:val="9B72F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2C2529C"/>
    <w:multiLevelType w:val="multilevel"/>
    <w:tmpl w:val="E51E3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49F55AB"/>
    <w:multiLevelType w:val="multilevel"/>
    <w:tmpl w:val="A6860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EB12744"/>
    <w:multiLevelType w:val="multilevel"/>
    <w:tmpl w:val="47FAB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8B32537"/>
    <w:multiLevelType w:val="multilevel"/>
    <w:tmpl w:val="AFC6B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CDE406B"/>
    <w:multiLevelType w:val="multilevel"/>
    <w:tmpl w:val="18222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D37282D"/>
    <w:multiLevelType w:val="multilevel"/>
    <w:tmpl w:val="FA3C9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D852BC7"/>
    <w:multiLevelType w:val="multilevel"/>
    <w:tmpl w:val="55480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7"/>
  </w:num>
  <w:num w:numId="5">
    <w:abstractNumId w:val="6"/>
  </w:num>
  <w:num w:numId="6">
    <w:abstractNumId w:val="1"/>
  </w:num>
  <w:num w:numId="7">
    <w:abstractNumId w:val="3"/>
  </w:num>
  <w:num w:numId="8">
    <w:abstractNumId w:val="4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1E6"/>
    <w:rsid w:val="00004AD3"/>
    <w:rsid w:val="00095BB8"/>
    <w:rsid w:val="000A09AD"/>
    <w:rsid w:val="00134FB4"/>
    <w:rsid w:val="00157860"/>
    <w:rsid w:val="001F039B"/>
    <w:rsid w:val="00205AE3"/>
    <w:rsid w:val="00241A85"/>
    <w:rsid w:val="00245F32"/>
    <w:rsid w:val="00304C88"/>
    <w:rsid w:val="00342F47"/>
    <w:rsid w:val="003C7F1B"/>
    <w:rsid w:val="003D656C"/>
    <w:rsid w:val="004436DA"/>
    <w:rsid w:val="00466D0F"/>
    <w:rsid w:val="004728E2"/>
    <w:rsid w:val="00676378"/>
    <w:rsid w:val="006F1D42"/>
    <w:rsid w:val="006F4AC9"/>
    <w:rsid w:val="00773ECE"/>
    <w:rsid w:val="00774F0E"/>
    <w:rsid w:val="0078204E"/>
    <w:rsid w:val="00803671"/>
    <w:rsid w:val="00867D82"/>
    <w:rsid w:val="008C5D62"/>
    <w:rsid w:val="008E36E4"/>
    <w:rsid w:val="009E0532"/>
    <w:rsid w:val="00A36B4C"/>
    <w:rsid w:val="00C1475B"/>
    <w:rsid w:val="00C206C6"/>
    <w:rsid w:val="00C65E68"/>
    <w:rsid w:val="00CA51E6"/>
    <w:rsid w:val="00D81FC6"/>
    <w:rsid w:val="00E42C3D"/>
    <w:rsid w:val="00E72C3F"/>
    <w:rsid w:val="00F7262D"/>
    <w:rsid w:val="00FC7CCF"/>
    <w:rsid w:val="00FE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952BE7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2C3F"/>
    <w:pPr>
      <w:keepNext/>
      <w:keepLines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72C3F"/>
    <w:pPr>
      <w:keepNext/>
      <w:keepLines/>
      <w:spacing w:before="40" w:after="0"/>
      <w:outlineLvl w:val="1"/>
    </w:pPr>
    <w:rPr>
      <w:rFonts w:eastAsiaTheme="majorEastAsia" w:cstheme="majorBidi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2C3F"/>
    <w:pPr>
      <w:keepNext/>
      <w:keepLines/>
      <w:spacing w:before="40" w:after="0"/>
      <w:outlineLvl w:val="2"/>
    </w:pPr>
    <w:rPr>
      <w:rFonts w:eastAsiaTheme="majorEastAsia" w:cstheme="majorBid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CA51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CA51E6"/>
  </w:style>
  <w:style w:type="character" w:customStyle="1" w:styleId="eop">
    <w:name w:val="eop"/>
    <w:basedOn w:val="DefaultParagraphFont"/>
    <w:rsid w:val="00CA51E6"/>
  </w:style>
  <w:style w:type="character" w:styleId="CommentReference">
    <w:name w:val="annotation reference"/>
    <w:basedOn w:val="DefaultParagraphFont"/>
    <w:uiPriority w:val="99"/>
    <w:semiHidden/>
    <w:unhideWhenUsed/>
    <w:rsid w:val="00C65E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5E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5E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5E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5E6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5E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E6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4F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F0E"/>
  </w:style>
  <w:style w:type="paragraph" w:styleId="Footer">
    <w:name w:val="footer"/>
    <w:basedOn w:val="Normal"/>
    <w:link w:val="FooterChar"/>
    <w:uiPriority w:val="99"/>
    <w:unhideWhenUsed/>
    <w:rsid w:val="00774F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F0E"/>
  </w:style>
  <w:style w:type="character" w:customStyle="1" w:styleId="Heading1Char">
    <w:name w:val="Heading 1 Char"/>
    <w:basedOn w:val="DefaultParagraphFont"/>
    <w:link w:val="Heading1"/>
    <w:uiPriority w:val="9"/>
    <w:rsid w:val="00E72C3F"/>
    <w:rPr>
      <w:rFonts w:eastAsiaTheme="majorEastAsia" w:cstheme="majorBidi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72C3F"/>
    <w:rPr>
      <w:rFonts w:eastAsiaTheme="majorEastAsia" w:cstheme="majorBidi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D81FC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E053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E72C3F"/>
    <w:rPr>
      <w:rFonts w:eastAsiaTheme="majorEastAsia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8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2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49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9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87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99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44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66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36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5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3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90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0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6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9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36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11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75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6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9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3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5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5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55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34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99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467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3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86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6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9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76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4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1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6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15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0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0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73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88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6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56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21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12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4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9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6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1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3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9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29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60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57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36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45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56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fcfcoa.gov.a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842</Words>
  <Characters>4805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2022-04-13T07:12:00Z</dcterms:created>
  <dcterms:modified xsi:type="dcterms:W3CDTF">2022-04-13T07:13:00Z</dcterms:modified>
</cp:coreProperties>
</file>