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DF1" w:rsidRDefault="00152DF1" w:rsidP="00D903E0">
      <w:pPr>
        <w:jc w:val="center"/>
        <w:rPr>
          <w:b/>
          <w:sz w:val="28"/>
        </w:rPr>
      </w:pPr>
    </w:p>
    <w:p w:rsidR="007A027D" w:rsidRPr="00D903E0" w:rsidRDefault="00D903E0" w:rsidP="00D903E0">
      <w:pPr>
        <w:jc w:val="center"/>
        <w:rPr>
          <w:b/>
          <w:sz w:val="28"/>
        </w:rPr>
      </w:pPr>
      <w:r w:rsidRPr="00D903E0">
        <w:rPr>
          <w:b/>
          <w:sz w:val="28"/>
        </w:rPr>
        <w:t>Statement from the Federal Circuit and Family Court of Australia (Division 1)</w:t>
      </w:r>
    </w:p>
    <w:p w:rsidR="00B43647" w:rsidRDefault="00B43647" w:rsidP="00D80829">
      <w:pPr>
        <w:rPr>
          <w:sz w:val="24"/>
        </w:rPr>
      </w:pPr>
      <w:bookmarkStart w:id="0" w:name="_GoBack"/>
      <w:r>
        <w:rPr>
          <w:sz w:val="24"/>
        </w:rPr>
        <w:t xml:space="preserve">There has been recent discussion in court proceedings and in the profession concerning the jurisdiction of the Federal Circuit and Family Court of Australia (Division 1) to hear a small, discrete </w:t>
      </w:r>
      <w:r w:rsidR="00963CCA">
        <w:rPr>
          <w:sz w:val="24"/>
        </w:rPr>
        <w:t>number</w:t>
      </w:r>
      <w:r>
        <w:rPr>
          <w:sz w:val="24"/>
        </w:rPr>
        <w:t xml:space="preserve"> of cases that were pending in the Family Court of Australia immediately prior to 1 September 2021</w:t>
      </w:r>
      <w:r w:rsidR="00AD37F0">
        <w:rPr>
          <w:sz w:val="24"/>
        </w:rPr>
        <w:t xml:space="preserve"> when the </w:t>
      </w:r>
      <w:r>
        <w:rPr>
          <w:i/>
          <w:sz w:val="24"/>
        </w:rPr>
        <w:t>Federal Circuit and Family Court of Australia Act 2021</w:t>
      </w:r>
      <w:r w:rsidR="00AD37F0">
        <w:rPr>
          <w:i/>
          <w:sz w:val="24"/>
        </w:rPr>
        <w:t xml:space="preserve"> </w:t>
      </w:r>
      <w:r w:rsidR="00AD37F0">
        <w:rPr>
          <w:sz w:val="24"/>
        </w:rPr>
        <w:t>commenced</w:t>
      </w:r>
      <w:r w:rsidR="00F63399">
        <w:rPr>
          <w:sz w:val="24"/>
        </w:rPr>
        <w:t>.</w:t>
      </w:r>
    </w:p>
    <w:p w:rsidR="00D903E0" w:rsidRDefault="00D903E0" w:rsidP="00D80829">
      <w:pPr>
        <w:rPr>
          <w:sz w:val="24"/>
        </w:rPr>
      </w:pPr>
      <w:r>
        <w:rPr>
          <w:sz w:val="24"/>
        </w:rPr>
        <w:t>Practitioners will have noticed</w:t>
      </w:r>
      <w:r w:rsidR="00B43647">
        <w:rPr>
          <w:sz w:val="24"/>
        </w:rPr>
        <w:t xml:space="preserve"> that</w:t>
      </w:r>
      <w:r w:rsidR="00F63399">
        <w:rPr>
          <w:sz w:val="24"/>
        </w:rPr>
        <w:t>,</w:t>
      </w:r>
      <w:r w:rsidR="00B43647">
        <w:rPr>
          <w:sz w:val="24"/>
        </w:rPr>
        <w:t xml:space="preserve"> in </w:t>
      </w:r>
      <w:r w:rsidR="00963CCA">
        <w:rPr>
          <w:sz w:val="24"/>
        </w:rPr>
        <w:t>these</w:t>
      </w:r>
      <w:r w:rsidR="00B43647">
        <w:rPr>
          <w:sz w:val="24"/>
        </w:rPr>
        <w:t xml:space="preserve"> cases</w:t>
      </w:r>
      <w:r>
        <w:rPr>
          <w:sz w:val="24"/>
        </w:rPr>
        <w:t xml:space="preserve">, an order has been made by the Chief Justice pursuant to section 52 of the </w:t>
      </w:r>
      <w:r>
        <w:rPr>
          <w:i/>
          <w:sz w:val="24"/>
        </w:rPr>
        <w:t xml:space="preserve">Federal Circuit and Family Court of Australia Act 2021 </w:t>
      </w:r>
      <w:r>
        <w:rPr>
          <w:sz w:val="24"/>
        </w:rPr>
        <w:t>transferring each proceeding to the Federal Circuit and Family Court of Australia (Division 2), and then a subsequent order made</w:t>
      </w:r>
      <w:r w:rsidR="00F63399">
        <w:rPr>
          <w:sz w:val="24"/>
        </w:rPr>
        <w:t>,</w:t>
      </w:r>
      <w:r>
        <w:rPr>
          <w:sz w:val="24"/>
        </w:rPr>
        <w:t xml:space="preserve"> pursuant to section 149 of the </w:t>
      </w:r>
      <w:r>
        <w:rPr>
          <w:i/>
          <w:sz w:val="24"/>
        </w:rPr>
        <w:t>Federal Circuit and Family Court of Australia Act 2021</w:t>
      </w:r>
      <w:r w:rsidR="00F63399">
        <w:rPr>
          <w:i/>
          <w:sz w:val="24"/>
        </w:rPr>
        <w:t>,</w:t>
      </w:r>
      <w:r>
        <w:rPr>
          <w:i/>
          <w:sz w:val="24"/>
        </w:rPr>
        <w:t xml:space="preserve"> </w:t>
      </w:r>
      <w:r>
        <w:rPr>
          <w:sz w:val="24"/>
        </w:rPr>
        <w:t>transferring the proceeding to the Federal Circuit and Family Court of Australia (Division 1).</w:t>
      </w:r>
    </w:p>
    <w:p w:rsidR="004D1D07" w:rsidRPr="004D1D07" w:rsidRDefault="00D903E0" w:rsidP="00D80829">
      <w:pPr>
        <w:rPr>
          <w:sz w:val="24"/>
        </w:rPr>
      </w:pPr>
      <w:r>
        <w:rPr>
          <w:sz w:val="24"/>
        </w:rPr>
        <w:t xml:space="preserve">This </w:t>
      </w:r>
      <w:r w:rsidR="004D1D07">
        <w:rPr>
          <w:sz w:val="24"/>
        </w:rPr>
        <w:t xml:space="preserve">is a pragmatic step </w:t>
      </w:r>
      <w:r w:rsidR="00AD37F0">
        <w:rPr>
          <w:sz w:val="24"/>
        </w:rPr>
        <w:t xml:space="preserve">which is </w:t>
      </w:r>
      <w:r w:rsidR="004D1D07">
        <w:rPr>
          <w:sz w:val="24"/>
        </w:rPr>
        <w:t>being taken</w:t>
      </w:r>
      <w:r w:rsidR="00CC68BC">
        <w:rPr>
          <w:sz w:val="24"/>
        </w:rPr>
        <w:t xml:space="preserve"> to ensure, for the avoidance of doubt, </w:t>
      </w:r>
      <w:r>
        <w:rPr>
          <w:sz w:val="24"/>
        </w:rPr>
        <w:t xml:space="preserve">that the jurisdiction of the Federal Circuit and Family Court of Australia (Division 1) </w:t>
      </w:r>
      <w:r w:rsidR="004D1D07">
        <w:rPr>
          <w:sz w:val="24"/>
        </w:rPr>
        <w:t xml:space="preserve">under the </w:t>
      </w:r>
      <w:r w:rsidR="004D1D07">
        <w:rPr>
          <w:i/>
          <w:sz w:val="24"/>
        </w:rPr>
        <w:t xml:space="preserve">Family Law Act 1975 </w:t>
      </w:r>
      <w:r>
        <w:rPr>
          <w:sz w:val="24"/>
        </w:rPr>
        <w:t xml:space="preserve">is enlivened to hear and determine </w:t>
      </w:r>
      <w:r w:rsidR="00866F83">
        <w:rPr>
          <w:sz w:val="24"/>
        </w:rPr>
        <w:t>these cases</w:t>
      </w:r>
      <w:r w:rsidR="004D1D07">
        <w:rPr>
          <w:sz w:val="24"/>
        </w:rPr>
        <w:t xml:space="preserve">. Under the </w:t>
      </w:r>
      <w:r w:rsidR="004D1D07">
        <w:rPr>
          <w:i/>
          <w:sz w:val="24"/>
        </w:rPr>
        <w:t>Federal Circuit and Family Court of Australia Act 2021</w:t>
      </w:r>
      <w:r w:rsidR="004D1D07">
        <w:rPr>
          <w:sz w:val="24"/>
        </w:rPr>
        <w:t xml:space="preserve">, the Court’s original jurisdiction is set out in section 25 of the </w:t>
      </w:r>
      <w:r w:rsidR="004D1D07">
        <w:rPr>
          <w:i/>
          <w:sz w:val="24"/>
        </w:rPr>
        <w:t>Federal Circuit and Family Court of Australia Act 2021</w:t>
      </w:r>
      <w:r w:rsidR="004D1D07">
        <w:rPr>
          <w:sz w:val="24"/>
        </w:rPr>
        <w:t xml:space="preserve">, and one way that jurisdiction is enlivened is through transfer of a proceeding from the Federal Circuit and Family Court of Australia (Division 2). </w:t>
      </w:r>
      <w:r w:rsidR="00866F83">
        <w:rPr>
          <w:sz w:val="24"/>
        </w:rPr>
        <w:t xml:space="preserve">The </w:t>
      </w:r>
      <w:r w:rsidR="00AD1348">
        <w:rPr>
          <w:sz w:val="24"/>
        </w:rPr>
        <w:t xml:space="preserve">purpose of transferring </w:t>
      </w:r>
      <w:r w:rsidR="00866F83">
        <w:rPr>
          <w:sz w:val="24"/>
        </w:rPr>
        <w:t xml:space="preserve">these proceedings </w:t>
      </w:r>
      <w:r w:rsidR="00AD1348">
        <w:rPr>
          <w:sz w:val="24"/>
        </w:rPr>
        <w:t xml:space="preserve">is to remove uncertainty and avoid delay </w:t>
      </w:r>
      <w:r w:rsidR="00B43647">
        <w:rPr>
          <w:sz w:val="24"/>
        </w:rPr>
        <w:t xml:space="preserve">in the Court hearing these cases. </w:t>
      </w:r>
    </w:p>
    <w:p w:rsidR="004D1D07" w:rsidRDefault="004D1D07" w:rsidP="00D80829">
      <w:pPr>
        <w:rPr>
          <w:sz w:val="24"/>
        </w:rPr>
      </w:pPr>
      <w:r>
        <w:rPr>
          <w:sz w:val="24"/>
        </w:rPr>
        <w:t xml:space="preserve">The transfer orders </w:t>
      </w:r>
      <w:r w:rsidR="00F63399">
        <w:rPr>
          <w:sz w:val="24"/>
        </w:rPr>
        <w:t xml:space="preserve">are made in the interests of the administration of justice and </w:t>
      </w:r>
      <w:r>
        <w:rPr>
          <w:sz w:val="24"/>
        </w:rPr>
        <w:t>do not result in any additional cost or delay to the parties and ensure that proceedings can continue to be heard and determined</w:t>
      </w:r>
      <w:r w:rsidR="007A1049">
        <w:rPr>
          <w:sz w:val="24"/>
        </w:rPr>
        <w:t xml:space="preserve"> with no loss of priority.</w:t>
      </w:r>
    </w:p>
    <w:p w:rsidR="00860680" w:rsidRDefault="00860680" w:rsidP="00D80829">
      <w:pPr>
        <w:rPr>
          <w:sz w:val="24"/>
        </w:rPr>
      </w:pPr>
      <w:r>
        <w:rPr>
          <w:sz w:val="24"/>
        </w:rPr>
        <w:t xml:space="preserve">This does not concern new matters filed since 1 September 2021, or proceedings that were pending in the Federal Circuit and Family Court of Australia (Division 2) immediately prior to 1 September 2021 and have been subsequently transferred to the Federal Circuit and Family Court of Australia (Division 1). </w:t>
      </w:r>
    </w:p>
    <w:p w:rsidR="00CC68BC" w:rsidRDefault="004D1D07" w:rsidP="00D80829">
      <w:pPr>
        <w:rPr>
          <w:sz w:val="24"/>
        </w:rPr>
      </w:pPr>
      <w:r>
        <w:rPr>
          <w:sz w:val="24"/>
        </w:rPr>
        <w:t xml:space="preserve">Without commenting on any particular proceeding, it is noted that orders of the Federal Circuit and Family Court of Australia (Division 1), as a superior court of record, </w:t>
      </w:r>
      <w:r w:rsidR="00F63399">
        <w:rPr>
          <w:sz w:val="24"/>
        </w:rPr>
        <w:t xml:space="preserve">are </w:t>
      </w:r>
      <w:r w:rsidR="00F63399" w:rsidRPr="00F63399">
        <w:rPr>
          <w:sz w:val="24"/>
        </w:rPr>
        <w:t>valid and enforceable unless and until set aside on appeal or pursuant to prerogative writ</w:t>
      </w:r>
      <w:r>
        <w:rPr>
          <w:sz w:val="24"/>
        </w:rPr>
        <w:t>. Th</w:t>
      </w:r>
      <w:r w:rsidR="00CC68BC">
        <w:rPr>
          <w:sz w:val="24"/>
        </w:rPr>
        <w:t xml:space="preserve">e </w:t>
      </w:r>
      <w:r w:rsidR="00AD37F0">
        <w:rPr>
          <w:sz w:val="24"/>
        </w:rPr>
        <w:t>public is entitled to have con</w:t>
      </w:r>
      <w:r w:rsidR="00EB7831">
        <w:rPr>
          <w:sz w:val="24"/>
        </w:rPr>
        <w:t>fidence that the orders of the C</w:t>
      </w:r>
      <w:r w:rsidR="00AD37F0">
        <w:rPr>
          <w:sz w:val="24"/>
        </w:rPr>
        <w:t xml:space="preserve">ourt are valid and the </w:t>
      </w:r>
      <w:r w:rsidR="00CC68BC">
        <w:rPr>
          <w:sz w:val="24"/>
        </w:rPr>
        <w:t>Court expects that orders will be complied with. In the family law jurisdiction, this is of particular importance to ensure the safety of children and vulnerable litigants.</w:t>
      </w:r>
    </w:p>
    <w:p w:rsidR="004D1D07" w:rsidRDefault="00963CCA" w:rsidP="00D80829">
      <w:pPr>
        <w:rPr>
          <w:sz w:val="24"/>
        </w:rPr>
      </w:pPr>
      <w:r w:rsidRPr="00963CCA">
        <w:rPr>
          <w:sz w:val="24"/>
        </w:rPr>
        <w:t>The Court will work with Government to ensure a legislative clarification can be progressed at the earliest opportunity</w:t>
      </w:r>
      <w:r>
        <w:rPr>
          <w:sz w:val="24"/>
        </w:rPr>
        <w:t>.</w:t>
      </w:r>
    </w:p>
    <w:p w:rsidR="00C92D80" w:rsidRPr="00D903E0" w:rsidRDefault="00C92D80" w:rsidP="00D80829">
      <w:pPr>
        <w:rPr>
          <w:sz w:val="24"/>
        </w:rPr>
      </w:pPr>
      <w:r>
        <w:rPr>
          <w:sz w:val="24"/>
        </w:rPr>
        <w:t>31 March 2022</w:t>
      </w:r>
      <w:bookmarkEnd w:id="0"/>
    </w:p>
    <w:sectPr w:rsidR="00C92D80" w:rsidRPr="00D903E0" w:rsidSect="00C92D80">
      <w:headerReference w:type="default" r:id="rId7"/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F83" w:rsidRDefault="00866F83" w:rsidP="00866F83">
      <w:pPr>
        <w:spacing w:after="0" w:line="240" w:lineRule="auto"/>
      </w:pPr>
      <w:r>
        <w:separator/>
      </w:r>
    </w:p>
  </w:endnote>
  <w:endnote w:type="continuationSeparator" w:id="0">
    <w:p w:rsidR="00866F83" w:rsidRDefault="00866F83" w:rsidP="00866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F83" w:rsidRDefault="00866F83" w:rsidP="00866F83">
      <w:pPr>
        <w:spacing w:after="0" w:line="240" w:lineRule="auto"/>
      </w:pPr>
      <w:r>
        <w:separator/>
      </w:r>
    </w:p>
  </w:footnote>
  <w:footnote w:type="continuationSeparator" w:id="0">
    <w:p w:rsidR="00866F83" w:rsidRDefault="00866F83" w:rsidP="00866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6F83" w:rsidRPr="00860680" w:rsidRDefault="00152DF1" w:rsidP="00860680">
    <w:pPr>
      <w:pStyle w:val="Header"/>
      <w:jc w:val="center"/>
      <w:rPr>
        <w:b/>
        <w:color w:val="FF0000"/>
      </w:rPr>
    </w:pPr>
    <w:r>
      <w:rPr>
        <w:b/>
        <w:noProof/>
        <w:color w:val="FF0000"/>
        <w:lang w:eastAsia="en-AU"/>
      </w:rPr>
      <w:drawing>
        <wp:inline distT="0" distB="0" distL="0" distR="0">
          <wp:extent cx="2375065" cy="524444"/>
          <wp:effectExtent l="0" t="0" r="6350" b="952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CFCOA_StackedLONG_Bl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5248" cy="535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5D1A9CFE-5F13-4548-968E-F122108DBE77}"/>
    <w:docVar w:name="dgnword-eventsink" w:val="516350248"/>
  </w:docVars>
  <w:rsids>
    <w:rsidRoot w:val="00D903E0"/>
    <w:rsid w:val="00152DF1"/>
    <w:rsid w:val="0040411F"/>
    <w:rsid w:val="004D1D07"/>
    <w:rsid w:val="00606B7F"/>
    <w:rsid w:val="007A027D"/>
    <w:rsid w:val="007A1049"/>
    <w:rsid w:val="00860680"/>
    <w:rsid w:val="00866F83"/>
    <w:rsid w:val="00916F57"/>
    <w:rsid w:val="00963CCA"/>
    <w:rsid w:val="00A62894"/>
    <w:rsid w:val="00AD1348"/>
    <w:rsid w:val="00AD37F0"/>
    <w:rsid w:val="00B43647"/>
    <w:rsid w:val="00C92D80"/>
    <w:rsid w:val="00CC68BC"/>
    <w:rsid w:val="00D80829"/>
    <w:rsid w:val="00D903E0"/>
    <w:rsid w:val="00E67BF4"/>
    <w:rsid w:val="00EB7831"/>
    <w:rsid w:val="00F63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4C070BB2-C6EF-4547-AA90-127304567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36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64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66F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6F83"/>
  </w:style>
  <w:style w:type="paragraph" w:styleId="Footer">
    <w:name w:val="footer"/>
    <w:basedOn w:val="Normal"/>
    <w:link w:val="FooterChar"/>
    <w:uiPriority w:val="99"/>
    <w:unhideWhenUsed/>
    <w:rsid w:val="00866F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6F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D87B6-81D9-4483-A649-B98F05F3C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428</Words>
  <Characters>2441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from the Federal Circuit and Family Court of Australia (Division 1)</dc:title>
  <dc:subject/>
  <dc:creator>Jordan Di Carlo</dc:creator>
  <cp:keywords/>
  <dc:description/>
  <cp:lastModifiedBy>Christine Tuff</cp:lastModifiedBy>
  <cp:revision>2</cp:revision>
  <cp:lastPrinted>2022-03-30T05:03:00Z</cp:lastPrinted>
  <dcterms:created xsi:type="dcterms:W3CDTF">2022-03-31T06:08:00Z</dcterms:created>
  <dcterms:modified xsi:type="dcterms:W3CDTF">2022-03-31T06:08:00Z</dcterms:modified>
</cp:coreProperties>
</file>