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21578" w:rsidRDefault="00621578" w:rsidP="00B3703F">
      <w:pPr>
        <w:pStyle w:val="Heading1"/>
      </w:pPr>
      <w:r>
        <w:rPr>
          <w:noProof/>
        </w:rPr>
        <w:drawing>
          <wp:anchor distT="0" distB="0" distL="114300" distR="114300" simplePos="0" relativeHeight="251659264" behindDoc="1" locked="0" layoutInCell="1" allowOverlap="1" wp14:anchorId="7D847F91" wp14:editId="5F1EE367">
            <wp:simplePos x="0" y="0"/>
            <wp:positionH relativeFrom="page">
              <wp:align>right</wp:align>
            </wp:positionH>
            <wp:positionV relativeFrom="page">
              <wp:posOffset>48126</wp:posOffset>
            </wp:positionV>
            <wp:extent cx="7541895" cy="1957705"/>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media_banner-01.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541895" cy="1957705"/>
                    </a:xfrm>
                    <a:prstGeom prst="rect">
                      <a:avLst/>
                    </a:prstGeom>
                  </pic:spPr>
                </pic:pic>
              </a:graphicData>
            </a:graphic>
            <wp14:sizeRelH relativeFrom="page">
              <wp14:pctWidth>0</wp14:pctWidth>
            </wp14:sizeRelH>
            <wp14:sizeRelV relativeFrom="page">
              <wp14:pctHeight>0</wp14:pctHeight>
            </wp14:sizeRelV>
          </wp:anchor>
        </w:drawing>
      </w:r>
    </w:p>
    <w:p w:rsidR="002B26C3" w:rsidRPr="007429CB" w:rsidRDefault="001F0ECB" w:rsidP="00B3703F">
      <w:pPr>
        <w:pStyle w:val="Heading1"/>
        <w:rPr>
          <w:sz w:val="24"/>
          <w:szCs w:val="24"/>
        </w:rPr>
      </w:pPr>
      <w:r>
        <w:rPr>
          <w:sz w:val="24"/>
          <w:szCs w:val="24"/>
        </w:rPr>
        <w:t>26</w:t>
      </w:r>
      <w:r w:rsidR="007429CB" w:rsidRPr="007429CB">
        <w:rPr>
          <w:sz w:val="24"/>
          <w:szCs w:val="24"/>
        </w:rPr>
        <w:t xml:space="preserve"> </w:t>
      </w:r>
      <w:r w:rsidR="008D695F">
        <w:rPr>
          <w:sz w:val="24"/>
          <w:szCs w:val="24"/>
        </w:rPr>
        <w:t>November</w:t>
      </w:r>
      <w:r w:rsidR="007429CB" w:rsidRPr="007429CB">
        <w:rPr>
          <w:sz w:val="24"/>
          <w:szCs w:val="24"/>
        </w:rPr>
        <w:t xml:space="preserve"> 2021</w:t>
      </w:r>
    </w:p>
    <w:p w:rsidR="000D08F0" w:rsidRDefault="000D08F0" w:rsidP="00B3703F">
      <w:pPr>
        <w:pStyle w:val="Heading1"/>
      </w:pPr>
      <w:r>
        <w:t xml:space="preserve">Media Release: </w:t>
      </w:r>
      <w:r w:rsidR="00687663">
        <w:t>Four new j</w:t>
      </w:r>
      <w:r w:rsidR="008D695F">
        <w:t xml:space="preserve">udicial </w:t>
      </w:r>
      <w:r w:rsidR="00E63A3A">
        <w:t xml:space="preserve">appointments </w:t>
      </w:r>
      <w:r w:rsidR="008D695F">
        <w:t xml:space="preserve">to </w:t>
      </w:r>
      <w:r w:rsidR="00E63A3A">
        <w:t xml:space="preserve">the </w:t>
      </w:r>
      <w:r>
        <w:t xml:space="preserve">Federal Circuit and Family Court of Australia </w:t>
      </w:r>
    </w:p>
    <w:p w:rsidR="00AF16F6" w:rsidRDefault="00E63A3A" w:rsidP="00B3703F">
      <w:pPr>
        <w:spacing w:before="240"/>
        <w:ind w:right="-187"/>
      </w:pPr>
      <w:r>
        <w:t>The Federal Circuit and Family Court of Australia</w:t>
      </w:r>
      <w:r w:rsidR="00AF16F6">
        <w:t xml:space="preserve"> (FCFCOA)</w:t>
      </w:r>
      <w:r>
        <w:t xml:space="preserve"> </w:t>
      </w:r>
      <w:r w:rsidR="008D695F">
        <w:t xml:space="preserve">is extremely pleased to welcome </w:t>
      </w:r>
      <w:r w:rsidR="00AF16F6">
        <w:t xml:space="preserve">the following </w:t>
      </w:r>
      <w:r w:rsidR="008D695F">
        <w:t xml:space="preserve">judicial </w:t>
      </w:r>
      <w:r w:rsidR="00B108B0">
        <w:t>appointment</w:t>
      </w:r>
      <w:r w:rsidR="008D695F">
        <w:t xml:space="preserve">s announced today by </w:t>
      </w:r>
      <w:r w:rsidR="00AF16F6">
        <w:t xml:space="preserve">the </w:t>
      </w:r>
      <w:r w:rsidR="008D695F">
        <w:t xml:space="preserve">Attorney-General for Australia, </w:t>
      </w:r>
      <w:r w:rsidR="00B3703F">
        <w:t>Senator the Hon Michaelia Cash.</w:t>
      </w:r>
    </w:p>
    <w:p w:rsidR="00AF16F6" w:rsidRPr="000B1158" w:rsidRDefault="00AF16F6" w:rsidP="00B3703F">
      <w:pPr>
        <w:spacing w:before="240" w:line="276" w:lineRule="auto"/>
        <w:rPr>
          <w:rFonts w:cstheme="minorHAnsi"/>
          <w:b/>
        </w:rPr>
      </w:pPr>
      <w:r>
        <w:rPr>
          <w:b/>
        </w:rPr>
        <w:t xml:space="preserve">Barrister Richard </w:t>
      </w:r>
      <w:r>
        <w:rPr>
          <w:rFonts w:cstheme="minorHAnsi"/>
          <w:b/>
        </w:rPr>
        <w:t>Schonell SC</w:t>
      </w:r>
      <w:r w:rsidRPr="00AF16F6">
        <w:rPr>
          <w:rFonts w:cstheme="minorHAnsi"/>
        </w:rPr>
        <w:t>, appointed to Division 1 of the FCFCOA, Sydney</w:t>
      </w:r>
    </w:p>
    <w:p w:rsidR="00AF16F6" w:rsidRDefault="00AF16F6" w:rsidP="00B3703F">
      <w:pPr>
        <w:rPr>
          <w:rFonts w:eastAsia="Times New Roman" w:cstheme="minorHAnsi"/>
          <w:lang w:eastAsia="en-AU"/>
        </w:rPr>
      </w:pPr>
      <w:r>
        <w:rPr>
          <w:b/>
        </w:rPr>
        <w:t xml:space="preserve">Barrister </w:t>
      </w:r>
      <w:r w:rsidRPr="00AF16F6">
        <w:rPr>
          <w:rFonts w:eastAsia="Times New Roman" w:cstheme="minorHAnsi"/>
          <w:b/>
          <w:lang w:eastAsia="en-AU"/>
        </w:rPr>
        <w:t>Andrew Strum QC</w:t>
      </w:r>
      <w:r>
        <w:rPr>
          <w:rFonts w:eastAsia="Times New Roman" w:cstheme="minorHAnsi"/>
          <w:lang w:eastAsia="en-AU"/>
        </w:rPr>
        <w:t>, appointed to Division 1 of the FCFCOA, Melbourne</w:t>
      </w:r>
    </w:p>
    <w:p w:rsidR="00AF16F6" w:rsidRDefault="00AF16F6" w:rsidP="00B3703F">
      <w:pPr>
        <w:rPr>
          <w:b/>
        </w:rPr>
      </w:pPr>
      <w:r w:rsidRPr="00AF16F6">
        <w:rPr>
          <w:rFonts w:cstheme="minorHAnsi"/>
          <w:b/>
          <w:iCs/>
        </w:rPr>
        <w:t>Senior Judicial Registrar Anna Parker</w:t>
      </w:r>
      <w:r w:rsidR="00C13C6E">
        <w:rPr>
          <w:rFonts w:cstheme="minorHAnsi"/>
          <w:iCs/>
        </w:rPr>
        <w:t xml:space="preserve">, appointed </w:t>
      </w:r>
      <w:r>
        <w:rPr>
          <w:rFonts w:cstheme="minorHAnsi"/>
          <w:iCs/>
        </w:rPr>
        <w:t>to Division 2 of the FCFCOA, Adelaide</w:t>
      </w:r>
    </w:p>
    <w:p w:rsidR="002F79C3" w:rsidRDefault="00AF16F6" w:rsidP="00B3703F">
      <w:pPr>
        <w:rPr>
          <w:b/>
        </w:rPr>
      </w:pPr>
      <w:r w:rsidRPr="004A4040">
        <w:rPr>
          <w:b/>
        </w:rPr>
        <w:t xml:space="preserve">Barrister </w:t>
      </w:r>
      <w:r w:rsidR="002F79C3">
        <w:rPr>
          <w:b/>
        </w:rPr>
        <w:t>Dearne Firth,</w:t>
      </w:r>
      <w:r>
        <w:t xml:space="preserve"> appointed to Division </w:t>
      </w:r>
      <w:r w:rsidR="002F79C3">
        <w:t>2</w:t>
      </w:r>
      <w:r>
        <w:t xml:space="preserve"> of th</w:t>
      </w:r>
      <w:r w:rsidR="002F79C3">
        <w:t>e FCFCOA, Brisbane</w:t>
      </w:r>
    </w:p>
    <w:p w:rsidR="008D695F" w:rsidRDefault="008D695F" w:rsidP="00B3703F">
      <w:pPr>
        <w:spacing w:before="240"/>
        <w:ind w:right="-188"/>
      </w:pPr>
      <w:r>
        <w:t>The</w:t>
      </w:r>
      <w:r w:rsidR="006D51A8">
        <w:t xml:space="preserve">se </w:t>
      </w:r>
      <w:r w:rsidR="00AF16F6">
        <w:t>a</w:t>
      </w:r>
      <w:r>
        <w:t>ppointment</w:t>
      </w:r>
      <w:r w:rsidR="006D51A8">
        <w:t>s</w:t>
      </w:r>
      <w:r>
        <w:t xml:space="preserve"> </w:t>
      </w:r>
      <w:r w:rsidR="00AF16F6">
        <w:t xml:space="preserve">follow the appointment of </w:t>
      </w:r>
      <w:hyperlink r:id="rId8" w:history="1">
        <w:r w:rsidR="00AF16F6" w:rsidRPr="006D51A8">
          <w:rPr>
            <w:rStyle w:val="Hyperlink"/>
          </w:rPr>
          <w:t>11 new judges</w:t>
        </w:r>
      </w:hyperlink>
      <w:r w:rsidR="00AF16F6">
        <w:t xml:space="preserve"> to the Court </w:t>
      </w:r>
      <w:r w:rsidR="006D51A8">
        <w:t xml:space="preserve">that were </w:t>
      </w:r>
      <w:r w:rsidR="00AF16F6">
        <w:t xml:space="preserve">announced last month. </w:t>
      </w:r>
      <w:r w:rsidR="009E4A49">
        <w:rPr>
          <w:rFonts w:eastAsia="Times New Roman"/>
        </w:rPr>
        <w:t>This brings the total number of judges nationally to</w:t>
      </w:r>
      <w:r w:rsidR="00FB52D2">
        <w:rPr>
          <w:rFonts w:eastAsia="Times New Roman"/>
        </w:rPr>
        <w:t xml:space="preserve"> </w:t>
      </w:r>
      <w:r w:rsidR="00FB52D2" w:rsidRPr="001F0ECB">
        <w:rPr>
          <w:rFonts w:eastAsia="Times New Roman"/>
        </w:rPr>
        <w:t>10</w:t>
      </w:r>
      <w:r w:rsidR="00F21172" w:rsidRPr="001F0ECB">
        <w:rPr>
          <w:rFonts w:eastAsia="Times New Roman"/>
        </w:rPr>
        <w:t>8</w:t>
      </w:r>
      <w:r w:rsidR="009E4A49" w:rsidRPr="001F0ECB">
        <w:rPr>
          <w:rFonts w:eastAsia="Times New Roman"/>
        </w:rPr>
        <w:t xml:space="preserve"> (</w:t>
      </w:r>
      <w:r w:rsidR="00FB52D2" w:rsidRPr="001F0ECB">
        <w:rPr>
          <w:rFonts w:eastAsia="Times New Roman"/>
        </w:rPr>
        <w:t>35</w:t>
      </w:r>
      <w:r w:rsidR="009E4A49" w:rsidRPr="001F0ECB">
        <w:rPr>
          <w:rFonts w:eastAsia="Times New Roman"/>
        </w:rPr>
        <w:t xml:space="preserve"> in Division 1 and </w:t>
      </w:r>
      <w:r w:rsidR="00FB52D2" w:rsidRPr="001F0ECB">
        <w:rPr>
          <w:rFonts w:eastAsia="Times New Roman"/>
        </w:rPr>
        <w:t>7</w:t>
      </w:r>
      <w:r w:rsidR="00F21172" w:rsidRPr="001F0ECB">
        <w:rPr>
          <w:rFonts w:eastAsia="Times New Roman"/>
        </w:rPr>
        <w:t>3</w:t>
      </w:r>
      <w:r w:rsidR="009E4A49">
        <w:rPr>
          <w:rFonts w:eastAsia="Times New Roman"/>
        </w:rPr>
        <w:t xml:space="preserve"> in Division 2)</w:t>
      </w:r>
      <w:r w:rsidR="002E4412">
        <w:rPr>
          <w:rFonts w:eastAsia="Times New Roman"/>
        </w:rPr>
        <w:t>, making it the largest court in Australia</w:t>
      </w:r>
      <w:r w:rsidR="00EE7497">
        <w:rPr>
          <w:rFonts w:eastAsia="Times New Roman"/>
        </w:rPr>
        <w:t xml:space="preserve"> and resourced to better manage its demanding workload</w:t>
      </w:r>
      <w:r w:rsidR="00C13C6E">
        <w:rPr>
          <w:rFonts w:eastAsia="Times New Roman"/>
        </w:rPr>
        <w:t xml:space="preserve"> in </w:t>
      </w:r>
      <w:r w:rsidR="00EE7497">
        <w:rPr>
          <w:rFonts w:eastAsia="Times New Roman"/>
        </w:rPr>
        <w:t>the area of family law</w:t>
      </w:r>
      <w:r w:rsidR="009E4A49">
        <w:rPr>
          <w:rFonts w:eastAsia="Times New Roman"/>
        </w:rPr>
        <w:t>.</w:t>
      </w:r>
    </w:p>
    <w:p w:rsidR="009E4A49" w:rsidRDefault="009E4A49" w:rsidP="00B3703F">
      <w:pPr>
        <w:spacing w:before="240"/>
      </w:pPr>
      <w:r w:rsidRPr="000B47F9">
        <w:rPr>
          <w:iCs/>
        </w:rPr>
        <w:t>The Chief Justice of the Federal Circuit and Family Court of Australia, the Hon Will Alstergren</w:t>
      </w:r>
      <w:r>
        <w:rPr>
          <w:rFonts w:eastAsia="Times New Roman"/>
        </w:rPr>
        <w:t xml:space="preserve"> said that</w:t>
      </w:r>
      <w:r w:rsidR="001F0ECB">
        <w:rPr>
          <w:rFonts w:eastAsia="Times New Roman"/>
        </w:rPr>
        <w:t xml:space="preserve"> </w:t>
      </w:r>
      <w:r>
        <w:rPr>
          <w:rFonts w:eastAsia="Times New Roman"/>
        </w:rPr>
        <w:t xml:space="preserve">he was </w:t>
      </w:r>
      <w:r w:rsidRPr="002C0941">
        <w:rPr>
          <w:rFonts w:eastAsia="Times New Roman"/>
        </w:rPr>
        <w:t xml:space="preserve">delighted </w:t>
      </w:r>
      <w:r>
        <w:rPr>
          <w:rFonts w:eastAsia="Times New Roman"/>
        </w:rPr>
        <w:t xml:space="preserve">with </w:t>
      </w:r>
      <w:r w:rsidRPr="002C0941">
        <w:rPr>
          <w:rFonts w:eastAsia="Times New Roman"/>
        </w:rPr>
        <w:t xml:space="preserve">the appointment of </w:t>
      </w:r>
      <w:r>
        <w:rPr>
          <w:rFonts w:eastAsia="Times New Roman"/>
        </w:rPr>
        <w:t xml:space="preserve">such </w:t>
      </w:r>
      <w:r>
        <w:t xml:space="preserve">distinguished and highly skilled practitioners who are all </w:t>
      </w:r>
      <w:r w:rsidR="00EE7497">
        <w:t>well-</w:t>
      </w:r>
      <w:r>
        <w:t xml:space="preserve">regarded for their incredible depth of knowledge and experience in family law.  </w:t>
      </w:r>
    </w:p>
    <w:p w:rsidR="009E4A49" w:rsidRDefault="009E4A49" w:rsidP="00B3703F">
      <w:pPr>
        <w:spacing w:before="240"/>
        <w:rPr>
          <w:rFonts w:eastAsia="Times New Roman"/>
        </w:rPr>
      </w:pPr>
      <w:r>
        <w:t>“</w:t>
      </w:r>
      <w:r w:rsidR="009718C6">
        <w:t>The calibre of t</w:t>
      </w:r>
      <w:r>
        <w:t>hese appointments, together with many other new judges who have joined the Court this year, reflects the high esteem in which the Court, and its Judges, are held</w:t>
      </w:r>
      <w:r w:rsidRPr="002C0941">
        <w:rPr>
          <w:rFonts w:eastAsia="Times New Roman"/>
        </w:rPr>
        <w:t>.</w:t>
      </w:r>
      <w:r w:rsidR="007B728D">
        <w:rPr>
          <w:rFonts w:eastAsia="Times New Roman"/>
        </w:rPr>
        <w:t>”</w:t>
      </w:r>
    </w:p>
    <w:p w:rsidR="000D08F0" w:rsidRPr="00EE7497" w:rsidRDefault="00B83755" w:rsidP="00B3703F">
      <w:pPr>
        <w:spacing w:before="240"/>
        <w:rPr>
          <w:b/>
          <w:u w:val="single"/>
        </w:rPr>
      </w:pPr>
      <w:r w:rsidRPr="00EE7497">
        <w:rPr>
          <w:b/>
          <w:u w:val="single"/>
        </w:rPr>
        <w:t>Biographical details</w:t>
      </w:r>
      <w:r w:rsidR="006406C5" w:rsidRPr="00EE7497">
        <w:rPr>
          <w:b/>
          <w:u w:val="single"/>
        </w:rPr>
        <w:t>:</w:t>
      </w:r>
    </w:p>
    <w:p w:rsidR="006406C5" w:rsidRPr="00EE7497" w:rsidRDefault="006406C5" w:rsidP="00B3703F">
      <w:pPr>
        <w:spacing w:before="240"/>
        <w:rPr>
          <w:b/>
        </w:rPr>
      </w:pPr>
      <w:r w:rsidRPr="00EE7497">
        <w:rPr>
          <w:b/>
        </w:rPr>
        <w:t xml:space="preserve">Barrister Richard Schonell, </w:t>
      </w:r>
      <w:r w:rsidR="001F0ECB">
        <w:rPr>
          <w:b/>
        </w:rPr>
        <w:t>a</w:t>
      </w:r>
      <w:r w:rsidRPr="00EE7497">
        <w:rPr>
          <w:b/>
        </w:rPr>
        <w:t>ppointed to Division 1</w:t>
      </w:r>
      <w:r w:rsidR="001F0ECB">
        <w:rPr>
          <w:b/>
        </w:rPr>
        <w:t xml:space="preserve">, </w:t>
      </w:r>
      <w:r w:rsidRPr="00EE7497">
        <w:rPr>
          <w:b/>
        </w:rPr>
        <w:t>SYDNEY</w:t>
      </w:r>
    </w:p>
    <w:p w:rsidR="006406C5" w:rsidRPr="00EE7497" w:rsidRDefault="006406C5" w:rsidP="00B3703F">
      <w:pPr>
        <w:shd w:val="clear" w:color="auto" w:fill="FFFFFF"/>
      </w:pPr>
      <w:r w:rsidRPr="00EE7497">
        <w:t xml:space="preserve">Sydney Barrister Richard Schonell SC was called to the Bar in March 1993, having previously practiced as a solicitor in commercial law with Allen Allen and Hemsley and then in family law. Since coming to the Bar he practiced </w:t>
      </w:r>
      <w:r w:rsidR="009718C6">
        <w:t xml:space="preserve">in family law and appeared </w:t>
      </w:r>
      <w:r w:rsidRPr="00EE7497">
        <w:t xml:space="preserve">almost exclusively in matters in Division 1 of the Federal Circuit </w:t>
      </w:r>
      <w:r w:rsidR="00B3703F">
        <w:t xml:space="preserve">and Family Court of Australia. </w:t>
      </w:r>
      <w:r w:rsidRPr="00EE7497">
        <w:t xml:space="preserve">Mr Schonell took silk in October 2010 and for many years was a member of the NSW Bar Association’s Family Law Committee, a past Chair of the Family Law Committee and has been the Bar Association’s delegate to the </w:t>
      </w:r>
      <w:r w:rsidR="00EF2472">
        <w:t xml:space="preserve">NSW Legal Aid Review Committee. </w:t>
      </w:r>
      <w:r w:rsidRPr="00EE7497">
        <w:t xml:space="preserve">He </w:t>
      </w:r>
      <w:r w:rsidR="009718C6">
        <w:t>was</w:t>
      </w:r>
      <w:r w:rsidRPr="00EE7497">
        <w:t xml:space="preserve"> also a regular contributor and speaker at conferences and seminars on Family Law. Mr Schonell has, over the last 30 years, developed experience in all facets of the law as it applies to proceedings in the Federal Circuit and Family Court of Australia. He has also appeared in the Full Court of the </w:t>
      </w:r>
      <w:r w:rsidR="009718C6">
        <w:t xml:space="preserve">then </w:t>
      </w:r>
      <w:r w:rsidRPr="00EE7497">
        <w:t xml:space="preserve">Family Court of Australia as well as the High Court of Australia.  A focus of his practice over many years has been appearing </w:t>
      </w:r>
      <w:r w:rsidR="009718C6">
        <w:t>in complex property disputes</w:t>
      </w:r>
      <w:r w:rsidRPr="00EE7497">
        <w:t xml:space="preserve"> as well as in complicated parenting disputes. Whilst based in Sydney, he </w:t>
      </w:r>
      <w:r w:rsidR="009718C6">
        <w:t>was</w:t>
      </w:r>
      <w:r w:rsidR="009718C6" w:rsidRPr="00EE7497">
        <w:t xml:space="preserve"> </w:t>
      </w:r>
      <w:r w:rsidRPr="00EE7497">
        <w:t>regularly retained to</w:t>
      </w:r>
      <w:r w:rsidR="00EF2472">
        <w:t xml:space="preserve"> appear in Division 1 in other S</w:t>
      </w:r>
      <w:r w:rsidRPr="00EE7497">
        <w:t xml:space="preserve">tates. Mr Schonell is a well-regarded a Mediator and is an Accredited arbitrator in family law matters and has been recognised by Doyle’s Guide as amongst the leading Family Law Senior Counsel in Australia. </w:t>
      </w:r>
    </w:p>
    <w:p w:rsidR="006406C5" w:rsidRPr="00EE7497" w:rsidRDefault="006406C5" w:rsidP="00B3703F">
      <w:pPr>
        <w:keepNext/>
        <w:spacing w:before="240"/>
        <w:rPr>
          <w:b/>
        </w:rPr>
      </w:pPr>
      <w:r w:rsidRPr="00EE7497">
        <w:rPr>
          <w:b/>
        </w:rPr>
        <w:lastRenderedPageBreak/>
        <w:t>Barrister Andrew Strum QC</w:t>
      </w:r>
      <w:r w:rsidR="001F0ECB">
        <w:rPr>
          <w:b/>
        </w:rPr>
        <w:t>, a</w:t>
      </w:r>
      <w:r w:rsidRPr="00EE7497">
        <w:rPr>
          <w:b/>
        </w:rPr>
        <w:t>ppointed to Division 1, MELBOURNE</w:t>
      </w:r>
    </w:p>
    <w:p w:rsidR="006406C5" w:rsidRPr="00EE7497" w:rsidRDefault="006406C5" w:rsidP="00B3703F">
      <w:pPr>
        <w:shd w:val="clear" w:color="auto" w:fill="FFFFFF"/>
      </w:pPr>
      <w:r w:rsidRPr="00EE7497">
        <w:t>Melbourne Barrister Andrew Strum QC was admitted to practice in 1992 and signed the Bar Roll in November 1993. Prior to signing the Bar Roll, he was the Legal Associate to the Honourable Justice Steven Strauss, former Judge of the Appeal Division of the Family Court of Australia. Mr Strum has extensive experience practising in all areas of the family law and de facto jurisdictions, including pre-trial applications, trials, appeals, mediations</w:t>
      </w:r>
      <w:r w:rsidR="009718C6">
        <w:t xml:space="preserve"> and</w:t>
      </w:r>
      <w:r w:rsidRPr="00EE7497">
        <w:t xml:space="preserve"> arbitrations. He has written and presented papers on a range of family law related topics, including forum non conveniens, bankruptcy, third parties, superannuation and Jewish divorce law.  Mr Strum was a member and past secretary of the Family Law Bar Association, and has consistently been recognised in Doyle’s Guide, most recently as </w:t>
      </w:r>
      <w:hyperlink r:id="rId9" w:tgtFrame="_blank" w:history="1">
        <w:r w:rsidRPr="00EE7497">
          <w:t>Leading Family Law Senior Counsel – Victoria, 2021 </w:t>
        </w:r>
      </w:hyperlink>
      <w:r w:rsidRPr="00EE7497">
        <w:t>(Doyle's Guide, 2 December 2020) and </w:t>
      </w:r>
      <w:hyperlink r:id="rId10" w:tgtFrame="_blank" w:history="1">
        <w:r w:rsidRPr="00EE7497">
          <w:t>Leading Family Law Senior Counsel – Australia, 2021</w:t>
        </w:r>
      </w:hyperlink>
      <w:r w:rsidRPr="00EE7497">
        <w:t>. </w:t>
      </w:r>
    </w:p>
    <w:p w:rsidR="006406C5" w:rsidRPr="00EE7497" w:rsidRDefault="006406C5" w:rsidP="00B3703F">
      <w:pPr>
        <w:spacing w:before="240"/>
        <w:rPr>
          <w:b/>
        </w:rPr>
      </w:pPr>
      <w:r w:rsidRPr="00EE7497">
        <w:rPr>
          <w:b/>
        </w:rPr>
        <w:t>Senior Judicial Registrar Anna Parker</w:t>
      </w:r>
      <w:r w:rsidR="001F0ECB">
        <w:rPr>
          <w:b/>
        </w:rPr>
        <w:t xml:space="preserve">, </w:t>
      </w:r>
      <w:r w:rsidRPr="00EE7497">
        <w:rPr>
          <w:b/>
        </w:rPr>
        <w:t>appointed to Division 2, ADELAIDE</w:t>
      </w:r>
    </w:p>
    <w:p w:rsidR="006406C5" w:rsidRPr="00EE7497" w:rsidRDefault="00193B13" w:rsidP="00B3703F">
      <w:r>
        <w:t xml:space="preserve">Dr Anna Parker graduated with a Bachelor of Arts (Hons) and Bachelor of Laws (Hons) in 2005 from Monash University. She has subsequently also completed a Master of Laws from the University of Melbourne and a Doctor of Juridical Science from Monash University. Dr Parker completed her Articles of Clerkship at Harwood Andrews Lawyers and subsequently practised as a solicitor in the area of family law at specialist family law firms for approximately 10 years, including as a Partner of a family law firm. Dr Parker was accredited as a Family Law Specialist by the Law Institute of Victoria in 2011. She was called to the Bar in May 2016 and practised as a Barrister exclusively in family law from 2016 until her commencement as a Senior Judicial Registrar and National Operations Judicial Registrar – Judicial Case Management with the Federal Circuit and Family Court of Australia in December 2020. While a Senior Judicial Registrar with the Court, Dr Parker was a member of the Rules Harmonisation Working Group and played a critical role in the development of the Court’s new Central Practice Direction and new case management pathway. </w:t>
      </w:r>
    </w:p>
    <w:p w:rsidR="006406C5" w:rsidRPr="00EE7497" w:rsidRDefault="001F0ECB" w:rsidP="00B3703F">
      <w:pPr>
        <w:spacing w:before="240"/>
        <w:rPr>
          <w:b/>
        </w:rPr>
      </w:pPr>
      <w:r>
        <w:rPr>
          <w:b/>
        </w:rPr>
        <w:t xml:space="preserve">Barrister </w:t>
      </w:r>
      <w:r w:rsidR="006406C5" w:rsidRPr="00EE7497">
        <w:rPr>
          <w:b/>
        </w:rPr>
        <w:t>Dearne Firth</w:t>
      </w:r>
      <w:r>
        <w:rPr>
          <w:b/>
        </w:rPr>
        <w:t>, a</w:t>
      </w:r>
      <w:r w:rsidR="006406C5" w:rsidRPr="00EE7497">
        <w:rPr>
          <w:b/>
        </w:rPr>
        <w:t>ppointed to Division 2, BRISBANE</w:t>
      </w:r>
    </w:p>
    <w:p w:rsidR="006406C5" w:rsidRDefault="006406C5" w:rsidP="00B3703F">
      <w:pPr>
        <w:shd w:val="clear" w:color="auto" w:fill="FFFFFF"/>
      </w:pPr>
      <w:r w:rsidRPr="00EE7497">
        <w:t xml:space="preserve">Queensland Barrister Dearne Firth was called to the Bar in 2010 and practices primarily in family law, child protection, domestic violence, regulatory prosecutions and criminal law. </w:t>
      </w:r>
      <w:r w:rsidR="009946DB" w:rsidRPr="00EE7497">
        <w:t xml:space="preserve">Ms </w:t>
      </w:r>
      <w:r w:rsidRPr="00EE7497">
        <w:t xml:space="preserve">Firth has extensive experience appearing in both Division 1 and Division 2 of the Federal Circuit and Family Court of Australia, as well as the Supreme Court, District Court and Magistrates Court of Queensland.  Additionally, </w:t>
      </w:r>
      <w:r w:rsidR="009946DB" w:rsidRPr="00EE7497">
        <w:t xml:space="preserve">Ms </w:t>
      </w:r>
      <w:r w:rsidRPr="00EE7497">
        <w:t xml:space="preserve">Firth is a nationally accredited mediator and arbitrator. </w:t>
      </w:r>
      <w:r w:rsidR="009946DB" w:rsidRPr="00EE7497">
        <w:t xml:space="preserve">Ms </w:t>
      </w:r>
      <w:r w:rsidRPr="00EE7497">
        <w:t>Firth was a committee member on the board of the Family Law Practitioners Association of Queensland</w:t>
      </w:r>
      <w:r w:rsidR="009946DB" w:rsidRPr="00EE7497">
        <w:t xml:space="preserve">, </w:t>
      </w:r>
      <w:r w:rsidRPr="00EE7497">
        <w:t xml:space="preserve">and was named in Doyle’s Guide as a recommended barrister as one of the Leading Parenting &amp; Children’s Matters Barristers - Queensland, 2019 and 2020; and named as a recommended barrister - Leading Family Law Junior Counsel - Queensland, 2020. </w:t>
      </w:r>
      <w:r w:rsidR="009946DB" w:rsidRPr="00EE7497">
        <w:t xml:space="preserve">She was </w:t>
      </w:r>
      <w:r w:rsidRPr="00EE7497">
        <w:t>also a finalist nominated for Barrister of the Year at the Women in Law Awards 2017.</w:t>
      </w:r>
    </w:p>
    <w:p w:rsidR="007507CC" w:rsidRDefault="00A242E9" w:rsidP="00B3703F">
      <w:pPr>
        <w:spacing w:before="240"/>
        <w:rPr>
          <w:rFonts w:eastAsia="Times New Roman"/>
        </w:rPr>
      </w:pPr>
      <w:r>
        <w:rPr>
          <w:rFonts w:eastAsia="Times New Roman"/>
        </w:rPr>
        <w:t>Chief Justice Alstergren said that t</w:t>
      </w:r>
      <w:r w:rsidR="007507CC">
        <w:rPr>
          <w:rFonts w:eastAsia="Times New Roman"/>
        </w:rPr>
        <w:t xml:space="preserve">he appointment of such highly experienced family law practitioners has never been more important than now, following the Court’s release of concerning </w:t>
      </w:r>
      <w:hyperlink r:id="rId11" w:history="1">
        <w:r w:rsidR="007507CC" w:rsidRPr="002E4412">
          <w:rPr>
            <w:rStyle w:val="Hyperlink"/>
            <w:rFonts w:eastAsia="Times New Roman"/>
          </w:rPr>
          <w:t>statistics</w:t>
        </w:r>
      </w:hyperlink>
      <w:r w:rsidR="007507CC">
        <w:rPr>
          <w:rFonts w:eastAsia="Times New Roman"/>
        </w:rPr>
        <w:t xml:space="preserve"> that demonstrate the extent of family violence allegations and other risk factors faced by vulnerable parties and children involved in family law. </w:t>
      </w:r>
    </w:p>
    <w:p w:rsidR="007507CC" w:rsidRDefault="00C13C6E" w:rsidP="00B3703F">
      <w:pPr>
        <w:spacing w:before="240"/>
      </w:pPr>
      <w:r>
        <w:t xml:space="preserve">“Data from over </w:t>
      </w:r>
      <w:r w:rsidR="006D4130" w:rsidRPr="001F0ECB">
        <w:t>20</w:t>
      </w:r>
      <w:r w:rsidR="007507CC" w:rsidRPr="001F0ECB">
        <w:t>,000</w:t>
      </w:r>
      <w:r>
        <w:t xml:space="preserve"> </w:t>
      </w:r>
      <w:r w:rsidR="007507CC">
        <w:t xml:space="preserve">electronic Notices of </w:t>
      </w:r>
      <w:r w:rsidR="006D4130">
        <w:t xml:space="preserve">Child Abuse, Family Violence or </w:t>
      </w:r>
      <w:r w:rsidR="007507CC">
        <w:t>Risk filed in parenting disputes, shows that nearly 80% of the Court’s matters involve at least one major risk factor (including child abuse, family violence, mental health issues, alcoholism or other substance abuse), and nearly one half of such matters have 4 or more of those risk factors in them. The Court’s Lighthouse Project also demonstrates that more than 60% of our parenting disputes screen as high risk.</w:t>
      </w:r>
    </w:p>
    <w:p w:rsidR="007507CC" w:rsidRDefault="007507CC" w:rsidP="00B3703F">
      <w:pPr>
        <w:spacing w:before="240"/>
      </w:pPr>
      <w:r>
        <w:lastRenderedPageBreak/>
        <w:t xml:space="preserve">“The Court is grateful for the timely appointment of judges, however, we remain focused on securing further resources to enable the Court to expand critical projects nationally such as the Lighthouse Project and the PPP500 </w:t>
      </w:r>
      <w:r w:rsidR="006D4130">
        <w:t xml:space="preserve">List </w:t>
      </w:r>
      <w:r>
        <w:t xml:space="preserve">to provide a better and safer approach </w:t>
      </w:r>
      <w:r w:rsidR="006D4130">
        <w:t>for</w:t>
      </w:r>
      <w:r>
        <w:t xml:space="preserve"> vulnerable parties involved in</w:t>
      </w:r>
      <w:r w:rsidR="006D4130">
        <w:t xml:space="preserve"> the</w:t>
      </w:r>
      <w:r>
        <w:t xml:space="preserve"> family law system,” Chief Justice Alstergren added.</w:t>
      </w:r>
      <w:bookmarkStart w:id="0" w:name="_GoBack"/>
      <w:bookmarkEnd w:id="0"/>
    </w:p>
    <w:p w:rsidR="003A02C8" w:rsidRDefault="007507CC" w:rsidP="00B3703F">
      <w:pPr>
        <w:spacing w:before="240"/>
      </w:pPr>
      <w:r>
        <w:t>The continuation and expansion of these projects and other court initiatives forms part of a series of recommendations outlined in the recently published report</w:t>
      </w:r>
      <w:r w:rsidR="006D4130">
        <w:t xml:space="preserve"> prepared by the</w:t>
      </w:r>
      <w:r>
        <w:t xml:space="preserve"> </w:t>
      </w:r>
      <w:hyperlink r:id="rId12" w:history="1">
        <w:r w:rsidRPr="00C410F3">
          <w:rPr>
            <w:rStyle w:val="Hyperlink"/>
            <w:i/>
          </w:rPr>
          <w:t>Joint Select Committee on Australia’s Family Law System</w:t>
        </w:r>
      </w:hyperlink>
      <w:r>
        <w:t>.</w:t>
      </w:r>
    </w:p>
    <w:sectPr w:rsidR="003A02C8">
      <w:headerReference w:type="even" r:id="rId13"/>
      <w:headerReference w:type="default" r:id="rId14"/>
      <w:footerReference w:type="even" r:id="rId15"/>
      <w:footerReference w:type="default" r:id="rId16"/>
      <w:headerReference w:type="first" r:id="rId17"/>
      <w:footerReference w:type="first" r:id="rId1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518FD" w:rsidRDefault="00B518FD" w:rsidP="00965ADE">
      <w:r>
        <w:separator/>
      </w:r>
    </w:p>
  </w:endnote>
  <w:endnote w:type="continuationSeparator" w:id="0">
    <w:p w:rsidR="00B518FD" w:rsidRDefault="00B518FD" w:rsidP="00965A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F0ECB" w:rsidRDefault="001F0EC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16"/>
        <w:szCs w:val="16"/>
      </w:rPr>
      <w:id w:val="883228817"/>
      <w:docPartObj>
        <w:docPartGallery w:val="Page Numbers (Bottom of Page)"/>
        <w:docPartUnique/>
      </w:docPartObj>
    </w:sdtPr>
    <w:sdtEndPr>
      <w:rPr>
        <w:color w:val="7F7F7F" w:themeColor="background1" w:themeShade="7F"/>
        <w:spacing w:val="60"/>
      </w:rPr>
    </w:sdtEndPr>
    <w:sdtContent>
      <w:p w:rsidR="00D2548B" w:rsidRPr="00D2548B" w:rsidRDefault="00D2548B" w:rsidP="00D2548B">
        <w:pPr>
          <w:pStyle w:val="Footer"/>
          <w:pBdr>
            <w:top w:val="single" w:sz="4" w:space="1" w:color="D9D9D9" w:themeColor="background1" w:themeShade="D9"/>
          </w:pBdr>
          <w:jc w:val="right"/>
          <w:rPr>
            <w:b/>
            <w:bCs/>
            <w:sz w:val="16"/>
            <w:szCs w:val="16"/>
          </w:rPr>
        </w:pPr>
        <w:r w:rsidRPr="00D2548B">
          <w:rPr>
            <w:sz w:val="16"/>
            <w:szCs w:val="16"/>
          </w:rPr>
          <w:fldChar w:fldCharType="begin"/>
        </w:r>
        <w:r w:rsidRPr="00D2548B">
          <w:rPr>
            <w:sz w:val="16"/>
            <w:szCs w:val="16"/>
          </w:rPr>
          <w:instrText xml:space="preserve"> PAGE   \* MERGEFORMAT </w:instrText>
        </w:r>
        <w:r w:rsidRPr="00D2548B">
          <w:rPr>
            <w:sz w:val="16"/>
            <w:szCs w:val="16"/>
          </w:rPr>
          <w:fldChar w:fldCharType="separate"/>
        </w:r>
        <w:r w:rsidR="00B3703F" w:rsidRPr="00B3703F">
          <w:rPr>
            <w:b/>
            <w:bCs/>
            <w:noProof/>
            <w:sz w:val="16"/>
            <w:szCs w:val="16"/>
          </w:rPr>
          <w:t>1</w:t>
        </w:r>
        <w:r w:rsidRPr="00D2548B">
          <w:rPr>
            <w:b/>
            <w:bCs/>
            <w:noProof/>
            <w:sz w:val="16"/>
            <w:szCs w:val="16"/>
          </w:rPr>
          <w:fldChar w:fldCharType="end"/>
        </w:r>
        <w:r w:rsidRPr="00D2548B">
          <w:rPr>
            <w:b/>
            <w:bCs/>
            <w:sz w:val="16"/>
            <w:szCs w:val="16"/>
          </w:rPr>
          <w:t xml:space="preserve"> | </w:t>
        </w:r>
        <w:r w:rsidRPr="00D2548B">
          <w:rPr>
            <w:color w:val="7F7F7F" w:themeColor="background1" w:themeShade="7F"/>
            <w:spacing w:val="60"/>
            <w:sz w:val="16"/>
            <w:szCs w:val="16"/>
          </w:rPr>
          <w:t>Page</w:t>
        </w:r>
      </w:p>
    </w:sdtContent>
  </w:sdt>
  <w:p w:rsidR="00687663" w:rsidRPr="00687663" w:rsidRDefault="00687663" w:rsidP="00687663">
    <w:pPr>
      <w:autoSpaceDE w:val="0"/>
      <w:autoSpaceDN w:val="0"/>
      <w:rPr>
        <w:rFonts w:ascii="Calibri Light" w:eastAsiaTheme="minorEastAsia" w:hAnsi="Calibri Light" w:cs="Calibri Light"/>
        <w:noProof/>
        <w:color w:val="666666"/>
        <w:sz w:val="16"/>
        <w:szCs w:val="16"/>
        <w:lang w:eastAsia="en-AU"/>
      </w:rPr>
    </w:pPr>
    <w:r w:rsidRPr="00687663">
      <w:rPr>
        <w:rFonts w:ascii="Calibri Light" w:eastAsiaTheme="minorEastAsia" w:hAnsi="Calibri Light" w:cs="Calibri Light"/>
        <w:b/>
        <w:bCs/>
        <w:noProof/>
        <w:color w:val="44546A"/>
        <w:sz w:val="16"/>
        <w:szCs w:val="16"/>
        <w:lang w:eastAsia="en-AU"/>
      </w:rPr>
      <w:t>Denise Healy</w:t>
    </w:r>
    <w:r w:rsidRPr="00687663">
      <w:rPr>
        <w:rFonts w:ascii="Calibri Light" w:eastAsiaTheme="minorEastAsia" w:hAnsi="Calibri Light" w:cs="Calibri Light"/>
        <w:noProof/>
        <w:color w:val="44546A"/>
        <w:sz w:val="16"/>
        <w:szCs w:val="16"/>
        <w:lang w:eastAsia="en-AU"/>
      </w:rPr>
      <w:t xml:space="preserve"> – </w:t>
    </w:r>
    <w:r w:rsidRPr="00687663">
      <w:rPr>
        <w:rFonts w:ascii="Calibri Light" w:eastAsiaTheme="minorEastAsia" w:hAnsi="Calibri Light" w:cs="Calibri Light"/>
        <w:noProof/>
        <w:color w:val="666666"/>
        <w:sz w:val="16"/>
        <w:szCs w:val="16"/>
        <w:lang w:eastAsia="en-AU"/>
      </w:rPr>
      <w:t xml:space="preserve">Director, Media &amp; Public Affairs, Federal Circuit and Family Court of Australia </w:t>
    </w:r>
  </w:p>
  <w:p w:rsidR="00687663" w:rsidRPr="00687663" w:rsidRDefault="00687663" w:rsidP="00687663">
    <w:pPr>
      <w:rPr>
        <w:rFonts w:ascii="Calibri Light" w:eastAsiaTheme="minorEastAsia" w:hAnsi="Calibri Light" w:cs="Calibri Light"/>
        <w:noProof/>
        <w:color w:val="666666"/>
        <w:sz w:val="16"/>
        <w:szCs w:val="16"/>
        <w:lang w:eastAsia="en-AU"/>
      </w:rPr>
    </w:pPr>
    <w:r w:rsidRPr="00687663">
      <w:rPr>
        <w:rFonts w:ascii="Calibri Light" w:eastAsiaTheme="minorEastAsia" w:hAnsi="Calibri Light" w:cs="Calibri Light"/>
        <w:b/>
        <w:bCs/>
        <w:noProof/>
        <w:color w:val="44546A"/>
        <w:sz w:val="16"/>
        <w:szCs w:val="16"/>
        <w:lang w:eastAsia="en-AU"/>
      </w:rPr>
      <w:t xml:space="preserve">m. </w:t>
    </w:r>
    <w:r w:rsidRPr="00687663">
      <w:rPr>
        <w:rFonts w:ascii="Calibri Light" w:eastAsiaTheme="minorEastAsia" w:hAnsi="Calibri Light" w:cs="Calibri Light"/>
        <w:noProof/>
        <w:color w:val="666666"/>
        <w:sz w:val="16"/>
        <w:szCs w:val="16"/>
        <w:lang w:eastAsia="en-AU"/>
      </w:rPr>
      <w:t xml:space="preserve">0409 743 695 </w:t>
    </w:r>
    <w:r w:rsidRPr="00687663">
      <w:rPr>
        <w:rFonts w:ascii="Calibri Light" w:eastAsiaTheme="minorEastAsia" w:hAnsi="Calibri Light" w:cs="Calibri Light"/>
        <w:b/>
        <w:bCs/>
        <w:noProof/>
        <w:color w:val="44546A"/>
        <w:sz w:val="16"/>
        <w:szCs w:val="16"/>
        <w:lang w:eastAsia="en-AU"/>
      </w:rPr>
      <w:t>e.</w:t>
    </w:r>
    <w:r w:rsidRPr="00687663">
      <w:rPr>
        <w:rFonts w:ascii="Calibri Light" w:eastAsiaTheme="minorEastAsia" w:hAnsi="Calibri Light" w:cs="Calibri Light"/>
        <w:b/>
        <w:bCs/>
        <w:noProof/>
        <w:color w:val="000000"/>
        <w:sz w:val="16"/>
        <w:szCs w:val="16"/>
        <w:lang w:eastAsia="en-AU"/>
      </w:rPr>
      <w:t xml:space="preserve"> </w:t>
    </w:r>
    <w:hyperlink r:id="rId1" w:history="1">
      <w:r w:rsidRPr="00687663">
        <w:rPr>
          <w:rStyle w:val="Hyperlink"/>
          <w:rFonts w:ascii="Calibri Light" w:eastAsiaTheme="minorEastAsia" w:hAnsi="Calibri Light" w:cs="Calibri Light"/>
          <w:noProof/>
          <w:sz w:val="16"/>
          <w:szCs w:val="16"/>
        </w:rPr>
        <w:t>denise.healy@fcfcoa.gov.au</w:t>
      </w:r>
    </w:hyperlink>
  </w:p>
  <w:p w:rsidR="00965ADE" w:rsidRDefault="00965AD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F0ECB" w:rsidRDefault="001F0EC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518FD" w:rsidRDefault="00B518FD" w:rsidP="00965ADE">
      <w:r>
        <w:separator/>
      </w:r>
    </w:p>
  </w:footnote>
  <w:footnote w:type="continuationSeparator" w:id="0">
    <w:p w:rsidR="00B518FD" w:rsidRDefault="00B518FD" w:rsidP="00965AD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F0ECB" w:rsidRDefault="001F0EC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5ADE" w:rsidRDefault="00965AD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F0ECB" w:rsidRDefault="001F0EC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D35260"/>
    <w:multiLevelType w:val="hybridMultilevel"/>
    <w:tmpl w:val="D106930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 w15:restartNumberingAfterBreak="0">
    <w:nsid w:val="267D47D2"/>
    <w:multiLevelType w:val="hybridMultilevel"/>
    <w:tmpl w:val="1186B0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08F0"/>
    <w:rsid w:val="0006637E"/>
    <w:rsid w:val="000D08F0"/>
    <w:rsid w:val="000D18BD"/>
    <w:rsid w:val="00101C4D"/>
    <w:rsid w:val="00112F65"/>
    <w:rsid w:val="00192A52"/>
    <w:rsid w:val="00193B13"/>
    <w:rsid w:val="001E7306"/>
    <w:rsid w:val="001F0ECB"/>
    <w:rsid w:val="002B26C3"/>
    <w:rsid w:val="002C3438"/>
    <w:rsid w:val="002E4412"/>
    <w:rsid w:val="002F79C3"/>
    <w:rsid w:val="00344A2D"/>
    <w:rsid w:val="00344C32"/>
    <w:rsid w:val="003A02C8"/>
    <w:rsid w:val="003F50C0"/>
    <w:rsid w:val="004B3650"/>
    <w:rsid w:val="004F0938"/>
    <w:rsid w:val="00581DF2"/>
    <w:rsid w:val="005842F3"/>
    <w:rsid w:val="00590E94"/>
    <w:rsid w:val="005B29BB"/>
    <w:rsid w:val="005D1D63"/>
    <w:rsid w:val="00621578"/>
    <w:rsid w:val="006301D4"/>
    <w:rsid w:val="006406C5"/>
    <w:rsid w:val="00675F96"/>
    <w:rsid w:val="00687663"/>
    <w:rsid w:val="006A661F"/>
    <w:rsid w:val="006D4130"/>
    <w:rsid w:val="006D51A8"/>
    <w:rsid w:val="007429CB"/>
    <w:rsid w:val="007507CC"/>
    <w:rsid w:val="007518E5"/>
    <w:rsid w:val="007647D3"/>
    <w:rsid w:val="007B6732"/>
    <w:rsid w:val="007B728D"/>
    <w:rsid w:val="007F2644"/>
    <w:rsid w:val="00851312"/>
    <w:rsid w:val="008646D0"/>
    <w:rsid w:val="008D695F"/>
    <w:rsid w:val="008E6804"/>
    <w:rsid w:val="00965ADE"/>
    <w:rsid w:val="009718C6"/>
    <w:rsid w:val="009946DB"/>
    <w:rsid w:val="009C3689"/>
    <w:rsid w:val="009E4A49"/>
    <w:rsid w:val="00A17641"/>
    <w:rsid w:val="00A242E9"/>
    <w:rsid w:val="00AE739B"/>
    <w:rsid w:val="00AF16F6"/>
    <w:rsid w:val="00B108B0"/>
    <w:rsid w:val="00B22227"/>
    <w:rsid w:val="00B3703F"/>
    <w:rsid w:val="00B518FD"/>
    <w:rsid w:val="00B83755"/>
    <w:rsid w:val="00BE6F74"/>
    <w:rsid w:val="00C13C6E"/>
    <w:rsid w:val="00C27320"/>
    <w:rsid w:val="00C410F3"/>
    <w:rsid w:val="00CB2E3D"/>
    <w:rsid w:val="00D2548B"/>
    <w:rsid w:val="00DA43B4"/>
    <w:rsid w:val="00DC268B"/>
    <w:rsid w:val="00DD253A"/>
    <w:rsid w:val="00E0390F"/>
    <w:rsid w:val="00E15E05"/>
    <w:rsid w:val="00E32FF8"/>
    <w:rsid w:val="00E63A3A"/>
    <w:rsid w:val="00E9113C"/>
    <w:rsid w:val="00EE7497"/>
    <w:rsid w:val="00EF2472"/>
    <w:rsid w:val="00F21172"/>
    <w:rsid w:val="00FB52D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325083F"/>
  <w15:chartTrackingRefBased/>
  <w15:docId w15:val="{073AEFDA-823B-4AB0-AFA7-86D3C0F87A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D08F0"/>
    <w:pPr>
      <w:spacing w:after="0" w:line="240" w:lineRule="auto"/>
    </w:pPr>
  </w:style>
  <w:style w:type="paragraph" w:styleId="Heading1">
    <w:name w:val="heading 1"/>
    <w:basedOn w:val="Normal"/>
    <w:next w:val="Normal"/>
    <w:link w:val="Heading1Char"/>
    <w:uiPriority w:val="9"/>
    <w:qFormat/>
    <w:rsid w:val="000D08F0"/>
    <w:pPr>
      <w:keepNext/>
      <w:keepLines/>
      <w:spacing w:before="120" w:after="240" w:line="276" w:lineRule="auto"/>
      <w:outlineLvl w:val="0"/>
    </w:pPr>
    <w:rPr>
      <w:rFonts w:eastAsiaTheme="majorEastAsia" w:cstheme="majorBidi"/>
      <w:b/>
      <w:bCs/>
      <w:color w:val="04526C"/>
      <w:sz w:val="36"/>
      <w:szCs w:val="28"/>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D08F0"/>
    <w:rPr>
      <w:rFonts w:eastAsiaTheme="majorEastAsia" w:cstheme="majorBidi"/>
      <w:b/>
      <w:bCs/>
      <w:color w:val="04526C"/>
      <w:sz w:val="36"/>
      <w:szCs w:val="28"/>
      <w:lang w:eastAsia="en-AU"/>
    </w:rPr>
  </w:style>
  <w:style w:type="character" w:styleId="Hyperlink">
    <w:name w:val="Hyperlink"/>
    <w:basedOn w:val="DefaultParagraphFont"/>
    <w:uiPriority w:val="99"/>
    <w:unhideWhenUsed/>
    <w:rsid w:val="000D08F0"/>
    <w:rPr>
      <w:color w:val="0563C1" w:themeColor="hyperlink"/>
      <w:u w:val="single"/>
    </w:rPr>
  </w:style>
  <w:style w:type="paragraph" w:styleId="ListParagraph">
    <w:name w:val="List Paragraph"/>
    <w:aliases w:val="Recommendation,L,List Paragraph1,List Paragraph11,CV text,Table text,F5 List Paragraph,Dot pt,List Paragraph111,Medium Grid 1 - Accent 21,List Paragraph2,NFP GP Bulleted List,FooterText,numbered,Paragraphe de liste1,列出段,List Bullet Cab"/>
    <w:basedOn w:val="Normal"/>
    <w:link w:val="ListParagraphChar"/>
    <w:uiPriority w:val="1"/>
    <w:qFormat/>
    <w:rsid w:val="000D08F0"/>
    <w:pPr>
      <w:spacing w:after="200" w:line="276" w:lineRule="auto"/>
      <w:ind w:left="720"/>
      <w:contextualSpacing/>
    </w:pPr>
    <w:rPr>
      <w:lang w:eastAsia="en-AU"/>
    </w:rPr>
  </w:style>
  <w:style w:type="character" w:customStyle="1" w:styleId="ListParagraphChar">
    <w:name w:val="List Paragraph Char"/>
    <w:aliases w:val="Recommendation Char,L Char,List Paragraph1 Char,List Paragraph11 Char,CV text Char,Table text Char,F5 List Paragraph Char,Dot pt Char,List Paragraph111 Char,Medium Grid 1 - Accent 21 Char,List Paragraph2 Char,FooterText Char,列出段 Char"/>
    <w:basedOn w:val="DefaultParagraphFont"/>
    <w:link w:val="ListParagraph"/>
    <w:uiPriority w:val="1"/>
    <w:locked/>
    <w:rsid w:val="00E15E05"/>
    <w:rPr>
      <w:lang w:eastAsia="en-AU"/>
    </w:rPr>
  </w:style>
  <w:style w:type="table" w:styleId="TableGrid">
    <w:name w:val="Table Grid"/>
    <w:basedOn w:val="TableNormal"/>
    <w:uiPriority w:val="39"/>
    <w:rsid w:val="00E15E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965ADE"/>
    <w:pPr>
      <w:tabs>
        <w:tab w:val="center" w:pos="4513"/>
        <w:tab w:val="right" w:pos="9026"/>
      </w:tabs>
    </w:pPr>
  </w:style>
  <w:style w:type="character" w:customStyle="1" w:styleId="HeaderChar">
    <w:name w:val="Header Char"/>
    <w:basedOn w:val="DefaultParagraphFont"/>
    <w:link w:val="Header"/>
    <w:uiPriority w:val="99"/>
    <w:rsid w:val="00965ADE"/>
  </w:style>
  <w:style w:type="paragraph" w:styleId="Footer">
    <w:name w:val="footer"/>
    <w:basedOn w:val="Normal"/>
    <w:link w:val="FooterChar"/>
    <w:uiPriority w:val="99"/>
    <w:unhideWhenUsed/>
    <w:rsid w:val="00965ADE"/>
    <w:pPr>
      <w:tabs>
        <w:tab w:val="center" w:pos="4513"/>
        <w:tab w:val="right" w:pos="9026"/>
      </w:tabs>
    </w:pPr>
  </w:style>
  <w:style w:type="character" w:customStyle="1" w:styleId="FooterChar">
    <w:name w:val="Footer Char"/>
    <w:basedOn w:val="DefaultParagraphFont"/>
    <w:link w:val="Footer"/>
    <w:uiPriority w:val="99"/>
    <w:rsid w:val="00965ADE"/>
  </w:style>
  <w:style w:type="paragraph" w:styleId="BalloonText">
    <w:name w:val="Balloon Text"/>
    <w:basedOn w:val="Normal"/>
    <w:link w:val="BalloonTextChar"/>
    <w:uiPriority w:val="99"/>
    <w:semiHidden/>
    <w:unhideWhenUsed/>
    <w:rsid w:val="009C368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C3689"/>
    <w:rPr>
      <w:rFonts w:ascii="Segoe UI" w:hAnsi="Segoe UI" w:cs="Segoe UI"/>
      <w:sz w:val="18"/>
      <w:szCs w:val="18"/>
    </w:rPr>
  </w:style>
  <w:style w:type="paragraph" w:customStyle="1" w:styleId="1hzxw">
    <w:name w:val="_1hzxw"/>
    <w:basedOn w:val="Normal"/>
    <w:rsid w:val="006406C5"/>
    <w:pPr>
      <w:spacing w:before="100" w:beforeAutospacing="1" w:after="100" w:afterAutospacing="1"/>
    </w:pPr>
    <w:rPr>
      <w:rFonts w:ascii="Times New Roman" w:eastAsia="Times New Roman" w:hAnsi="Times New Roman" w:cs="Times New Roman"/>
      <w:sz w:val="24"/>
      <w:szCs w:val="24"/>
      <w:lang w:eastAsia="en-AU"/>
    </w:rPr>
  </w:style>
  <w:style w:type="character" w:styleId="CommentReference">
    <w:name w:val="annotation reference"/>
    <w:basedOn w:val="DefaultParagraphFont"/>
    <w:uiPriority w:val="99"/>
    <w:semiHidden/>
    <w:unhideWhenUsed/>
    <w:rsid w:val="009718C6"/>
    <w:rPr>
      <w:sz w:val="16"/>
      <w:szCs w:val="16"/>
    </w:rPr>
  </w:style>
  <w:style w:type="paragraph" w:styleId="CommentText">
    <w:name w:val="annotation text"/>
    <w:basedOn w:val="Normal"/>
    <w:link w:val="CommentTextChar"/>
    <w:uiPriority w:val="99"/>
    <w:semiHidden/>
    <w:unhideWhenUsed/>
    <w:rsid w:val="009718C6"/>
    <w:rPr>
      <w:sz w:val="20"/>
      <w:szCs w:val="20"/>
    </w:rPr>
  </w:style>
  <w:style w:type="character" w:customStyle="1" w:styleId="CommentTextChar">
    <w:name w:val="Comment Text Char"/>
    <w:basedOn w:val="DefaultParagraphFont"/>
    <w:link w:val="CommentText"/>
    <w:uiPriority w:val="99"/>
    <w:semiHidden/>
    <w:rsid w:val="009718C6"/>
    <w:rPr>
      <w:sz w:val="20"/>
      <w:szCs w:val="20"/>
    </w:rPr>
  </w:style>
  <w:style w:type="paragraph" w:styleId="CommentSubject">
    <w:name w:val="annotation subject"/>
    <w:basedOn w:val="CommentText"/>
    <w:next w:val="CommentText"/>
    <w:link w:val="CommentSubjectChar"/>
    <w:uiPriority w:val="99"/>
    <w:semiHidden/>
    <w:unhideWhenUsed/>
    <w:rsid w:val="009718C6"/>
    <w:rPr>
      <w:b/>
      <w:bCs/>
    </w:rPr>
  </w:style>
  <w:style w:type="character" w:customStyle="1" w:styleId="CommentSubjectChar">
    <w:name w:val="Comment Subject Char"/>
    <w:basedOn w:val="CommentTextChar"/>
    <w:link w:val="CommentSubject"/>
    <w:uiPriority w:val="99"/>
    <w:semiHidden/>
    <w:rsid w:val="009718C6"/>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5416516">
      <w:bodyDiv w:val="1"/>
      <w:marLeft w:val="0"/>
      <w:marRight w:val="0"/>
      <w:marTop w:val="0"/>
      <w:marBottom w:val="0"/>
      <w:divBdr>
        <w:top w:val="none" w:sz="0" w:space="0" w:color="auto"/>
        <w:left w:val="none" w:sz="0" w:space="0" w:color="auto"/>
        <w:bottom w:val="none" w:sz="0" w:space="0" w:color="auto"/>
        <w:right w:val="none" w:sz="0" w:space="0" w:color="auto"/>
      </w:divBdr>
    </w:div>
    <w:div w:id="457993874">
      <w:bodyDiv w:val="1"/>
      <w:marLeft w:val="0"/>
      <w:marRight w:val="0"/>
      <w:marTop w:val="0"/>
      <w:marBottom w:val="0"/>
      <w:divBdr>
        <w:top w:val="none" w:sz="0" w:space="0" w:color="auto"/>
        <w:left w:val="none" w:sz="0" w:space="0" w:color="auto"/>
        <w:bottom w:val="none" w:sz="0" w:space="0" w:color="auto"/>
        <w:right w:val="none" w:sz="0" w:space="0" w:color="auto"/>
      </w:divBdr>
    </w:div>
    <w:div w:id="1125657681">
      <w:bodyDiv w:val="1"/>
      <w:marLeft w:val="0"/>
      <w:marRight w:val="0"/>
      <w:marTop w:val="0"/>
      <w:marBottom w:val="0"/>
      <w:divBdr>
        <w:top w:val="none" w:sz="0" w:space="0" w:color="auto"/>
        <w:left w:val="none" w:sz="0" w:space="0" w:color="auto"/>
        <w:bottom w:val="none" w:sz="0" w:space="0" w:color="auto"/>
        <w:right w:val="none" w:sz="0" w:space="0" w:color="auto"/>
      </w:divBdr>
    </w:div>
    <w:div w:id="15928107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fcfcoa.gov.au/news-and-media/mr151021-national"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s://www.aph.gov.au/Parliamentary_Business/Committees/Joint/Family_Law_System/FamilyLaw/Final_Report" TargetMode="External"/><Relationship Id="rId17" Type="http://schemas.openxmlformats.org/officeDocument/2006/relationships/header" Target="header3.xml"/><Relationship Id="rId2" Type="http://schemas.openxmlformats.org/officeDocument/2006/relationships/styles" Target="style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fcfcoa.gov.au/news-and-media-centre/media-releases/mr101121"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s://doylesguide.com/leading-family-law-senior-counsel-australia-2021/"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doylesguide.com/leading-family-law-senior-counsel-victoria-2021/" TargetMode="External"/><Relationship Id="rId14" Type="http://schemas.openxmlformats.org/officeDocument/2006/relationships/header" Target="header2.xml"/></Relationships>
</file>

<file path=word/_rels/footer2.xml.rels><?xml version="1.0" encoding="UTF-8" standalone="yes"?>
<Relationships xmlns="http://schemas.openxmlformats.org/package/2006/relationships"><Relationship Id="rId1" Type="http://schemas.openxmlformats.org/officeDocument/2006/relationships/hyperlink" Target="mailto:denise.healy@fcfcoa.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3</Pages>
  <Words>1352</Words>
  <Characters>6668</Characters>
  <Application>Microsoft Office Word</Application>
  <DocSecurity>0</DocSecurity>
  <Lines>130</Lines>
  <Paragraphs>82</Paragraphs>
  <ScaleCrop>false</ScaleCrop>
  <HeadingPairs>
    <vt:vector size="2" baseType="variant">
      <vt:variant>
        <vt:lpstr>Title</vt:lpstr>
      </vt:variant>
      <vt:variant>
        <vt:i4>1</vt:i4>
      </vt:variant>
    </vt:vector>
  </HeadingPairs>
  <TitlesOfParts>
    <vt:vector size="1" baseType="lpstr">
      <vt:lpstr>Media Release: Four new judicial appointments to the Federal Circuit and Family Court of Australia</vt:lpstr>
    </vt:vector>
  </TitlesOfParts>
  <Company>Federal Court of Australia</Company>
  <LinksUpToDate>false</LinksUpToDate>
  <CharactersWithSpaces>7938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Media Release: Four new judicial appointments to the Federal Circuit and Family Court of Australia</dc:title>
  <dc:subject/>
  <dc:creator>Federal Circuit and Family Court of Australia</dc:creator>
  <cp:keywords/>
  <dc:description/>
  <cp:lastModifiedBy>Christine Tuff</cp:lastModifiedBy>
  <cp:revision>3</cp:revision>
  <cp:lastPrinted>2021-11-24T04:35:00Z</cp:lastPrinted>
  <dcterms:created xsi:type="dcterms:W3CDTF">2021-11-26T00:30:00Z</dcterms:created>
  <dcterms:modified xsi:type="dcterms:W3CDTF">2021-11-26T00:34:00Z</dcterms:modified>
</cp:coreProperties>
</file>