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41DF2F" w14:textId="77777777" w:rsidR="00621578" w:rsidRDefault="00621578" w:rsidP="000D08F0">
      <w:pPr>
        <w:pStyle w:val="Heading1"/>
      </w:pPr>
      <w:r>
        <w:rPr>
          <w:noProof/>
        </w:rPr>
        <w:drawing>
          <wp:anchor distT="0" distB="0" distL="114300" distR="114300" simplePos="0" relativeHeight="251659264" behindDoc="1" locked="0" layoutInCell="1" allowOverlap="1" wp14:anchorId="1C50FC1D" wp14:editId="69E493D0">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14:paraId="671BF3C0" w14:textId="59400A3D" w:rsidR="00716AB0" w:rsidRPr="00716AB0" w:rsidRDefault="00673E82" w:rsidP="00716AB0">
      <w:pPr>
        <w:pStyle w:val="Heading1"/>
        <w:jc w:val="right"/>
        <w:rPr>
          <w:sz w:val="24"/>
          <w:szCs w:val="24"/>
        </w:rPr>
      </w:pPr>
      <w:r>
        <w:rPr>
          <w:sz w:val="24"/>
          <w:szCs w:val="24"/>
        </w:rPr>
        <w:t>10</w:t>
      </w:r>
      <w:r w:rsidR="00D829E4">
        <w:rPr>
          <w:sz w:val="24"/>
          <w:szCs w:val="24"/>
        </w:rPr>
        <w:t xml:space="preserve"> November</w:t>
      </w:r>
      <w:r w:rsidR="00716AB0" w:rsidRPr="00716AB0">
        <w:rPr>
          <w:sz w:val="24"/>
          <w:szCs w:val="24"/>
        </w:rPr>
        <w:t xml:space="preserve"> 2021</w:t>
      </w:r>
    </w:p>
    <w:p w14:paraId="3662F93F" w14:textId="2F065E63" w:rsidR="000D08F0" w:rsidRDefault="000D08F0" w:rsidP="000D08F0">
      <w:pPr>
        <w:pStyle w:val="Heading1"/>
      </w:pPr>
      <w:r>
        <w:t xml:space="preserve">Media Release: </w:t>
      </w:r>
      <w:r w:rsidR="00051035">
        <w:t>New court</w:t>
      </w:r>
      <w:r w:rsidR="00854453">
        <w:t xml:space="preserve"> initiatives help uncover</w:t>
      </w:r>
      <w:r w:rsidR="00051035">
        <w:t xml:space="preserve"> higher prevalence o</w:t>
      </w:r>
      <w:r w:rsidR="008F5757">
        <w:t>f family violence</w:t>
      </w:r>
      <w:r w:rsidR="00AC47ED">
        <w:t xml:space="preserve"> and other risks</w:t>
      </w:r>
    </w:p>
    <w:p w14:paraId="01F0B70B" w14:textId="011E3BCF" w:rsidR="008F5757" w:rsidRDefault="008F5757" w:rsidP="00CC6018">
      <w:pPr>
        <w:ind w:right="-330"/>
      </w:pPr>
      <w:r>
        <w:t>The Federal Circuit and Family Court of Australia (the Court) is undertaking world-leading initiatives that have helped uncover concerning data about the widespread prevalence of family violence and other risk factors in family law cases.</w:t>
      </w:r>
    </w:p>
    <w:p w14:paraId="555B6681" w14:textId="64832480" w:rsidR="00051035" w:rsidRDefault="00904E52" w:rsidP="00A010F7">
      <w:pPr>
        <w:spacing w:before="240"/>
        <w:ind w:right="-329"/>
      </w:pPr>
      <w:r w:rsidRPr="00904E52">
        <w:t xml:space="preserve">In addition to </w:t>
      </w:r>
      <w:r>
        <w:t>c</w:t>
      </w:r>
      <w:r w:rsidRPr="00904E52">
        <w:t>ourt data showing approximately 80% of family law cases allege at least one major risk factor (including family violence), we now know that around 50% of high risk matters screened as part of the Court’s Lighthouse Project, contain four or more major risk factors</w:t>
      </w:r>
      <w:r w:rsidR="00C86C0B">
        <w:t xml:space="preserve">. This </w:t>
      </w:r>
      <w:r w:rsidRPr="00904E52">
        <w:t xml:space="preserve">is significantly higher than previously </w:t>
      </w:r>
      <w:r w:rsidR="00D02D9B">
        <w:t>reported</w:t>
      </w:r>
      <w:r w:rsidR="00C86C0B">
        <w:t>.</w:t>
      </w:r>
      <w:r w:rsidR="00D02D9B">
        <w:rPr>
          <w:rStyle w:val="FootnoteReference"/>
        </w:rPr>
        <w:footnoteReference w:id="1"/>
      </w:r>
      <w:r w:rsidR="00E63D61">
        <w:t xml:space="preserve"> </w:t>
      </w:r>
    </w:p>
    <w:p w14:paraId="5566FEEE" w14:textId="77777777" w:rsidR="008D7AB0" w:rsidRDefault="008D7AB0" w:rsidP="00A010F7">
      <w:pPr>
        <w:spacing w:before="240"/>
        <w:ind w:right="-329"/>
      </w:pPr>
      <w:r>
        <w:t xml:space="preserve">Initial </w:t>
      </w:r>
      <w:r w:rsidR="0033790B">
        <w:t xml:space="preserve">court </w:t>
      </w:r>
      <w:r>
        <w:t>data at the point of filing reveals that:</w:t>
      </w:r>
    </w:p>
    <w:p w14:paraId="6B4ED04B" w14:textId="77777777" w:rsidR="00B14404" w:rsidRDefault="00B14404" w:rsidP="00CC6018">
      <w:pPr>
        <w:pStyle w:val="ListParagraph"/>
        <w:numPr>
          <w:ilvl w:val="0"/>
          <w:numId w:val="5"/>
        </w:numPr>
        <w:ind w:right="-330"/>
      </w:pPr>
      <w:r>
        <w:t>54% of parties allege a child has been abused or is at risk of abuse</w:t>
      </w:r>
    </w:p>
    <w:p w14:paraId="4999B34C" w14:textId="77777777" w:rsidR="00B14404" w:rsidRDefault="00B14404" w:rsidP="00CC6018">
      <w:pPr>
        <w:pStyle w:val="ListParagraph"/>
        <w:numPr>
          <w:ilvl w:val="0"/>
          <w:numId w:val="5"/>
        </w:numPr>
        <w:ind w:right="-330"/>
      </w:pPr>
      <w:r>
        <w:t>64% of parties allege they have experienced family violence</w:t>
      </w:r>
    </w:p>
    <w:p w14:paraId="288053BC" w14:textId="77777777" w:rsidR="00B14404" w:rsidRDefault="00B14404" w:rsidP="00CC6018">
      <w:pPr>
        <w:pStyle w:val="ListParagraph"/>
        <w:numPr>
          <w:ilvl w:val="0"/>
          <w:numId w:val="5"/>
        </w:numPr>
        <w:ind w:right="-330"/>
      </w:pPr>
      <w:r>
        <w:t>57% of parties allege a child has experienced family violence</w:t>
      </w:r>
    </w:p>
    <w:p w14:paraId="5E192711" w14:textId="77777777" w:rsidR="00B14404" w:rsidRDefault="00B14404" w:rsidP="00CC6018">
      <w:pPr>
        <w:pStyle w:val="ListParagraph"/>
        <w:numPr>
          <w:ilvl w:val="0"/>
          <w:numId w:val="5"/>
        </w:numPr>
        <w:ind w:right="-330"/>
      </w:pPr>
      <w:r>
        <w:t>39% of parties allege that drug, alcohol or substance misuse has caused harm or poses a risk of harm to a child</w:t>
      </w:r>
    </w:p>
    <w:p w14:paraId="05FC93DE" w14:textId="161C3E49" w:rsidR="008D7AB0" w:rsidRDefault="00B14404" w:rsidP="00CC6018">
      <w:pPr>
        <w:pStyle w:val="ListParagraph"/>
        <w:numPr>
          <w:ilvl w:val="0"/>
          <w:numId w:val="5"/>
        </w:numPr>
        <w:ind w:right="-330"/>
      </w:pPr>
      <w:r>
        <w:t>40% of parties allege that the mental ill-health of a party has caused harm or poses a risk of harm to a child</w:t>
      </w:r>
      <w:r w:rsidR="00C86C0B">
        <w:t>.</w:t>
      </w:r>
    </w:p>
    <w:p w14:paraId="45C15336" w14:textId="45382CC5" w:rsidR="0033790B" w:rsidRDefault="00D02D9B" w:rsidP="00A010F7">
      <w:pPr>
        <w:spacing w:before="240"/>
        <w:ind w:right="-330"/>
      </w:pPr>
      <w:r>
        <w:t>For the past year</w:t>
      </w:r>
      <w:r w:rsidR="00490C2D">
        <w:t xml:space="preserve"> the Court has been piloting a world-first risk screening, triage and assessment process</w:t>
      </w:r>
      <w:r>
        <w:t xml:space="preserve"> called </w:t>
      </w:r>
      <w:r w:rsidR="00490C2D">
        <w:t>the Lighthouse Project</w:t>
      </w:r>
      <w:r w:rsidR="00F54614">
        <w:t xml:space="preserve">. </w:t>
      </w:r>
      <w:r w:rsidR="00C22AB4">
        <w:t xml:space="preserve">It </w:t>
      </w:r>
      <w:r w:rsidR="00290DD6">
        <w:t>provides i</w:t>
      </w:r>
      <w:r w:rsidR="004E2340">
        <w:t xml:space="preserve">ntensive </w:t>
      </w:r>
      <w:r w:rsidR="00C22AB4">
        <w:t xml:space="preserve">case management and safety planning provided </w:t>
      </w:r>
      <w:r w:rsidR="0033790B">
        <w:t xml:space="preserve">by </w:t>
      </w:r>
      <w:r w:rsidR="00C22AB4">
        <w:t xml:space="preserve">a team of </w:t>
      </w:r>
      <w:r w:rsidR="0033790B">
        <w:t>skilled</w:t>
      </w:r>
      <w:r w:rsidR="00124854">
        <w:t xml:space="preserve"> </w:t>
      </w:r>
      <w:r w:rsidR="0033790B">
        <w:t>Senior Judicial Registrars, Judicial Registrars and Court Child Experts</w:t>
      </w:r>
      <w:r w:rsidR="00124854">
        <w:t xml:space="preserve">. </w:t>
      </w:r>
      <w:r w:rsidR="00C22AB4">
        <w:t>Litigants are interviewed as part of the risk assessment</w:t>
      </w:r>
      <w:r w:rsidR="00CC6018">
        <w:t xml:space="preserve">, </w:t>
      </w:r>
      <w:r w:rsidR="00C22AB4">
        <w:t xml:space="preserve">referred </w:t>
      </w:r>
      <w:r w:rsidR="00CC6018">
        <w:t xml:space="preserve">to </w:t>
      </w:r>
      <w:r w:rsidR="00C22AB4">
        <w:t xml:space="preserve">targeted support services </w:t>
      </w:r>
      <w:r w:rsidR="00CC6018">
        <w:t xml:space="preserve">to </w:t>
      </w:r>
      <w:r w:rsidR="00C22AB4">
        <w:t>enable better public health outcomes</w:t>
      </w:r>
      <w:r w:rsidR="00124854">
        <w:t xml:space="preserve">, and cases identified as high risk are referred to the Court’s </w:t>
      </w:r>
      <w:r w:rsidR="00713934">
        <w:t xml:space="preserve">specialist </w:t>
      </w:r>
      <w:r w:rsidR="00124854">
        <w:t>Evatt List</w:t>
      </w:r>
      <w:r w:rsidR="00C22AB4">
        <w:t>.</w:t>
      </w:r>
    </w:p>
    <w:p w14:paraId="79071861" w14:textId="7A83CB99" w:rsidR="00490C2D" w:rsidRDefault="00D02D9B" w:rsidP="00A010F7">
      <w:pPr>
        <w:spacing w:before="240"/>
        <w:ind w:right="-330"/>
      </w:pPr>
      <w:r>
        <w:t xml:space="preserve">The Lighthouse Project has enabled the </w:t>
      </w:r>
      <w:r w:rsidR="00F54614">
        <w:t xml:space="preserve">Court’s </w:t>
      </w:r>
      <w:r w:rsidR="00490C2D">
        <w:t xml:space="preserve">initial </w:t>
      </w:r>
      <w:r w:rsidR="005A53CF">
        <w:t xml:space="preserve">data </w:t>
      </w:r>
      <w:r>
        <w:t xml:space="preserve">to be </w:t>
      </w:r>
      <w:r w:rsidR="005A53CF">
        <w:t xml:space="preserve">properly interrogated and </w:t>
      </w:r>
      <w:r w:rsidR="006F5596">
        <w:t>validated</w:t>
      </w:r>
      <w:r w:rsidR="005A53CF">
        <w:t xml:space="preserve"> by </w:t>
      </w:r>
      <w:r w:rsidR="00713934">
        <w:t>t</w:t>
      </w:r>
      <w:r w:rsidR="000E46E4">
        <w:t xml:space="preserve">he </w:t>
      </w:r>
      <w:r>
        <w:t>p</w:t>
      </w:r>
      <w:r w:rsidR="005A53CF">
        <w:t xml:space="preserve">roject, which has found that </w:t>
      </w:r>
      <w:r w:rsidR="006F5596">
        <w:t xml:space="preserve">the </w:t>
      </w:r>
      <w:r w:rsidR="0033790B">
        <w:t>prevalence of risk</w:t>
      </w:r>
      <w:r w:rsidR="005A53CF">
        <w:t xml:space="preserve"> in some cases </w:t>
      </w:r>
      <w:r w:rsidR="0033790B">
        <w:t xml:space="preserve">is </w:t>
      </w:r>
      <w:r w:rsidR="00C86C0B">
        <w:t>significantly</w:t>
      </w:r>
      <w:r w:rsidR="005A53CF">
        <w:t xml:space="preserve"> higher</w:t>
      </w:r>
      <w:r w:rsidR="00490C2D">
        <w:t>.</w:t>
      </w:r>
    </w:p>
    <w:p w14:paraId="3693143A" w14:textId="714B5A09" w:rsidR="006F5596" w:rsidRDefault="00490C2D" w:rsidP="00A010F7">
      <w:pPr>
        <w:spacing w:before="240"/>
        <w:ind w:right="-330"/>
      </w:pPr>
      <w:r>
        <w:t>Data</w:t>
      </w:r>
      <w:r w:rsidR="005A53CF">
        <w:t xml:space="preserve"> from the Lighthouse Project </w:t>
      </w:r>
      <w:r>
        <w:t>has found</w:t>
      </w:r>
      <w:r w:rsidR="006F5596">
        <w:t xml:space="preserve"> </w:t>
      </w:r>
      <w:r w:rsidR="005A53CF">
        <w:t xml:space="preserve">that </w:t>
      </w:r>
      <w:r>
        <w:t xml:space="preserve">not only are litigants presenting with these </w:t>
      </w:r>
      <w:r w:rsidR="000E46E4" w:rsidRPr="00C86C0B">
        <w:rPr>
          <w:b/>
        </w:rPr>
        <w:t xml:space="preserve">major </w:t>
      </w:r>
      <w:r w:rsidRPr="00C86C0B">
        <w:rPr>
          <w:b/>
        </w:rPr>
        <w:t>risk</w:t>
      </w:r>
      <w:r>
        <w:t xml:space="preserve"> factors, but that </w:t>
      </w:r>
      <w:r w:rsidR="005A53CF">
        <w:rPr>
          <w:b/>
        </w:rPr>
        <w:t xml:space="preserve">64% </w:t>
      </w:r>
      <w:r w:rsidR="005A53CF">
        <w:t xml:space="preserve">of </w:t>
      </w:r>
      <w:r w:rsidR="006F5596">
        <w:t>litigants</w:t>
      </w:r>
      <w:r w:rsidR="005A53CF">
        <w:t xml:space="preserve"> are initially screening </w:t>
      </w:r>
      <w:r w:rsidR="000E46E4">
        <w:t xml:space="preserve">in the </w:t>
      </w:r>
      <w:r w:rsidR="005A53CF" w:rsidRPr="00490C2D">
        <w:rPr>
          <w:b/>
        </w:rPr>
        <w:t>high</w:t>
      </w:r>
      <w:r w:rsidR="005A53CF">
        <w:t xml:space="preserve"> risk</w:t>
      </w:r>
      <w:r w:rsidR="000E46E4">
        <w:t xml:space="preserve"> category</w:t>
      </w:r>
      <w:r w:rsidR="005A53CF">
        <w:t>.</w:t>
      </w:r>
      <w:r w:rsidR="006F5596">
        <w:t xml:space="preserve"> </w:t>
      </w:r>
      <w:r>
        <w:t xml:space="preserve">More than 1000 triage interviews of high risk litigants with </w:t>
      </w:r>
      <w:r w:rsidR="00D02D9B">
        <w:t xml:space="preserve">the Court’s </w:t>
      </w:r>
      <w:r>
        <w:t xml:space="preserve">specialist Family Counsellors have been conducted, finding that </w:t>
      </w:r>
      <w:r w:rsidRPr="00490C2D">
        <w:rPr>
          <w:b/>
        </w:rPr>
        <w:t>50%</w:t>
      </w:r>
      <w:r w:rsidRPr="00490C2D">
        <w:t xml:space="preserve"> of </w:t>
      </w:r>
      <w:r>
        <w:t>litigants</w:t>
      </w:r>
      <w:r w:rsidRPr="00490C2D">
        <w:t xml:space="preserve"> have </w:t>
      </w:r>
      <w:r w:rsidR="00C86C0B">
        <w:t>four</w:t>
      </w:r>
      <w:r w:rsidRPr="00490C2D">
        <w:t xml:space="preserve"> or more risk factors</w:t>
      </w:r>
      <w:r>
        <w:t>, from family violence to substance and alcohol misuse or mental ill-health.</w:t>
      </w:r>
    </w:p>
    <w:p w14:paraId="010263B5" w14:textId="676DB39A" w:rsidR="00097E18" w:rsidRDefault="00490C2D" w:rsidP="00A010F7">
      <w:pPr>
        <w:spacing w:before="240"/>
        <w:ind w:right="-330"/>
      </w:pPr>
      <w:r>
        <w:t>This is a substantial increase in the prevalence of family violence and high risk cases than has previously been reported, such as data from the Australian Institute of Family Studies in 2015 that found only</w:t>
      </w:r>
      <w:r w:rsidR="005C21B1">
        <w:t xml:space="preserve"> 38% of family law matters had four</w:t>
      </w:r>
      <w:r>
        <w:t xml:space="preserve"> or more risk factors. </w:t>
      </w:r>
      <w:r w:rsidR="00051035">
        <w:t xml:space="preserve">Advisors and stakeholders </w:t>
      </w:r>
      <w:r w:rsidR="00F54614">
        <w:t>working closely with vulnerable parties</w:t>
      </w:r>
      <w:r w:rsidR="00051035">
        <w:t xml:space="preserve"> have consistently </w:t>
      </w:r>
      <w:r w:rsidR="00713934">
        <w:t>said</w:t>
      </w:r>
      <w:r w:rsidR="00051035">
        <w:t xml:space="preserve"> that the levels of family violence were in fact m</w:t>
      </w:r>
      <w:r w:rsidR="00F54614">
        <w:t xml:space="preserve">uch higher, and now the Court’s data </w:t>
      </w:r>
      <w:r w:rsidR="00713934">
        <w:t xml:space="preserve">independently </w:t>
      </w:r>
      <w:r w:rsidR="00F54614">
        <w:t>supports</w:t>
      </w:r>
      <w:r w:rsidR="00051035">
        <w:t xml:space="preserve"> this</w:t>
      </w:r>
      <w:r w:rsidR="00F54614">
        <w:t xml:space="preserve"> view</w:t>
      </w:r>
      <w:r w:rsidR="00051035">
        <w:t xml:space="preserve">. </w:t>
      </w:r>
    </w:p>
    <w:p w14:paraId="53B7C476" w14:textId="1BD1245E" w:rsidR="00490C2D" w:rsidRDefault="00490C2D" w:rsidP="00A010F7">
      <w:pPr>
        <w:spacing w:before="240"/>
        <w:ind w:right="-330"/>
      </w:pPr>
      <w:r>
        <w:lastRenderedPageBreak/>
        <w:t xml:space="preserve">The Chief Justice of the Federal Circuit and Family Court of Australia, the Hon Will Alstergren, explained that </w:t>
      </w:r>
      <w:r w:rsidR="00F54614">
        <w:t xml:space="preserve">the new data demonstrates the need to </w:t>
      </w:r>
      <w:r w:rsidR="005C21B1">
        <w:t xml:space="preserve">expand and </w:t>
      </w:r>
      <w:r w:rsidR="00F54614">
        <w:t xml:space="preserve">increase </w:t>
      </w:r>
      <w:r w:rsidR="00547BD1">
        <w:t xml:space="preserve">the </w:t>
      </w:r>
      <w:r w:rsidR="00713934">
        <w:t>focus</w:t>
      </w:r>
      <w:r>
        <w:t xml:space="preserve"> on the safety and welfare of families </w:t>
      </w:r>
      <w:r w:rsidR="00547BD1">
        <w:t xml:space="preserve">involved in the family law system. </w:t>
      </w:r>
    </w:p>
    <w:p w14:paraId="1F471615" w14:textId="77777777" w:rsidR="002B7693" w:rsidRDefault="00547BD1" w:rsidP="00A010F7">
      <w:pPr>
        <w:spacing w:before="240"/>
        <w:ind w:right="-330"/>
      </w:pPr>
      <w:r>
        <w:t>“The Lighthouse Project has enabled the Court to shin</w:t>
      </w:r>
      <w:r w:rsidR="00B32CA8">
        <w:t xml:space="preserve">e the light on the details of allegations </w:t>
      </w:r>
      <w:r w:rsidR="002B7693">
        <w:t xml:space="preserve">raised in individual cases, and provide </w:t>
      </w:r>
      <w:r w:rsidR="005C21B1">
        <w:t xml:space="preserve">critical </w:t>
      </w:r>
      <w:r w:rsidR="002B7693">
        <w:t>tailored support for those families</w:t>
      </w:r>
      <w:r w:rsidR="00B32CA8">
        <w:t>.</w:t>
      </w:r>
    </w:p>
    <w:p w14:paraId="4252A7BA" w14:textId="5B53CB88" w:rsidR="00AD5F01" w:rsidRDefault="005C21B1" w:rsidP="00A010F7">
      <w:pPr>
        <w:spacing w:before="240"/>
        <w:ind w:right="-330"/>
      </w:pPr>
      <w:r>
        <w:t>“</w:t>
      </w:r>
      <w:r w:rsidR="00FA017D">
        <w:t>The project is currently being piloted in Adelaide, Brisbane and Parramatta</w:t>
      </w:r>
      <w:r w:rsidR="00C86C0B">
        <w:t>. Ho</w:t>
      </w:r>
      <w:r w:rsidR="00FA017D">
        <w:t xml:space="preserve">wever, the increased prevalence of risk in family law cases, makes it critical that the project be extended nationally to ensure risks are appropriately managed </w:t>
      </w:r>
      <w:r>
        <w:t>in all locations</w:t>
      </w:r>
      <w:r w:rsidR="000E46E4">
        <w:t>, including regional Australia,</w:t>
      </w:r>
      <w:r w:rsidR="00FA017D">
        <w:t xml:space="preserve"> to ensure safer outcomes for all vulnerable parties and children involved in family law disputes</w:t>
      </w:r>
      <w:r w:rsidR="00AD5F01">
        <w:t xml:space="preserve">. </w:t>
      </w:r>
    </w:p>
    <w:p w14:paraId="329FA392" w14:textId="77777777" w:rsidR="00FA017D" w:rsidRDefault="00AD5F01" w:rsidP="00A010F7">
      <w:pPr>
        <w:spacing w:before="240"/>
        <w:ind w:right="-330"/>
      </w:pPr>
      <w:r>
        <w:t>“So many parts of the country need this critical support, especially in places like Launceston, Newcastle, Wollongong and Townsville where more than two-thirds of our litigants allege exposure to family violence</w:t>
      </w:r>
      <w:r w:rsidR="00FA017D">
        <w:t>,” Chief Justice Alstergren said.</w:t>
      </w:r>
    </w:p>
    <w:p w14:paraId="563E5499" w14:textId="140E7BB9" w:rsidR="006C7792" w:rsidRDefault="00546A79" w:rsidP="00A010F7">
      <w:pPr>
        <w:spacing w:before="240"/>
        <w:ind w:right="-330"/>
      </w:pPr>
      <w:r>
        <w:t xml:space="preserve">Newly appointed </w:t>
      </w:r>
      <w:r w:rsidR="00851349">
        <w:t>Judge Samantha Murdoch</w:t>
      </w:r>
      <w:r w:rsidR="002B7693">
        <w:t>, whose ceremonial sitting will be held this Thursday in Parramatta,</w:t>
      </w:r>
      <w:r w:rsidR="006C7792">
        <w:t xml:space="preserve"> </w:t>
      </w:r>
      <w:r w:rsidR="00851349">
        <w:t xml:space="preserve">was </w:t>
      </w:r>
      <w:r w:rsidR="002B7693">
        <w:t xml:space="preserve">previously </w:t>
      </w:r>
      <w:r w:rsidR="00851349">
        <w:t xml:space="preserve">a Senior Judicial Registrar and an integral member of the </w:t>
      </w:r>
      <w:r w:rsidR="006C7792">
        <w:t xml:space="preserve">Lighthouse </w:t>
      </w:r>
      <w:r w:rsidR="00851349">
        <w:t>Project team</w:t>
      </w:r>
      <w:r w:rsidR="00FA017D">
        <w:t xml:space="preserve">. </w:t>
      </w:r>
      <w:r w:rsidR="00CC6018">
        <w:t xml:space="preserve">Her Honour has </w:t>
      </w:r>
      <w:r w:rsidR="00851349">
        <w:t xml:space="preserve">dealt with many of the </w:t>
      </w:r>
      <w:r w:rsidR="00CC6018">
        <w:t>p</w:t>
      </w:r>
      <w:r w:rsidR="00851349">
        <w:t xml:space="preserve">roject’s </w:t>
      </w:r>
      <w:r w:rsidR="00A63B63">
        <w:t xml:space="preserve">complex </w:t>
      </w:r>
      <w:r w:rsidR="00851349">
        <w:t>cases, and assisted in the development of its case management approach and the establishment of the high risk Evatt List. In her new capacity as a Judge, her Honour will now be assigned to sit on trials arising from the Lighthouse</w:t>
      </w:r>
      <w:r w:rsidR="006C7792">
        <w:t xml:space="preserve"> Project. </w:t>
      </w:r>
    </w:p>
    <w:p w14:paraId="30631FD6" w14:textId="77777777" w:rsidR="004E2340" w:rsidRDefault="004E2340" w:rsidP="00A010F7">
      <w:pPr>
        <w:spacing w:before="240"/>
        <w:ind w:right="-330"/>
      </w:pPr>
      <w:r>
        <w:t>Lighthouse Project creator, Senior Judicial Registrar Lisa O’Neill, said that t</w:t>
      </w:r>
      <w:r w:rsidR="002B7693">
        <w:t>he p</w:t>
      </w:r>
      <w:r w:rsidR="008343F1">
        <w:t>roject has also demonstrated</w:t>
      </w:r>
      <w:r>
        <w:t xml:space="preserve"> how proactive risk screening can detect both victimisation and perpetration which </w:t>
      </w:r>
      <w:r w:rsidR="002B7693">
        <w:t>can</w:t>
      </w:r>
      <w:r>
        <w:t xml:space="preserve"> le</w:t>
      </w:r>
      <w:r w:rsidR="002B7693">
        <w:t>a</w:t>
      </w:r>
      <w:r>
        <w:t>d to</w:t>
      </w:r>
      <w:r w:rsidR="008343F1">
        <w:t xml:space="preserve"> better management of matters by</w:t>
      </w:r>
      <w:r>
        <w:t xml:space="preserve"> address</w:t>
      </w:r>
      <w:r w:rsidR="008343F1">
        <w:t>ing</w:t>
      </w:r>
      <w:r>
        <w:t xml:space="preserve"> safety issues and concerns of systems abuse, or the use of court orders to further perpetuate family violence. </w:t>
      </w:r>
    </w:p>
    <w:p w14:paraId="6E4CC6FE" w14:textId="46D14408" w:rsidR="008343F1" w:rsidRDefault="00713934" w:rsidP="00A010F7">
      <w:pPr>
        <w:spacing w:before="240"/>
        <w:ind w:right="-330"/>
      </w:pPr>
      <w:r>
        <w:t>In less than a year, a</w:t>
      </w:r>
      <w:r w:rsidR="008343F1">
        <w:t xml:space="preserve">pproximately </w:t>
      </w:r>
      <w:r w:rsidR="00445FBD">
        <w:t xml:space="preserve">2000 </w:t>
      </w:r>
      <w:r w:rsidR="008343F1">
        <w:t xml:space="preserve">risk questionnaires have been completed, </w:t>
      </w:r>
      <w:r w:rsidR="00445FBD">
        <w:t xml:space="preserve">more than 1000 </w:t>
      </w:r>
      <w:r w:rsidR="008343F1">
        <w:t xml:space="preserve">interviews undertaken and </w:t>
      </w:r>
      <w:r w:rsidR="00445FBD">
        <w:t>over</w:t>
      </w:r>
      <w:r w:rsidR="00FD6275">
        <w:t xml:space="preserve"> </w:t>
      </w:r>
      <w:r w:rsidR="00445FBD">
        <w:t xml:space="preserve">230 </w:t>
      </w:r>
      <w:r w:rsidR="008343F1">
        <w:t>interim hearings conducted as part of the project in the three pilot locations. In addition, more than 500</w:t>
      </w:r>
      <w:r w:rsidR="008343F1" w:rsidRPr="00490C2D">
        <w:t xml:space="preserve"> matters </w:t>
      </w:r>
      <w:r w:rsidR="008343F1">
        <w:t xml:space="preserve">from the Lighthouse Project </w:t>
      </w:r>
      <w:r w:rsidR="008343F1" w:rsidRPr="00490C2D">
        <w:t>have been p</w:t>
      </w:r>
      <w:r w:rsidR="008343F1">
        <w:t>laced onto the Court’s high risk Evatt L</w:t>
      </w:r>
      <w:r w:rsidR="008343F1" w:rsidRPr="00490C2D">
        <w:t>ist</w:t>
      </w:r>
      <w:r w:rsidR="008343F1">
        <w:t xml:space="preserve"> to receive intensive case management.</w:t>
      </w:r>
    </w:p>
    <w:p w14:paraId="6B41F898" w14:textId="3B6F69C4" w:rsidR="00CC6018" w:rsidRPr="00CC6018" w:rsidRDefault="00CC6018" w:rsidP="00A010F7">
      <w:pPr>
        <w:spacing w:before="240"/>
        <w:ind w:right="-330"/>
        <w:rPr>
          <w:rFonts w:eastAsia="Times New Roman"/>
          <w:b/>
          <w:u w:val="single"/>
        </w:rPr>
      </w:pPr>
      <w:r w:rsidRPr="00CC6018">
        <w:rPr>
          <w:rFonts w:eastAsia="Times New Roman"/>
          <w:b/>
          <w:u w:val="single"/>
        </w:rPr>
        <w:t>Additional quotes:</w:t>
      </w:r>
    </w:p>
    <w:p w14:paraId="1863A70F" w14:textId="77777777" w:rsidR="00CC6018" w:rsidRPr="00CC6018" w:rsidRDefault="00632B28" w:rsidP="00CC6018">
      <w:pPr>
        <w:ind w:right="-330"/>
        <w:rPr>
          <w:rFonts w:eastAsia="Times New Roman"/>
          <w:b/>
        </w:rPr>
      </w:pPr>
      <w:r w:rsidRPr="00CC6018">
        <w:rPr>
          <w:rFonts w:eastAsia="Times New Roman"/>
          <w:b/>
        </w:rPr>
        <w:t>Ms Hayley Foster, CEO of Rape and Domestic Violence Services Australia</w:t>
      </w:r>
      <w:r w:rsidR="00CC6018" w:rsidRPr="00CC6018">
        <w:rPr>
          <w:rFonts w:eastAsia="Times New Roman"/>
          <w:b/>
        </w:rPr>
        <w:t>:</w:t>
      </w:r>
    </w:p>
    <w:p w14:paraId="7D485B16" w14:textId="233737C8" w:rsidR="00632B28" w:rsidRDefault="00632B28" w:rsidP="00CC6018">
      <w:pPr>
        <w:ind w:right="-330"/>
        <w:rPr>
          <w:rFonts w:eastAsia="Times New Roman"/>
        </w:rPr>
      </w:pPr>
      <w:r>
        <w:rPr>
          <w:rFonts w:eastAsia="Times New Roman"/>
        </w:rPr>
        <w:t>“There is now undeniable evidence t</w:t>
      </w:r>
      <w:r w:rsidR="000405AE">
        <w:rPr>
          <w:rFonts w:eastAsia="Times New Roman"/>
        </w:rPr>
        <w:t>hat the majority of family law</w:t>
      </w:r>
      <w:r>
        <w:rPr>
          <w:rFonts w:eastAsia="Times New Roman"/>
        </w:rPr>
        <w:t xml:space="preserve"> matters involve high risk family violence and abuse. The Lighthouse Pilot is changing the way in which the Federal Circuit and Family Court of Australia is handling these matters, putting safety first in family law. But it’s not uniformly available across Australia. It’s time we expanded the pilot to make it national.”</w:t>
      </w:r>
    </w:p>
    <w:p w14:paraId="0165D1A8" w14:textId="77777777" w:rsidR="00CC6018" w:rsidRPr="00CC6018" w:rsidRDefault="00CC6018" w:rsidP="00765E24">
      <w:pPr>
        <w:spacing w:before="120"/>
        <w:ind w:right="-329"/>
        <w:rPr>
          <w:b/>
          <w:lang w:val="en-US"/>
        </w:rPr>
      </w:pPr>
      <w:r w:rsidRPr="00CC6018">
        <w:rPr>
          <w:b/>
          <w:lang w:val="en-US"/>
        </w:rPr>
        <w:t>Philippa Davi</w:t>
      </w:r>
      <w:bookmarkStart w:id="0" w:name="_GoBack"/>
      <w:bookmarkEnd w:id="0"/>
      <w:r w:rsidRPr="00CC6018">
        <w:rPr>
          <w:b/>
          <w:lang w:val="en-US"/>
        </w:rPr>
        <w:t>s, Principal Solicitor, Women’s Legal Service NSW:</w:t>
      </w:r>
    </w:p>
    <w:p w14:paraId="4C0FF280" w14:textId="49195E23" w:rsidR="00CC6018" w:rsidRDefault="00CC6018" w:rsidP="00CC6018">
      <w:pPr>
        <w:ind w:right="-330"/>
      </w:pPr>
      <w:r>
        <w:t>The number of high</w:t>
      </w:r>
      <w:r w:rsidR="00713934">
        <w:t xml:space="preserve"> </w:t>
      </w:r>
      <w:r>
        <w:t xml:space="preserve">risk matters identified through the Lighthouse Project confirms the concerns women’s legal services have been raising for many years – that family violence is drastically underreported. The innovative Lighthouse Project highlights the importance of effective risk screening and assessment processes and specialised case management for family law matters involving family violence which should be expanded beyond three </w:t>
      </w:r>
      <w:r w:rsidR="00713934">
        <w:t>r</w:t>
      </w:r>
      <w:r>
        <w:t>egistries to ensure all survivors of family violence and their children can have safe processes and a focus on safe outcomes in family law. Specialist wrap around legal and other services are also essential.</w:t>
      </w:r>
    </w:p>
    <w:p w14:paraId="6D824C97" w14:textId="77777777" w:rsidR="00765E24" w:rsidRDefault="00765E24" w:rsidP="00765E24">
      <w:pPr>
        <w:spacing w:before="180"/>
        <w:rPr>
          <w:b/>
          <w:bCs/>
          <w:lang w:val="en-US"/>
        </w:rPr>
      </w:pPr>
      <w:r>
        <w:rPr>
          <w:b/>
          <w:bCs/>
          <w:lang w:val="en-US"/>
        </w:rPr>
        <w:t>Helen Matthews, Director – Legal &amp; Policy, Women’s Legal Service Victoria:</w:t>
      </w:r>
    </w:p>
    <w:p w14:paraId="6D3D47C5" w14:textId="3AC12B60" w:rsidR="00765E24" w:rsidRPr="00A010F7" w:rsidRDefault="00765E24" w:rsidP="00765E24">
      <w:pPr>
        <w:ind w:right="-330"/>
      </w:pPr>
      <w:r>
        <w:t>We are keen to have the benefit of the Lighthouse pilot becoming a fixture in our family law system and extending to Victoria.</w:t>
      </w:r>
    </w:p>
    <w:p w14:paraId="1A9B2BF9" w14:textId="37195256" w:rsidR="00716AB0" w:rsidRPr="00A010F7" w:rsidRDefault="002B7693" w:rsidP="00765E24">
      <w:pPr>
        <w:autoSpaceDE w:val="0"/>
        <w:autoSpaceDN w:val="0"/>
        <w:spacing w:before="180"/>
        <w:ind w:right="-329"/>
      </w:pPr>
      <w:r w:rsidRPr="002B7693">
        <w:t xml:space="preserve">More details on the Lighthouse Project, including case studies, are </w:t>
      </w:r>
      <w:r w:rsidR="00A63B63" w:rsidRPr="002B7693">
        <w:t>available</w:t>
      </w:r>
      <w:r w:rsidRPr="002B7693">
        <w:t xml:space="preserve"> on the Court’s </w:t>
      </w:r>
      <w:hyperlink r:id="rId9" w:history="1">
        <w:r w:rsidRPr="00FA427E">
          <w:rPr>
            <w:rStyle w:val="Hyperlink"/>
          </w:rPr>
          <w:t>website</w:t>
        </w:r>
      </w:hyperlink>
      <w:r w:rsidRPr="002B7693">
        <w:t>.</w:t>
      </w:r>
    </w:p>
    <w:sectPr w:rsidR="00716AB0" w:rsidRPr="00A010F7" w:rsidSect="003152A7">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DDD0BF" w14:textId="77777777" w:rsidR="007F7B58" w:rsidRDefault="007F7B58" w:rsidP="00965ADE">
      <w:r>
        <w:separator/>
      </w:r>
    </w:p>
  </w:endnote>
  <w:endnote w:type="continuationSeparator" w:id="0">
    <w:p w14:paraId="483BEC11" w14:textId="77777777" w:rsidR="007F7B58" w:rsidRDefault="007F7B58"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EDFEEC" w14:textId="77777777" w:rsidR="009C7716" w:rsidRDefault="009C77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14:paraId="017E33D0" w14:textId="125FAE2A" w:rsidR="00D2548B" w:rsidRPr="00D2548B" w:rsidRDefault="00D2548B" w:rsidP="00D2548B">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765E24" w:rsidRPr="00765E24">
          <w:rPr>
            <w:b/>
            <w:bCs/>
            <w:noProof/>
            <w:sz w:val="16"/>
            <w:szCs w:val="16"/>
          </w:rPr>
          <w:t>2</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p w14:paraId="1A296461" w14:textId="77777777" w:rsidR="003152A7" w:rsidRPr="00CC6018" w:rsidRDefault="003152A7" w:rsidP="003152A7">
    <w:pPr>
      <w:autoSpaceDE w:val="0"/>
      <w:autoSpaceDN w:val="0"/>
      <w:rPr>
        <w:rFonts w:ascii="Calibri Light" w:eastAsiaTheme="minorEastAsia" w:hAnsi="Calibri Light" w:cs="Calibri Light"/>
        <w:noProof/>
        <w:color w:val="666666"/>
        <w:sz w:val="18"/>
        <w:szCs w:val="18"/>
        <w:lang w:eastAsia="en-AU"/>
      </w:rPr>
    </w:pPr>
    <w:r w:rsidRPr="00CC6018">
      <w:rPr>
        <w:rFonts w:ascii="Calibri Light" w:eastAsiaTheme="minorEastAsia" w:hAnsi="Calibri Light" w:cs="Calibri Light"/>
        <w:b/>
        <w:bCs/>
        <w:noProof/>
        <w:color w:val="44546A"/>
        <w:sz w:val="18"/>
        <w:szCs w:val="18"/>
        <w:lang w:eastAsia="en-AU"/>
      </w:rPr>
      <w:t>Denise Healy</w:t>
    </w:r>
    <w:r w:rsidRPr="00CC6018">
      <w:rPr>
        <w:rFonts w:ascii="Calibri Light" w:eastAsiaTheme="minorEastAsia" w:hAnsi="Calibri Light" w:cs="Calibri Light"/>
        <w:noProof/>
        <w:color w:val="44546A"/>
        <w:sz w:val="18"/>
        <w:szCs w:val="18"/>
        <w:lang w:eastAsia="en-AU"/>
      </w:rPr>
      <w:t xml:space="preserve"> - </w:t>
    </w:r>
    <w:r w:rsidRPr="00CC6018">
      <w:rPr>
        <w:rFonts w:ascii="Calibri Light" w:eastAsiaTheme="minorEastAsia" w:hAnsi="Calibri Light" w:cs="Calibri Light"/>
        <w:noProof/>
        <w:color w:val="666666"/>
        <w:sz w:val="18"/>
        <w:szCs w:val="18"/>
        <w:lang w:eastAsia="en-AU"/>
      </w:rPr>
      <w:t xml:space="preserve">Director – Media &amp; Public Affairs, Federal Circuit and Family Court of Australia </w:t>
    </w:r>
  </w:p>
  <w:p w14:paraId="6C30ACD0" w14:textId="40FC8AA5" w:rsidR="00CC6018" w:rsidRPr="00CC6018" w:rsidRDefault="003152A7" w:rsidP="003152A7">
    <w:pPr>
      <w:autoSpaceDE w:val="0"/>
      <w:autoSpaceDN w:val="0"/>
      <w:rPr>
        <w:rFonts w:ascii="Calibri Light" w:eastAsiaTheme="minorEastAsia" w:hAnsi="Calibri Light" w:cs="Calibri Light"/>
        <w:noProof/>
        <w:color w:val="666666"/>
        <w:sz w:val="18"/>
        <w:szCs w:val="18"/>
        <w:lang w:eastAsia="en-AU"/>
      </w:rPr>
    </w:pPr>
    <w:r w:rsidRPr="00CC6018">
      <w:rPr>
        <w:rFonts w:ascii="Calibri Light" w:eastAsiaTheme="minorEastAsia" w:hAnsi="Calibri Light" w:cs="Calibri Light"/>
        <w:b/>
        <w:bCs/>
        <w:noProof/>
        <w:color w:val="44546A"/>
        <w:sz w:val="18"/>
        <w:szCs w:val="18"/>
        <w:lang w:eastAsia="en-AU"/>
      </w:rPr>
      <w:t xml:space="preserve">m. </w:t>
    </w:r>
    <w:r w:rsidRPr="00CC6018">
      <w:rPr>
        <w:rFonts w:ascii="Calibri Light" w:eastAsiaTheme="minorEastAsia" w:hAnsi="Calibri Light" w:cs="Calibri Light"/>
        <w:noProof/>
        <w:color w:val="666666"/>
        <w:sz w:val="18"/>
        <w:szCs w:val="18"/>
        <w:lang w:eastAsia="en-AU"/>
      </w:rPr>
      <w:t xml:space="preserve">0409743 695 </w:t>
    </w:r>
    <w:r w:rsidRPr="00CC6018">
      <w:rPr>
        <w:rFonts w:ascii="Calibri Light" w:eastAsiaTheme="minorEastAsia" w:hAnsi="Calibri Light" w:cs="Calibri Light"/>
        <w:b/>
        <w:bCs/>
        <w:noProof/>
        <w:color w:val="44546A"/>
        <w:sz w:val="18"/>
        <w:szCs w:val="18"/>
        <w:lang w:eastAsia="en-AU"/>
      </w:rPr>
      <w:t>e.</w:t>
    </w:r>
    <w:r w:rsidRPr="00CC6018">
      <w:rPr>
        <w:rFonts w:ascii="Calibri Light" w:eastAsiaTheme="minorEastAsia" w:hAnsi="Calibri Light" w:cs="Calibri Light"/>
        <w:b/>
        <w:bCs/>
        <w:noProof/>
        <w:color w:val="000000"/>
        <w:sz w:val="18"/>
        <w:szCs w:val="18"/>
        <w:lang w:eastAsia="en-AU"/>
      </w:rPr>
      <w:t xml:space="preserve"> </w:t>
    </w:r>
    <w:hyperlink r:id="rId1" w:history="1">
      <w:r w:rsidRPr="00CC6018">
        <w:rPr>
          <w:rStyle w:val="Hyperlink"/>
          <w:rFonts w:ascii="Calibri Light" w:eastAsiaTheme="minorEastAsia" w:hAnsi="Calibri Light" w:cs="Calibri Light"/>
          <w:noProof/>
          <w:sz w:val="18"/>
          <w:szCs w:val="18"/>
        </w:rPr>
        <w:t>denise.healy@fcfcoa.gov.au</w:t>
      </w:r>
    </w:hyperlink>
  </w:p>
  <w:p w14:paraId="619668E2" w14:textId="77777777" w:rsidR="00965ADE" w:rsidRDefault="00965A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3AA899" w14:textId="77777777" w:rsidR="009C7716" w:rsidRDefault="009C77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E5C611" w14:textId="77777777" w:rsidR="007F7B58" w:rsidRDefault="007F7B58" w:rsidP="00965ADE">
      <w:r>
        <w:separator/>
      </w:r>
    </w:p>
  </w:footnote>
  <w:footnote w:type="continuationSeparator" w:id="0">
    <w:p w14:paraId="0B178FD5" w14:textId="77777777" w:rsidR="007F7B58" w:rsidRDefault="007F7B58" w:rsidP="00965ADE">
      <w:r>
        <w:continuationSeparator/>
      </w:r>
    </w:p>
  </w:footnote>
  <w:footnote w:id="1">
    <w:p w14:paraId="106454AA" w14:textId="13E03894" w:rsidR="00D02D9B" w:rsidRPr="006F5596" w:rsidRDefault="00D02D9B" w:rsidP="00D02D9B">
      <w:pPr>
        <w:pStyle w:val="FootnoteText"/>
        <w:rPr>
          <w:rFonts w:ascii="Arial" w:hAnsi="Arial" w:cs="Arial"/>
          <w:sz w:val="18"/>
        </w:rPr>
      </w:pPr>
      <w:r>
        <w:rPr>
          <w:rStyle w:val="FootnoteReference"/>
        </w:rPr>
        <w:footnoteRef/>
      </w:r>
      <w:r>
        <w:t xml:space="preserve"> </w:t>
      </w:r>
      <w:proofErr w:type="spellStart"/>
      <w:r w:rsidRPr="00480C7E">
        <w:rPr>
          <w:rFonts w:ascii="Arial" w:hAnsi="Arial" w:cs="Arial"/>
          <w:sz w:val="18"/>
        </w:rPr>
        <w:t>Kaspiew</w:t>
      </w:r>
      <w:proofErr w:type="spellEnd"/>
      <w:r w:rsidRPr="00480C7E">
        <w:rPr>
          <w:rFonts w:ascii="Arial" w:hAnsi="Arial" w:cs="Arial"/>
          <w:sz w:val="18"/>
        </w:rPr>
        <w:t xml:space="preserve">, R., Carson R., </w:t>
      </w:r>
      <w:r w:rsidR="00C86C0B">
        <w:rPr>
          <w:rFonts w:ascii="Arial" w:hAnsi="Arial" w:cs="Arial"/>
          <w:sz w:val="18"/>
        </w:rPr>
        <w:t>et al</w:t>
      </w:r>
      <w:r w:rsidRPr="00480C7E">
        <w:rPr>
          <w:rFonts w:ascii="Arial" w:hAnsi="Arial" w:cs="Arial"/>
          <w:sz w:val="18"/>
        </w:rPr>
        <w:t>, (2015) Experiences of Separated Parents Study (Evaluation of the 2012 Family Violence Amendments). Melbourne: Australian Institute of Family Studies.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62A999" w14:textId="77777777" w:rsidR="009C7716" w:rsidRDefault="009C77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5905AE" w14:textId="7F644A49" w:rsidR="00965ADE" w:rsidRDefault="00965A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D51461" w14:textId="77777777" w:rsidR="009C7716" w:rsidRDefault="009C77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1F6F26A7"/>
    <w:multiLevelType w:val="hybridMultilevel"/>
    <w:tmpl w:val="269ECDFC"/>
    <w:lvl w:ilvl="0" w:tplc="35FC5200">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171196A"/>
    <w:multiLevelType w:val="hybridMultilevel"/>
    <w:tmpl w:val="3C4692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5FD13A5"/>
    <w:multiLevelType w:val="hybridMultilevel"/>
    <w:tmpl w:val="C72C78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23675"/>
    <w:rsid w:val="00025B6F"/>
    <w:rsid w:val="000405AE"/>
    <w:rsid w:val="000416B2"/>
    <w:rsid w:val="00047F1F"/>
    <w:rsid w:val="00051035"/>
    <w:rsid w:val="0006637E"/>
    <w:rsid w:val="00081572"/>
    <w:rsid w:val="000874F1"/>
    <w:rsid w:val="00097E18"/>
    <w:rsid w:val="000B26A8"/>
    <w:rsid w:val="000B760A"/>
    <w:rsid w:val="000D08F0"/>
    <w:rsid w:val="000D18BD"/>
    <w:rsid w:val="000E3098"/>
    <w:rsid w:val="000E46E4"/>
    <w:rsid w:val="000F3BEB"/>
    <w:rsid w:val="00112F65"/>
    <w:rsid w:val="00124854"/>
    <w:rsid w:val="001953C0"/>
    <w:rsid w:val="001D09DD"/>
    <w:rsid w:val="001E644A"/>
    <w:rsid w:val="001E7306"/>
    <w:rsid w:val="001F0805"/>
    <w:rsid w:val="002138F6"/>
    <w:rsid w:val="00214A90"/>
    <w:rsid w:val="00234C3E"/>
    <w:rsid w:val="0026099A"/>
    <w:rsid w:val="0026779C"/>
    <w:rsid w:val="00271AAF"/>
    <w:rsid w:val="00290DD6"/>
    <w:rsid w:val="002951BB"/>
    <w:rsid w:val="002B7693"/>
    <w:rsid w:val="003152A7"/>
    <w:rsid w:val="003238AB"/>
    <w:rsid w:val="00335F15"/>
    <w:rsid w:val="0033790B"/>
    <w:rsid w:val="00344A2D"/>
    <w:rsid w:val="00344C32"/>
    <w:rsid w:val="00362D01"/>
    <w:rsid w:val="00390C1D"/>
    <w:rsid w:val="003A02C8"/>
    <w:rsid w:val="003E0964"/>
    <w:rsid w:val="003F50C0"/>
    <w:rsid w:val="00406B81"/>
    <w:rsid w:val="00445FBD"/>
    <w:rsid w:val="00490C2D"/>
    <w:rsid w:val="004A4040"/>
    <w:rsid w:val="004D2EC7"/>
    <w:rsid w:val="004E2340"/>
    <w:rsid w:val="004F0938"/>
    <w:rsid w:val="004F61B5"/>
    <w:rsid w:val="0051002E"/>
    <w:rsid w:val="00546A79"/>
    <w:rsid w:val="00547BD1"/>
    <w:rsid w:val="00553A65"/>
    <w:rsid w:val="00562AF2"/>
    <w:rsid w:val="005842F3"/>
    <w:rsid w:val="00584E7A"/>
    <w:rsid w:val="005A53CF"/>
    <w:rsid w:val="005C21B1"/>
    <w:rsid w:val="005C635B"/>
    <w:rsid w:val="005E76C3"/>
    <w:rsid w:val="00621578"/>
    <w:rsid w:val="00626C87"/>
    <w:rsid w:val="006301D4"/>
    <w:rsid w:val="00632B28"/>
    <w:rsid w:val="006706A3"/>
    <w:rsid w:val="00673856"/>
    <w:rsid w:val="00673E82"/>
    <w:rsid w:val="006A661F"/>
    <w:rsid w:val="006C17D7"/>
    <w:rsid w:val="006C7792"/>
    <w:rsid w:val="006E0BE9"/>
    <w:rsid w:val="006F5596"/>
    <w:rsid w:val="00713934"/>
    <w:rsid w:val="00716AB0"/>
    <w:rsid w:val="00721A04"/>
    <w:rsid w:val="00742B0E"/>
    <w:rsid w:val="007518E5"/>
    <w:rsid w:val="007540DD"/>
    <w:rsid w:val="00754B17"/>
    <w:rsid w:val="00760A09"/>
    <w:rsid w:val="007647D3"/>
    <w:rsid w:val="00765E24"/>
    <w:rsid w:val="00766965"/>
    <w:rsid w:val="00776B61"/>
    <w:rsid w:val="007800AE"/>
    <w:rsid w:val="007D475C"/>
    <w:rsid w:val="007F2644"/>
    <w:rsid w:val="007F30F7"/>
    <w:rsid w:val="007F7B58"/>
    <w:rsid w:val="0083161A"/>
    <w:rsid w:val="008343F1"/>
    <w:rsid w:val="00851312"/>
    <w:rsid w:val="00851349"/>
    <w:rsid w:val="00854453"/>
    <w:rsid w:val="008D7AB0"/>
    <w:rsid w:val="008F17F8"/>
    <w:rsid w:val="008F5757"/>
    <w:rsid w:val="00904E52"/>
    <w:rsid w:val="00921C2C"/>
    <w:rsid w:val="00936AC7"/>
    <w:rsid w:val="00944BAA"/>
    <w:rsid w:val="009555AD"/>
    <w:rsid w:val="00965ADE"/>
    <w:rsid w:val="0097484B"/>
    <w:rsid w:val="00997715"/>
    <w:rsid w:val="009B6426"/>
    <w:rsid w:val="009C05A0"/>
    <w:rsid w:val="009C7716"/>
    <w:rsid w:val="00A010F7"/>
    <w:rsid w:val="00A374F7"/>
    <w:rsid w:val="00A63B63"/>
    <w:rsid w:val="00A96CAF"/>
    <w:rsid w:val="00AC47ED"/>
    <w:rsid w:val="00AC4C02"/>
    <w:rsid w:val="00AD2EB3"/>
    <w:rsid w:val="00AD5F01"/>
    <w:rsid w:val="00B00DDF"/>
    <w:rsid w:val="00B108B0"/>
    <w:rsid w:val="00B14404"/>
    <w:rsid w:val="00B1645E"/>
    <w:rsid w:val="00B32CA8"/>
    <w:rsid w:val="00B4747A"/>
    <w:rsid w:val="00B55756"/>
    <w:rsid w:val="00BA7226"/>
    <w:rsid w:val="00BA79D4"/>
    <w:rsid w:val="00BC1DEC"/>
    <w:rsid w:val="00BD0E0E"/>
    <w:rsid w:val="00BE0E26"/>
    <w:rsid w:val="00BE6F74"/>
    <w:rsid w:val="00C22AB4"/>
    <w:rsid w:val="00C27320"/>
    <w:rsid w:val="00C86C0B"/>
    <w:rsid w:val="00CB32AC"/>
    <w:rsid w:val="00CB38FD"/>
    <w:rsid w:val="00CC6018"/>
    <w:rsid w:val="00D022FC"/>
    <w:rsid w:val="00D02D9B"/>
    <w:rsid w:val="00D2548B"/>
    <w:rsid w:val="00D26ECE"/>
    <w:rsid w:val="00D37A3B"/>
    <w:rsid w:val="00D57C1C"/>
    <w:rsid w:val="00D67C17"/>
    <w:rsid w:val="00D755C3"/>
    <w:rsid w:val="00D829E4"/>
    <w:rsid w:val="00D8648A"/>
    <w:rsid w:val="00D97966"/>
    <w:rsid w:val="00DA351C"/>
    <w:rsid w:val="00DA43B4"/>
    <w:rsid w:val="00DC268B"/>
    <w:rsid w:val="00DC438D"/>
    <w:rsid w:val="00E01EE5"/>
    <w:rsid w:val="00E15E05"/>
    <w:rsid w:val="00E32FF8"/>
    <w:rsid w:val="00E3739E"/>
    <w:rsid w:val="00E57A20"/>
    <w:rsid w:val="00E63A3A"/>
    <w:rsid w:val="00E63D61"/>
    <w:rsid w:val="00E9113C"/>
    <w:rsid w:val="00E97FCB"/>
    <w:rsid w:val="00EB3CED"/>
    <w:rsid w:val="00EC3674"/>
    <w:rsid w:val="00F26B00"/>
    <w:rsid w:val="00F54614"/>
    <w:rsid w:val="00F7102A"/>
    <w:rsid w:val="00FA017D"/>
    <w:rsid w:val="00FA427E"/>
    <w:rsid w:val="00FA4F9F"/>
    <w:rsid w:val="00FA732A"/>
    <w:rsid w:val="00FB6508"/>
    <w:rsid w:val="00FC4414"/>
    <w:rsid w:val="00FD52AD"/>
    <w:rsid w:val="00FD62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39E7798"/>
  <w15:chartTrackingRefBased/>
  <w15:docId w15:val="{073AEFDA-823B-4AB0-AFA7-86D3C0F87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FC441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4414"/>
    <w:rPr>
      <w:rFonts w:ascii="Segoe UI" w:hAnsi="Segoe UI" w:cs="Segoe UI"/>
      <w:sz w:val="18"/>
      <w:szCs w:val="18"/>
    </w:rPr>
  </w:style>
  <w:style w:type="paragraph" w:styleId="BodyText">
    <w:name w:val="Body Text"/>
    <w:basedOn w:val="Normal"/>
    <w:link w:val="BodyTextChar"/>
    <w:uiPriority w:val="1"/>
    <w:qFormat/>
    <w:rsid w:val="0097484B"/>
    <w:pPr>
      <w:autoSpaceDE w:val="0"/>
      <w:autoSpaceDN w:val="0"/>
      <w:adjustRightInd w:val="0"/>
    </w:pPr>
    <w:rPr>
      <w:rFonts w:ascii="Times New Roman" w:hAnsi="Times New Roman" w:cs="Times New Roman"/>
      <w:sz w:val="20"/>
      <w:szCs w:val="20"/>
    </w:rPr>
  </w:style>
  <w:style w:type="character" w:customStyle="1" w:styleId="BodyTextChar">
    <w:name w:val="Body Text Char"/>
    <w:basedOn w:val="DefaultParagraphFont"/>
    <w:link w:val="BodyText"/>
    <w:uiPriority w:val="1"/>
    <w:rsid w:val="0097484B"/>
    <w:rPr>
      <w:rFonts w:ascii="Times New Roman" w:hAnsi="Times New Roman" w:cs="Times New Roman"/>
      <w:sz w:val="20"/>
      <w:szCs w:val="20"/>
    </w:rPr>
  </w:style>
  <w:style w:type="paragraph" w:styleId="NormalWeb">
    <w:name w:val="Normal (Web)"/>
    <w:basedOn w:val="Normal"/>
    <w:uiPriority w:val="99"/>
    <w:unhideWhenUsed/>
    <w:rsid w:val="00271AAF"/>
    <w:pPr>
      <w:spacing w:before="100" w:beforeAutospacing="1" w:after="100" w:afterAutospacing="1"/>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271AAF"/>
    <w:rPr>
      <w:b/>
      <w:bCs/>
    </w:rPr>
  </w:style>
  <w:style w:type="paragraph" w:styleId="FootnoteText">
    <w:name w:val="footnote text"/>
    <w:aliases w:val=" Char,Char"/>
    <w:basedOn w:val="Normal"/>
    <w:link w:val="FootnoteTextChar"/>
    <w:uiPriority w:val="99"/>
    <w:unhideWhenUsed/>
    <w:qFormat/>
    <w:rsid w:val="006F5596"/>
    <w:rPr>
      <w:sz w:val="20"/>
      <w:szCs w:val="20"/>
    </w:rPr>
  </w:style>
  <w:style w:type="character" w:customStyle="1" w:styleId="FootnoteTextChar">
    <w:name w:val="Footnote Text Char"/>
    <w:aliases w:val=" Char Char,Char Char"/>
    <w:basedOn w:val="DefaultParagraphFont"/>
    <w:link w:val="FootnoteText"/>
    <w:uiPriority w:val="99"/>
    <w:rsid w:val="006F5596"/>
    <w:rPr>
      <w:sz w:val="20"/>
      <w:szCs w:val="20"/>
    </w:rPr>
  </w:style>
  <w:style w:type="character" w:styleId="FootnoteReference">
    <w:name w:val="footnote reference"/>
    <w:basedOn w:val="DefaultParagraphFont"/>
    <w:uiPriority w:val="99"/>
    <w:semiHidden/>
    <w:unhideWhenUsed/>
    <w:rsid w:val="006F5596"/>
    <w:rPr>
      <w:vertAlign w:val="superscript"/>
    </w:rPr>
  </w:style>
  <w:style w:type="character" w:styleId="CommentReference">
    <w:name w:val="annotation reference"/>
    <w:basedOn w:val="DefaultParagraphFont"/>
    <w:uiPriority w:val="99"/>
    <w:semiHidden/>
    <w:unhideWhenUsed/>
    <w:rsid w:val="00BA7226"/>
    <w:rPr>
      <w:sz w:val="16"/>
      <w:szCs w:val="16"/>
    </w:rPr>
  </w:style>
  <w:style w:type="paragraph" w:styleId="CommentText">
    <w:name w:val="annotation text"/>
    <w:basedOn w:val="Normal"/>
    <w:link w:val="CommentTextChar"/>
    <w:uiPriority w:val="99"/>
    <w:semiHidden/>
    <w:unhideWhenUsed/>
    <w:rsid w:val="00BA7226"/>
    <w:rPr>
      <w:sz w:val="20"/>
      <w:szCs w:val="20"/>
    </w:rPr>
  </w:style>
  <w:style w:type="character" w:customStyle="1" w:styleId="CommentTextChar">
    <w:name w:val="Comment Text Char"/>
    <w:basedOn w:val="DefaultParagraphFont"/>
    <w:link w:val="CommentText"/>
    <w:uiPriority w:val="99"/>
    <w:semiHidden/>
    <w:rsid w:val="00BA7226"/>
    <w:rPr>
      <w:sz w:val="20"/>
      <w:szCs w:val="20"/>
    </w:rPr>
  </w:style>
  <w:style w:type="paragraph" w:styleId="CommentSubject">
    <w:name w:val="annotation subject"/>
    <w:basedOn w:val="CommentText"/>
    <w:next w:val="CommentText"/>
    <w:link w:val="CommentSubjectChar"/>
    <w:uiPriority w:val="99"/>
    <w:semiHidden/>
    <w:unhideWhenUsed/>
    <w:rsid w:val="00BA7226"/>
    <w:rPr>
      <w:b/>
      <w:bCs/>
    </w:rPr>
  </w:style>
  <w:style w:type="character" w:customStyle="1" w:styleId="CommentSubjectChar">
    <w:name w:val="Comment Subject Char"/>
    <w:basedOn w:val="CommentTextChar"/>
    <w:link w:val="CommentSubject"/>
    <w:uiPriority w:val="99"/>
    <w:semiHidden/>
    <w:rsid w:val="00BA722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339233785">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417703285">
      <w:bodyDiv w:val="1"/>
      <w:marLeft w:val="0"/>
      <w:marRight w:val="0"/>
      <w:marTop w:val="0"/>
      <w:marBottom w:val="0"/>
      <w:divBdr>
        <w:top w:val="none" w:sz="0" w:space="0" w:color="auto"/>
        <w:left w:val="none" w:sz="0" w:space="0" w:color="auto"/>
        <w:bottom w:val="none" w:sz="0" w:space="0" w:color="auto"/>
        <w:right w:val="none" w:sz="0" w:space="0" w:color="auto"/>
      </w:divBdr>
    </w:div>
    <w:div w:id="1445533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fcfcoa.gov.au/search?search_api_fulltext=Lighthouse+Project+updates"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C7CEDA-BE49-4999-B960-84EE8A7FC1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1050</Words>
  <Characters>5653</Characters>
  <Application>Microsoft Office Word</Application>
  <DocSecurity>0</DocSecurity>
  <Lines>79</Lines>
  <Paragraphs>33</Paragraphs>
  <ScaleCrop>false</ScaleCrop>
  <HeadingPairs>
    <vt:vector size="2" baseType="variant">
      <vt:variant>
        <vt:lpstr>Title</vt:lpstr>
      </vt:variant>
      <vt:variant>
        <vt:i4>1</vt:i4>
      </vt:variant>
    </vt:vector>
  </HeadingPairs>
  <TitlesOfParts>
    <vt:vector size="1" baseType="lpstr">
      <vt:lpstr>Media Release: New court initiatives help uncover higher prevalence of family violence and other risks</vt:lpstr>
    </vt:vector>
  </TitlesOfParts>
  <Company>Federal Court of Australia</Company>
  <LinksUpToDate>false</LinksUpToDate>
  <CharactersWithSpaces>6670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New court initiatives help uncover higher prevalence of family violence and other risks</dc:title>
  <dc:subject/>
  <dc:creator>Federal Circuit and Family Court of Australia</dc:creator>
  <cp:keywords/>
  <dc:description/>
  <cp:lastModifiedBy>Christine Tuff</cp:lastModifiedBy>
  <cp:revision>2</cp:revision>
  <cp:lastPrinted>2021-11-10T02:56:00Z</cp:lastPrinted>
  <dcterms:created xsi:type="dcterms:W3CDTF">2021-11-10T06:20:00Z</dcterms:created>
  <dcterms:modified xsi:type="dcterms:W3CDTF">2021-11-10T06:20:00Z</dcterms:modified>
</cp:coreProperties>
</file>