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B3A5191" w14:textId="51828AE9" w:rsidR="00E11EB8" w:rsidRPr="00B74497" w:rsidRDefault="00AB7BFC" w:rsidP="00F5474A">
      <w:pPr>
        <w:pStyle w:val="Heading1"/>
        <w:spacing w:before="480" w:after="360"/>
        <w:rPr>
          <w:noProof/>
          <w:sz w:val="32"/>
          <w:szCs w:val="32"/>
        </w:rPr>
      </w:pPr>
      <w:r w:rsidRPr="00B74497">
        <w:rPr>
          <w:noProof/>
          <w:sz w:val="32"/>
          <w:szCs w:val="32"/>
        </w:rPr>
        <mc:AlternateContent>
          <mc:Choice Requires="wps">
            <w:drawing>
              <wp:anchor distT="0" distB="0" distL="114300" distR="114300" simplePos="0" relativeHeight="251659264" behindDoc="0" locked="0" layoutInCell="0" allowOverlap="1" wp14:anchorId="6B9917E8" wp14:editId="6B371C69">
                <wp:simplePos x="0" y="0"/>
                <wp:positionH relativeFrom="margin">
                  <wp:posOffset>3068620</wp:posOffset>
                </wp:positionH>
                <wp:positionV relativeFrom="line">
                  <wp:posOffset>-180711</wp:posOffset>
                </wp:positionV>
                <wp:extent cx="2865755" cy="266400"/>
                <wp:effectExtent l="0" t="0" r="10795" b="19685"/>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65755" cy="266400"/>
                        </a:xfrm>
                        <a:prstGeom prst="rect">
                          <a:avLst/>
                        </a:prstGeom>
                        <a:solidFill>
                          <a:schemeClr val="bg1">
                            <a:lumMod val="85000"/>
                          </a:schemeClr>
                        </a:solidFill>
                        <a:ln w="9525">
                          <a:solidFill>
                            <a:schemeClr val="bg1">
                              <a:lumMod val="85000"/>
                            </a:schemeClr>
                          </a:solidFill>
                          <a:miter lim="800000"/>
                          <a:headEnd/>
                          <a:tailEnd/>
                        </a:ln>
                      </wps:spPr>
                      <wps:txbx>
                        <w:txbxContent>
                          <w:p w14:paraId="5A2D9093" w14:textId="5CD8BD00" w:rsidR="00AB7BFC" w:rsidRPr="001A4EBF" w:rsidRDefault="00C63523" w:rsidP="000E163D">
                            <w:pPr>
                              <w:spacing w:before="60" w:after="120"/>
                              <w:jc w:val="center"/>
                              <w:rPr>
                                <w:rFonts w:asciiTheme="minorHAnsi" w:hAnsiTheme="minorHAnsi" w:cstheme="minorHAnsi"/>
                                <w:b/>
                                <w:color w:val="2E74B5" w:themeColor="accent1" w:themeShade="BF"/>
                                <w:sz w:val="22"/>
                                <w:szCs w:val="22"/>
                              </w:rPr>
                            </w:pPr>
                            <w:r>
                              <w:rPr>
                                <w:rFonts w:asciiTheme="minorHAnsi" w:hAnsiTheme="minorHAnsi" w:cstheme="minorHAnsi"/>
                                <w:b/>
                                <w:color w:val="2E74B5" w:themeColor="accent1" w:themeShade="BF"/>
                                <w:sz w:val="22"/>
                                <w:szCs w:val="22"/>
                              </w:rPr>
                              <w:t>18</w:t>
                            </w:r>
                            <w:r w:rsidR="00F5474A">
                              <w:rPr>
                                <w:rFonts w:asciiTheme="minorHAnsi" w:hAnsiTheme="minorHAnsi" w:cstheme="minorHAnsi"/>
                                <w:b/>
                                <w:color w:val="2E74B5" w:themeColor="accent1" w:themeShade="BF"/>
                                <w:sz w:val="22"/>
                                <w:szCs w:val="22"/>
                              </w:rPr>
                              <w:t xml:space="preserve"> August</w:t>
                            </w:r>
                            <w:r w:rsidR="000917EA">
                              <w:rPr>
                                <w:rFonts w:asciiTheme="minorHAnsi" w:hAnsiTheme="minorHAnsi" w:cstheme="minorHAnsi"/>
                                <w:b/>
                                <w:color w:val="2E74B5" w:themeColor="accent1" w:themeShade="BF"/>
                                <w:sz w:val="22"/>
                                <w:szCs w:val="22"/>
                              </w:rPr>
                              <w:t xml:space="preserve"> </w:t>
                            </w:r>
                            <w:r w:rsidR="00DC1195">
                              <w:rPr>
                                <w:rFonts w:asciiTheme="minorHAnsi" w:hAnsiTheme="minorHAnsi" w:cstheme="minorHAnsi"/>
                                <w:b/>
                                <w:color w:val="2E74B5" w:themeColor="accent1" w:themeShade="BF"/>
                                <w:sz w:val="22"/>
                                <w:szCs w:val="22"/>
                              </w:rPr>
                              <w:t>202</w:t>
                            </w:r>
                            <w:r w:rsidR="000917EA">
                              <w:rPr>
                                <w:rFonts w:asciiTheme="minorHAnsi" w:hAnsiTheme="minorHAnsi" w:cstheme="minorHAnsi"/>
                                <w:b/>
                                <w:color w:val="2E74B5" w:themeColor="accent1" w:themeShade="BF"/>
                                <w:sz w:val="22"/>
                                <w:szCs w:val="22"/>
                              </w:rPr>
                              <w:t>1</w:t>
                            </w:r>
                          </w:p>
                        </w:txbxContent>
                      </wps:txbx>
                      <wps:bodyPr rot="0" vert="horz" wrap="square" lIns="7200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B9917E8" id="_x0000_t202" coordsize="21600,21600" o:spt="202" path="m,l,21600r21600,l21600,xe">
                <v:stroke joinstyle="miter"/>
                <v:path gradientshapeok="t" o:connecttype="rect"/>
              </v:shapetype>
              <v:shape id="Text Box 3" o:spid="_x0000_s1026" type="#_x0000_t202" style="position:absolute;left:0;text-align:left;margin-left:241.6pt;margin-top:-14.25pt;width:225.65pt;height:21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lin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" o:allowincell="f" fillcolor="#d8d8d8 [2732]" strokecolor="#d8d8d8 [2732]">
                <v:textbox inset="2mm,0,0,0">
                  <w:txbxContent>
                    <w:p w14:paraId="5A2D9093" w14:textId="5CD8BD00" w:rsidR="00AB7BFC" w:rsidRPr="001A4EBF" w:rsidRDefault="00C63523" w:rsidP="000E163D">
                      <w:pPr>
                        <w:spacing w:before="60" w:after="120"/>
                        <w:jc w:val="center"/>
                        <w:rPr>
                          <w:rFonts w:asciiTheme="minorHAnsi" w:hAnsiTheme="minorHAnsi" w:cstheme="minorHAnsi"/>
                          <w:b/>
                          <w:color w:val="2E74B5" w:themeColor="accent1" w:themeShade="BF"/>
                          <w:sz w:val="22"/>
                          <w:szCs w:val="22"/>
                        </w:rPr>
                      </w:pPr>
                      <w:r>
                        <w:rPr>
                          <w:rFonts w:asciiTheme="minorHAnsi" w:hAnsiTheme="minorHAnsi" w:cstheme="minorHAnsi"/>
                          <w:b/>
                          <w:color w:val="2E74B5" w:themeColor="accent1" w:themeShade="BF"/>
                          <w:sz w:val="22"/>
                          <w:szCs w:val="22"/>
                        </w:rPr>
                        <w:t>18</w:t>
                      </w:r>
                      <w:r w:rsidR="00F5474A">
                        <w:rPr>
                          <w:rFonts w:asciiTheme="minorHAnsi" w:hAnsiTheme="minorHAnsi" w:cstheme="minorHAnsi"/>
                          <w:b/>
                          <w:color w:val="2E74B5" w:themeColor="accent1" w:themeShade="BF"/>
                          <w:sz w:val="22"/>
                          <w:szCs w:val="22"/>
                        </w:rPr>
                        <w:t xml:space="preserve"> August</w:t>
                      </w:r>
                      <w:r w:rsidR="000917EA">
                        <w:rPr>
                          <w:rFonts w:asciiTheme="minorHAnsi" w:hAnsiTheme="minorHAnsi" w:cstheme="minorHAnsi"/>
                          <w:b/>
                          <w:color w:val="2E74B5" w:themeColor="accent1" w:themeShade="BF"/>
                          <w:sz w:val="22"/>
                          <w:szCs w:val="22"/>
                        </w:rPr>
                        <w:t xml:space="preserve"> </w:t>
                      </w:r>
                      <w:r w:rsidR="00DC1195">
                        <w:rPr>
                          <w:rFonts w:asciiTheme="minorHAnsi" w:hAnsiTheme="minorHAnsi" w:cstheme="minorHAnsi"/>
                          <w:b/>
                          <w:color w:val="2E74B5" w:themeColor="accent1" w:themeShade="BF"/>
                          <w:sz w:val="22"/>
                          <w:szCs w:val="22"/>
                        </w:rPr>
                        <w:t>202</w:t>
                      </w:r>
                      <w:r w:rsidR="000917EA">
                        <w:rPr>
                          <w:rFonts w:asciiTheme="minorHAnsi" w:hAnsiTheme="minorHAnsi" w:cstheme="minorHAnsi"/>
                          <w:b/>
                          <w:color w:val="2E74B5" w:themeColor="accent1" w:themeShade="BF"/>
                          <w:sz w:val="22"/>
                          <w:szCs w:val="22"/>
                        </w:rPr>
                        <w:t>1</w:t>
                      </w:r>
                    </w:p>
                  </w:txbxContent>
                </v:textbox>
                <w10:wrap anchorx="margin" anchory="line"/>
              </v:shape>
            </w:pict>
          </mc:Fallback>
        </mc:AlternateContent>
      </w:r>
      <w:r w:rsidR="00F5474A">
        <w:rPr>
          <w:noProof/>
          <w:sz w:val="32"/>
          <w:szCs w:val="32"/>
        </w:rPr>
        <w:t>Launch of a new National Contr</w:t>
      </w:r>
      <w:r w:rsidR="00AB0D78">
        <w:rPr>
          <w:noProof/>
          <w:sz w:val="32"/>
          <w:szCs w:val="32"/>
        </w:rPr>
        <w:t>a</w:t>
      </w:r>
      <w:r w:rsidR="00F5474A">
        <w:rPr>
          <w:noProof/>
          <w:sz w:val="32"/>
          <w:szCs w:val="32"/>
        </w:rPr>
        <w:t xml:space="preserve">vention List to tackle issues of non-compliance </w:t>
      </w:r>
      <w:r w:rsidR="00DD5AB6">
        <w:rPr>
          <w:noProof/>
          <w:sz w:val="32"/>
          <w:szCs w:val="32"/>
        </w:rPr>
        <w:t>with</w:t>
      </w:r>
      <w:r w:rsidR="00195D6F">
        <w:rPr>
          <w:noProof/>
          <w:sz w:val="32"/>
          <w:szCs w:val="32"/>
        </w:rPr>
        <w:t xml:space="preserve"> court orders in </w:t>
      </w:r>
      <w:r w:rsidR="00F5474A">
        <w:rPr>
          <w:noProof/>
          <w:sz w:val="32"/>
          <w:szCs w:val="32"/>
        </w:rPr>
        <w:t>family law cases</w:t>
      </w:r>
      <w:bookmarkStart w:id="0" w:name="_GoBack"/>
      <w:bookmarkEnd w:id="0"/>
    </w:p>
    <w:p w14:paraId="6808E373" w14:textId="77777777" w:rsidR="003C35D2" w:rsidRDefault="00FF2E7D" w:rsidP="005540DD">
      <w:pPr>
        <w:autoSpaceDE w:val="0"/>
        <w:autoSpaceDN w:val="0"/>
        <w:adjustRightInd w:val="0"/>
        <w:spacing w:after="240" w:line="276" w:lineRule="auto"/>
        <w:rPr>
          <w:rFonts w:asciiTheme="minorHAnsi" w:hAnsiTheme="minorHAnsi" w:cstheme="minorHAnsi"/>
          <w:sz w:val="22"/>
          <w:szCs w:val="22"/>
        </w:rPr>
      </w:pPr>
      <w:r w:rsidRPr="00F76853">
        <w:rPr>
          <w:rFonts w:asciiTheme="minorHAnsi" w:hAnsiTheme="minorHAnsi" w:cstheme="minorHAnsi"/>
          <w:sz w:val="22"/>
          <w:szCs w:val="22"/>
        </w:rPr>
        <w:t xml:space="preserve">To address </w:t>
      </w:r>
      <w:r w:rsidR="004A4D28" w:rsidRPr="00F76853">
        <w:rPr>
          <w:rFonts w:asciiTheme="minorHAnsi" w:hAnsiTheme="minorHAnsi" w:cstheme="minorHAnsi"/>
          <w:sz w:val="22"/>
          <w:szCs w:val="22"/>
        </w:rPr>
        <w:t xml:space="preserve">a </w:t>
      </w:r>
      <w:r w:rsidRPr="00F76853">
        <w:rPr>
          <w:rFonts w:asciiTheme="minorHAnsi" w:hAnsiTheme="minorHAnsi" w:cstheme="minorHAnsi"/>
          <w:sz w:val="22"/>
          <w:szCs w:val="22"/>
        </w:rPr>
        <w:t xml:space="preserve">long-standing </w:t>
      </w:r>
      <w:r w:rsidR="004A4D28" w:rsidRPr="00F76853">
        <w:rPr>
          <w:rFonts w:asciiTheme="minorHAnsi" w:hAnsiTheme="minorHAnsi" w:cstheme="minorHAnsi"/>
          <w:sz w:val="22"/>
          <w:szCs w:val="22"/>
        </w:rPr>
        <w:t xml:space="preserve">issue of </w:t>
      </w:r>
      <w:r w:rsidRPr="00F76853">
        <w:rPr>
          <w:rFonts w:asciiTheme="minorHAnsi" w:hAnsiTheme="minorHAnsi" w:cstheme="minorHAnsi"/>
          <w:sz w:val="22"/>
          <w:szCs w:val="22"/>
        </w:rPr>
        <w:t xml:space="preserve">non-compliance with court orders </w:t>
      </w:r>
      <w:r w:rsidR="004A4D28" w:rsidRPr="00F76853">
        <w:rPr>
          <w:rFonts w:asciiTheme="minorHAnsi" w:hAnsiTheme="minorHAnsi" w:cstheme="minorHAnsi"/>
          <w:sz w:val="22"/>
          <w:szCs w:val="22"/>
        </w:rPr>
        <w:t xml:space="preserve">that are </w:t>
      </w:r>
      <w:r w:rsidRPr="00F76853">
        <w:rPr>
          <w:rFonts w:asciiTheme="minorHAnsi" w:hAnsiTheme="minorHAnsi" w:cstheme="minorHAnsi"/>
          <w:sz w:val="22"/>
          <w:szCs w:val="22"/>
        </w:rPr>
        <w:t>made</w:t>
      </w:r>
      <w:r w:rsidR="00195D6F" w:rsidRPr="00F76853">
        <w:rPr>
          <w:rFonts w:asciiTheme="minorHAnsi" w:hAnsiTheme="minorHAnsi" w:cstheme="minorHAnsi"/>
          <w:sz w:val="22"/>
          <w:szCs w:val="22"/>
        </w:rPr>
        <w:t xml:space="preserve"> in</w:t>
      </w:r>
      <w:r w:rsidRPr="00F76853">
        <w:rPr>
          <w:rFonts w:asciiTheme="minorHAnsi" w:hAnsiTheme="minorHAnsi" w:cstheme="minorHAnsi"/>
          <w:sz w:val="22"/>
          <w:szCs w:val="22"/>
        </w:rPr>
        <w:t xml:space="preserve"> family law proceedings in the Family Court of Australia and the Federal Circuit Court of Australia, the Courts have created a dedicated national </w:t>
      </w:r>
      <w:r w:rsidR="003C35D2">
        <w:rPr>
          <w:rFonts w:asciiTheme="minorHAnsi" w:hAnsiTheme="minorHAnsi" w:cstheme="minorHAnsi"/>
          <w:sz w:val="22"/>
          <w:szCs w:val="22"/>
        </w:rPr>
        <w:t xml:space="preserve">electronic </w:t>
      </w:r>
      <w:r w:rsidRPr="00F76853">
        <w:rPr>
          <w:rFonts w:asciiTheme="minorHAnsi" w:hAnsiTheme="minorHAnsi" w:cstheme="minorHAnsi"/>
          <w:sz w:val="22"/>
          <w:szCs w:val="22"/>
        </w:rPr>
        <w:t xml:space="preserve">court list </w:t>
      </w:r>
      <w:r w:rsidR="004A4D28" w:rsidRPr="00F76853">
        <w:rPr>
          <w:rFonts w:asciiTheme="minorHAnsi" w:hAnsiTheme="minorHAnsi" w:cstheme="minorHAnsi"/>
          <w:sz w:val="22"/>
          <w:szCs w:val="22"/>
        </w:rPr>
        <w:t xml:space="preserve">that will </w:t>
      </w:r>
      <w:r w:rsidRPr="00F76853">
        <w:rPr>
          <w:rFonts w:asciiTheme="minorHAnsi" w:hAnsiTheme="minorHAnsi" w:cstheme="minorHAnsi"/>
          <w:sz w:val="22"/>
          <w:szCs w:val="22"/>
        </w:rPr>
        <w:t>deal</w:t>
      </w:r>
      <w:r w:rsidR="004A4D28" w:rsidRPr="00F76853">
        <w:rPr>
          <w:rFonts w:asciiTheme="minorHAnsi" w:hAnsiTheme="minorHAnsi" w:cstheme="minorHAnsi"/>
          <w:sz w:val="22"/>
          <w:szCs w:val="22"/>
        </w:rPr>
        <w:t>,</w:t>
      </w:r>
      <w:r w:rsidRPr="00F76853">
        <w:rPr>
          <w:rFonts w:asciiTheme="minorHAnsi" w:hAnsiTheme="minorHAnsi" w:cstheme="minorHAnsi"/>
          <w:sz w:val="22"/>
          <w:szCs w:val="22"/>
        </w:rPr>
        <w:t xml:space="preserve"> consistently and responsiv</w:t>
      </w:r>
      <w:r w:rsidR="00195D6F" w:rsidRPr="00F76853">
        <w:rPr>
          <w:rFonts w:asciiTheme="minorHAnsi" w:hAnsiTheme="minorHAnsi" w:cstheme="minorHAnsi"/>
          <w:sz w:val="22"/>
          <w:szCs w:val="22"/>
        </w:rPr>
        <w:t>ely</w:t>
      </w:r>
      <w:r w:rsidR="004A4D28" w:rsidRPr="00F76853">
        <w:rPr>
          <w:rFonts w:asciiTheme="minorHAnsi" w:hAnsiTheme="minorHAnsi" w:cstheme="minorHAnsi"/>
          <w:sz w:val="22"/>
          <w:szCs w:val="22"/>
        </w:rPr>
        <w:t>,</w:t>
      </w:r>
      <w:r w:rsidR="00195D6F" w:rsidRPr="00F76853">
        <w:rPr>
          <w:rFonts w:asciiTheme="minorHAnsi" w:hAnsiTheme="minorHAnsi" w:cstheme="minorHAnsi"/>
          <w:sz w:val="22"/>
          <w:szCs w:val="22"/>
        </w:rPr>
        <w:t xml:space="preserve"> with </w:t>
      </w:r>
      <w:r w:rsidRPr="00F76853">
        <w:rPr>
          <w:rFonts w:asciiTheme="minorHAnsi" w:hAnsiTheme="minorHAnsi" w:cstheme="minorHAnsi"/>
          <w:sz w:val="22"/>
          <w:szCs w:val="22"/>
        </w:rPr>
        <w:t>contravention applications.</w:t>
      </w:r>
      <w:r w:rsidR="0091615D" w:rsidRPr="00F76853">
        <w:rPr>
          <w:rFonts w:asciiTheme="minorHAnsi" w:hAnsiTheme="minorHAnsi" w:cstheme="minorHAnsi"/>
          <w:sz w:val="22"/>
          <w:szCs w:val="22"/>
        </w:rPr>
        <w:t xml:space="preserve"> </w:t>
      </w:r>
      <w:r w:rsidR="003C35D2">
        <w:rPr>
          <w:rFonts w:asciiTheme="minorHAnsi" w:hAnsiTheme="minorHAnsi" w:cstheme="minorHAnsi"/>
          <w:sz w:val="22"/>
          <w:szCs w:val="22"/>
        </w:rPr>
        <w:t>Applications will be given a first return court date within 14 days of filing.</w:t>
      </w:r>
    </w:p>
    <w:p w14:paraId="09585ECB" w14:textId="71551976" w:rsidR="0091615D" w:rsidRPr="00F76853" w:rsidRDefault="003C35D2" w:rsidP="005540DD">
      <w:pPr>
        <w:autoSpaceDE w:val="0"/>
        <w:autoSpaceDN w:val="0"/>
        <w:adjustRightInd w:val="0"/>
        <w:spacing w:after="240" w:line="276" w:lineRule="auto"/>
        <w:rPr>
          <w:rFonts w:asciiTheme="minorHAnsi" w:hAnsiTheme="minorHAnsi" w:cstheme="minorHAnsi"/>
          <w:sz w:val="22"/>
          <w:szCs w:val="22"/>
        </w:rPr>
      </w:pPr>
      <w:r>
        <w:rPr>
          <w:rFonts w:asciiTheme="minorHAnsi" w:hAnsiTheme="minorHAnsi" w:cstheme="minorHAnsi"/>
          <w:sz w:val="22"/>
          <w:szCs w:val="22"/>
        </w:rPr>
        <w:t xml:space="preserve">The creation of the National Contravention List follows a recommendation by the Joint Select Committee on Australia’s Family Law System in its Second Interim Report released in March </w:t>
      </w:r>
      <w:r w:rsidR="000B25A7">
        <w:rPr>
          <w:rFonts w:asciiTheme="minorHAnsi" w:hAnsiTheme="minorHAnsi" w:cstheme="minorHAnsi"/>
          <w:sz w:val="22"/>
          <w:szCs w:val="22"/>
        </w:rPr>
        <w:t>2021</w:t>
      </w:r>
      <w:r>
        <w:rPr>
          <w:rFonts w:asciiTheme="minorHAnsi" w:hAnsiTheme="minorHAnsi" w:cstheme="minorHAnsi"/>
          <w:sz w:val="22"/>
          <w:szCs w:val="22"/>
        </w:rPr>
        <w:t xml:space="preserve"> for such a List to be implemented in the Courts. </w:t>
      </w:r>
      <w:r w:rsidR="00195D6F" w:rsidRPr="00F76853">
        <w:rPr>
          <w:rFonts w:asciiTheme="minorHAnsi" w:hAnsiTheme="minorHAnsi" w:cstheme="minorHAnsi"/>
          <w:sz w:val="22"/>
          <w:szCs w:val="22"/>
        </w:rPr>
        <w:t>The</w:t>
      </w:r>
      <w:r w:rsidR="0091615D" w:rsidRPr="00F76853">
        <w:rPr>
          <w:rFonts w:asciiTheme="minorHAnsi" w:hAnsiTheme="minorHAnsi" w:cstheme="minorHAnsi"/>
          <w:sz w:val="22"/>
          <w:szCs w:val="22"/>
        </w:rPr>
        <w:t xml:space="preserve"> </w:t>
      </w:r>
      <w:r w:rsidR="00195D6F" w:rsidRPr="00F76853">
        <w:rPr>
          <w:rFonts w:asciiTheme="minorHAnsi" w:hAnsiTheme="minorHAnsi" w:cstheme="minorHAnsi"/>
          <w:sz w:val="22"/>
          <w:szCs w:val="22"/>
        </w:rPr>
        <w:t>n</w:t>
      </w:r>
      <w:r w:rsidR="00FF2E7D" w:rsidRPr="00F76853">
        <w:rPr>
          <w:rFonts w:asciiTheme="minorHAnsi" w:hAnsiTheme="minorHAnsi" w:cstheme="minorHAnsi"/>
          <w:sz w:val="22"/>
          <w:szCs w:val="22"/>
        </w:rPr>
        <w:t xml:space="preserve">ew </w:t>
      </w:r>
      <w:r w:rsidR="00AE21A8">
        <w:rPr>
          <w:rFonts w:asciiTheme="minorHAnsi" w:hAnsiTheme="minorHAnsi" w:cstheme="minorHAnsi"/>
          <w:sz w:val="22"/>
          <w:szCs w:val="22"/>
        </w:rPr>
        <w:t xml:space="preserve">National </w:t>
      </w:r>
      <w:r w:rsidR="00FF2E7D" w:rsidRPr="00F76853">
        <w:rPr>
          <w:rFonts w:asciiTheme="minorHAnsi" w:hAnsiTheme="minorHAnsi" w:cstheme="minorHAnsi"/>
          <w:sz w:val="22"/>
          <w:szCs w:val="22"/>
        </w:rPr>
        <w:t xml:space="preserve">Contravention List will </w:t>
      </w:r>
      <w:r w:rsidR="0091615D" w:rsidRPr="00F76853">
        <w:rPr>
          <w:rFonts w:asciiTheme="minorHAnsi" w:hAnsiTheme="minorHAnsi" w:cstheme="minorHAnsi"/>
          <w:sz w:val="22"/>
          <w:szCs w:val="22"/>
        </w:rPr>
        <w:t>comme</w:t>
      </w:r>
      <w:r w:rsidR="00FF2E7D" w:rsidRPr="00F76853">
        <w:rPr>
          <w:rFonts w:asciiTheme="minorHAnsi" w:hAnsiTheme="minorHAnsi" w:cstheme="minorHAnsi"/>
          <w:sz w:val="22"/>
          <w:szCs w:val="22"/>
        </w:rPr>
        <w:t>nce on 1 September 2021</w:t>
      </w:r>
      <w:r w:rsidR="00195D6F" w:rsidRPr="00F76853">
        <w:rPr>
          <w:rFonts w:asciiTheme="minorHAnsi" w:hAnsiTheme="minorHAnsi" w:cstheme="minorHAnsi"/>
          <w:sz w:val="22"/>
          <w:szCs w:val="22"/>
        </w:rPr>
        <w:t>.</w:t>
      </w:r>
    </w:p>
    <w:p w14:paraId="6FD9A9E0" w14:textId="301FE2A6" w:rsidR="00195D6F" w:rsidRPr="00F76853" w:rsidRDefault="00E93E5D" w:rsidP="005540DD">
      <w:pPr>
        <w:autoSpaceDE w:val="0"/>
        <w:autoSpaceDN w:val="0"/>
        <w:adjustRightInd w:val="0"/>
        <w:spacing w:after="240" w:line="276" w:lineRule="auto"/>
        <w:rPr>
          <w:rFonts w:asciiTheme="minorHAnsi" w:hAnsiTheme="minorHAnsi" w:cstheme="minorHAnsi"/>
          <w:sz w:val="22"/>
          <w:szCs w:val="22"/>
        </w:rPr>
      </w:pPr>
      <w:r w:rsidRPr="00F76853">
        <w:rPr>
          <w:rFonts w:asciiTheme="minorHAnsi" w:hAnsiTheme="minorHAnsi" w:cstheme="minorHAnsi"/>
          <w:sz w:val="22"/>
          <w:szCs w:val="22"/>
        </w:rPr>
        <w:t xml:space="preserve">Also commencing on 1 September, is the </w:t>
      </w:r>
      <w:r w:rsidR="00195D6F" w:rsidRPr="00F76853">
        <w:rPr>
          <w:rFonts w:asciiTheme="minorHAnsi" w:hAnsiTheme="minorHAnsi" w:cstheme="minorHAnsi"/>
          <w:sz w:val="22"/>
          <w:szCs w:val="22"/>
        </w:rPr>
        <w:t>Federal Circuit and Family Court of Australia (FCFCOA)</w:t>
      </w:r>
      <w:r w:rsidR="003C35D2">
        <w:rPr>
          <w:rFonts w:asciiTheme="minorHAnsi" w:hAnsiTheme="minorHAnsi" w:cstheme="minorHAnsi"/>
          <w:sz w:val="22"/>
          <w:szCs w:val="22"/>
        </w:rPr>
        <w:t>,</w:t>
      </w:r>
      <w:r w:rsidR="00195D6F" w:rsidRPr="00F76853">
        <w:rPr>
          <w:rFonts w:asciiTheme="minorHAnsi" w:hAnsiTheme="minorHAnsi" w:cstheme="minorHAnsi"/>
          <w:sz w:val="22"/>
          <w:szCs w:val="22"/>
        </w:rPr>
        <w:t xml:space="preserve"> </w:t>
      </w:r>
      <w:r w:rsidRPr="00F76853">
        <w:rPr>
          <w:rFonts w:asciiTheme="minorHAnsi" w:hAnsiTheme="minorHAnsi" w:cstheme="minorHAnsi"/>
          <w:sz w:val="22"/>
          <w:szCs w:val="22"/>
        </w:rPr>
        <w:t>following the passing of legislation to amalgamate the Family Court of Australia</w:t>
      </w:r>
      <w:r w:rsidR="00723910">
        <w:rPr>
          <w:rFonts w:asciiTheme="minorHAnsi" w:hAnsiTheme="minorHAnsi" w:cstheme="minorHAnsi"/>
          <w:sz w:val="22"/>
          <w:szCs w:val="22"/>
        </w:rPr>
        <w:t xml:space="preserve"> and the </w:t>
      </w:r>
      <w:r w:rsidR="00723910" w:rsidRPr="00F76853">
        <w:rPr>
          <w:rFonts w:asciiTheme="minorHAnsi" w:hAnsiTheme="minorHAnsi" w:cstheme="minorHAnsi"/>
          <w:sz w:val="22"/>
          <w:szCs w:val="22"/>
        </w:rPr>
        <w:t>Federa</w:t>
      </w:r>
      <w:r w:rsidR="00723910">
        <w:rPr>
          <w:rFonts w:asciiTheme="minorHAnsi" w:hAnsiTheme="minorHAnsi" w:cstheme="minorHAnsi"/>
          <w:sz w:val="22"/>
          <w:szCs w:val="22"/>
        </w:rPr>
        <w:t>l Circuit Court of Australia</w:t>
      </w:r>
      <w:r w:rsidRPr="00F76853">
        <w:rPr>
          <w:rFonts w:asciiTheme="minorHAnsi" w:hAnsiTheme="minorHAnsi" w:cstheme="minorHAnsi"/>
          <w:sz w:val="22"/>
          <w:szCs w:val="22"/>
        </w:rPr>
        <w:t>.</w:t>
      </w:r>
    </w:p>
    <w:p w14:paraId="2702F8DF" w14:textId="51BC3EBA" w:rsidR="004755D0" w:rsidRDefault="004755D0" w:rsidP="005540DD">
      <w:pPr>
        <w:autoSpaceDE w:val="0"/>
        <w:autoSpaceDN w:val="0"/>
        <w:adjustRightInd w:val="0"/>
        <w:spacing w:after="240" w:line="276" w:lineRule="auto"/>
        <w:rPr>
          <w:rFonts w:asciiTheme="minorHAnsi" w:hAnsiTheme="minorHAnsi" w:cstheme="minorHAnsi"/>
          <w:sz w:val="22"/>
          <w:szCs w:val="22"/>
        </w:rPr>
      </w:pPr>
      <w:r w:rsidRPr="00F76853">
        <w:rPr>
          <w:rFonts w:asciiTheme="minorHAnsi" w:hAnsiTheme="minorHAnsi" w:cstheme="minorHAnsi"/>
          <w:sz w:val="22"/>
          <w:szCs w:val="22"/>
        </w:rPr>
        <w:t xml:space="preserve">The Chief Justice of the Family Court of Australia and the </w:t>
      </w:r>
      <w:r w:rsidR="00022B71">
        <w:rPr>
          <w:rFonts w:asciiTheme="minorHAnsi" w:hAnsiTheme="minorHAnsi" w:cstheme="minorHAnsi"/>
          <w:sz w:val="22"/>
          <w:szCs w:val="22"/>
        </w:rPr>
        <w:t xml:space="preserve">Chief Judge of the </w:t>
      </w:r>
      <w:r w:rsidRPr="00F76853">
        <w:rPr>
          <w:rFonts w:asciiTheme="minorHAnsi" w:hAnsiTheme="minorHAnsi" w:cstheme="minorHAnsi"/>
          <w:sz w:val="22"/>
          <w:szCs w:val="22"/>
        </w:rPr>
        <w:t>Federal Circuit Court of Australia, the Hon Will Alstergren said that compliance in family law has long been a problem for our system</w:t>
      </w:r>
      <w:r w:rsidR="00AB0D78" w:rsidRPr="00F76853">
        <w:rPr>
          <w:rFonts w:asciiTheme="minorHAnsi" w:hAnsiTheme="minorHAnsi" w:cstheme="minorHAnsi"/>
          <w:sz w:val="22"/>
          <w:szCs w:val="22"/>
        </w:rPr>
        <w:t>.</w:t>
      </w:r>
    </w:p>
    <w:p w14:paraId="44CA8316" w14:textId="77777777" w:rsidR="001A29EB" w:rsidRDefault="004755D0" w:rsidP="005540DD">
      <w:pPr>
        <w:autoSpaceDE w:val="0"/>
        <w:autoSpaceDN w:val="0"/>
        <w:adjustRightInd w:val="0"/>
        <w:spacing w:after="240" w:line="276" w:lineRule="auto"/>
        <w:rPr>
          <w:rFonts w:asciiTheme="minorHAnsi" w:hAnsiTheme="minorHAnsi" w:cstheme="minorHAnsi"/>
          <w:sz w:val="22"/>
          <w:szCs w:val="22"/>
        </w:rPr>
      </w:pPr>
      <w:r w:rsidRPr="00F76853">
        <w:rPr>
          <w:rFonts w:asciiTheme="minorHAnsi" w:hAnsiTheme="minorHAnsi" w:cstheme="minorHAnsi"/>
          <w:sz w:val="22"/>
          <w:szCs w:val="22"/>
        </w:rPr>
        <w:t>“</w:t>
      </w:r>
      <w:r w:rsidR="008D00F3" w:rsidRPr="00AE21A8">
        <w:rPr>
          <w:rFonts w:asciiTheme="minorHAnsi" w:hAnsiTheme="minorHAnsi" w:cstheme="minorHAnsi"/>
          <w:sz w:val="22"/>
          <w:szCs w:val="22"/>
        </w:rPr>
        <w:t xml:space="preserve">Unfortunately it has been our experience </w:t>
      </w:r>
      <w:r w:rsidR="008D00F3">
        <w:rPr>
          <w:rFonts w:asciiTheme="minorHAnsi" w:hAnsiTheme="minorHAnsi" w:cstheme="minorHAnsi"/>
          <w:sz w:val="22"/>
          <w:szCs w:val="22"/>
        </w:rPr>
        <w:t xml:space="preserve">that </w:t>
      </w:r>
      <w:r w:rsidR="008D00F3" w:rsidRPr="00AE21A8">
        <w:rPr>
          <w:rFonts w:asciiTheme="minorHAnsi" w:hAnsiTheme="minorHAnsi" w:cstheme="minorHAnsi"/>
          <w:sz w:val="22"/>
          <w:szCs w:val="22"/>
        </w:rPr>
        <w:t xml:space="preserve">we </w:t>
      </w:r>
      <w:r w:rsidR="008D00F3">
        <w:rPr>
          <w:rFonts w:asciiTheme="minorHAnsi" w:hAnsiTheme="minorHAnsi" w:cstheme="minorHAnsi"/>
          <w:sz w:val="22"/>
          <w:szCs w:val="22"/>
        </w:rPr>
        <w:t xml:space="preserve">have </w:t>
      </w:r>
      <w:r w:rsidR="008D00F3" w:rsidRPr="00AE21A8">
        <w:rPr>
          <w:rFonts w:asciiTheme="minorHAnsi" w:hAnsiTheme="minorHAnsi" w:cstheme="minorHAnsi"/>
          <w:sz w:val="22"/>
          <w:szCs w:val="22"/>
        </w:rPr>
        <w:t>f</w:t>
      </w:r>
      <w:r w:rsidR="008D00F3">
        <w:rPr>
          <w:rFonts w:asciiTheme="minorHAnsi" w:hAnsiTheme="minorHAnsi" w:cstheme="minorHAnsi"/>
          <w:sz w:val="22"/>
          <w:szCs w:val="22"/>
        </w:rPr>
        <w:t xml:space="preserve">ound </w:t>
      </w:r>
      <w:r w:rsidR="008D00F3" w:rsidRPr="00AE21A8">
        <w:rPr>
          <w:rFonts w:asciiTheme="minorHAnsi" w:hAnsiTheme="minorHAnsi" w:cstheme="minorHAnsi"/>
          <w:sz w:val="22"/>
          <w:szCs w:val="22"/>
        </w:rPr>
        <w:t>a lack of compliance</w:t>
      </w:r>
      <w:r w:rsidR="00796F7B">
        <w:rPr>
          <w:rFonts w:asciiTheme="minorHAnsi" w:hAnsiTheme="minorHAnsi" w:cstheme="minorHAnsi"/>
          <w:sz w:val="22"/>
          <w:szCs w:val="22"/>
        </w:rPr>
        <w:t xml:space="preserve"> with court orders, and it is an issue that people often complain about. </w:t>
      </w:r>
    </w:p>
    <w:p w14:paraId="5A4BD252" w14:textId="5E543ED6" w:rsidR="001A29EB" w:rsidRPr="001A29EB" w:rsidRDefault="001A29EB" w:rsidP="005540DD">
      <w:pPr>
        <w:spacing w:after="240" w:line="276" w:lineRule="auto"/>
        <w:rPr>
          <w:rFonts w:asciiTheme="minorHAnsi" w:hAnsiTheme="minorHAnsi" w:cstheme="minorHAnsi"/>
          <w:sz w:val="22"/>
          <w:szCs w:val="22"/>
        </w:rPr>
      </w:pPr>
      <w:r w:rsidRPr="001A29EB">
        <w:rPr>
          <w:rFonts w:asciiTheme="minorHAnsi" w:hAnsiTheme="minorHAnsi" w:cstheme="minorHAnsi"/>
          <w:sz w:val="22"/>
          <w:szCs w:val="22"/>
        </w:rPr>
        <w:t>“Notwithstanding the understanding that these disputes involve highly emotional and stressful situations, parties must comply with court orders unless a reasonable excuse</w:t>
      </w:r>
      <w:r w:rsidR="00772447">
        <w:rPr>
          <w:rFonts w:asciiTheme="minorHAnsi" w:hAnsiTheme="minorHAnsi" w:cstheme="minorHAnsi"/>
          <w:sz w:val="22"/>
          <w:szCs w:val="22"/>
        </w:rPr>
        <w:t>,</w:t>
      </w:r>
      <w:r w:rsidRPr="001A29EB">
        <w:rPr>
          <w:rFonts w:asciiTheme="minorHAnsi" w:hAnsiTheme="minorHAnsi" w:cstheme="minorHAnsi"/>
          <w:sz w:val="22"/>
          <w:szCs w:val="22"/>
        </w:rPr>
        <w:t xml:space="preserve"> </w:t>
      </w:r>
      <w:r w:rsidR="00772447">
        <w:rPr>
          <w:rFonts w:asciiTheme="minorHAnsi" w:hAnsiTheme="minorHAnsi" w:cstheme="minorHAnsi"/>
          <w:sz w:val="22"/>
          <w:szCs w:val="22"/>
        </w:rPr>
        <w:t xml:space="preserve">according to the law, </w:t>
      </w:r>
      <w:r w:rsidRPr="001A29EB">
        <w:rPr>
          <w:rFonts w:asciiTheme="minorHAnsi" w:hAnsiTheme="minorHAnsi" w:cstheme="minorHAnsi"/>
          <w:sz w:val="22"/>
          <w:szCs w:val="22"/>
        </w:rPr>
        <w:t>can be demonstrated to the Court. For parenting cases in particular, the orders have been made in the best interest of the child</w:t>
      </w:r>
      <w:r>
        <w:rPr>
          <w:rFonts w:asciiTheme="minorHAnsi" w:hAnsiTheme="minorHAnsi" w:cstheme="minorHAnsi"/>
          <w:sz w:val="22"/>
          <w:szCs w:val="22"/>
        </w:rPr>
        <w:t xml:space="preserve">. A </w:t>
      </w:r>
      <w:r w:rsidRPr="001A29EB">
        <w:rPr>
          <w:rFonts w:asciiTheme="minorHAnsi" w:hAnsiTheme="minorHAnsi" w:cstheme="minorHAnsi"/>
          <w:sz w:val="22"/>
          <w:szCs w:val="22"/>
        </w:rPr>
        <w:t>lack of compliance not only diminishes confidence in our system of justice, it also leads to wasted time and costs</w:t>
      </w:r>
      <w:r w:rsidR="00772447">
        <w:rPr>
          <w:rFonts w:asciiTheme="minorHAnsi" w:hAnsiTheme="minorHAnsi" w:cstheme="minorHAnsi"/>
          <w:sz w:val="22"/>
          <w:szCs w:val="22"/>
        </w:rPr>
        <w:t>,</w:t>
      </w:r>
      <w:r>
        <w:rPr>
          <w:rFonts w:asciiTheme="minorHAnsi" w:hAnsiTheme="minorHAnsi" w:cstheme="minorHAnsi"/>
          <w:sz w:val="22"/>
          <w:szCs w:val="22"/>
        </w:rPr>
        <w:t xml:space="preserve"> and </w:t>
      </w:r>
      <w:r w:rsidR="00FF76C7">
        <w:rPr>
          <w:rFonts w:asciiTheme="minorHAnsi" w:hAnsiTheme="minorHAnsi" w:cstheme="minorHAnsi"/>
          <w:sz w:val="22"/>
          <w:szCs w:val="22"/>
        </w:rPr>
        <w:t xml:space="preserve">prevents parties from exiting the court system and </w:t>
      </w:r>
      <w:r w:rsidR="00772447">
        <w:rPr>
          <w:rFonts w:asciiTheme="minorHAnsi" w:hAnsiTheme="minorHAnsi" w:cstheme="minorHAnsi"/>
          <w:sz w:val="22"/>
          <w:szCs w:val="22"/>
        </w:rPr>
        <w:t xml:space="preserve">moving forward </w:t>
      </w:r>
      <w:r w:rsidR="00FF76C7">
        <w:rPr>
          <w:rFonts w:asciiTheme="minorHAnsi" w:hAnsiTheme="minorHAnsi" w:cstheme="minorHAnsi"/>
          <w:sz w:val="22"/>
          <w:szCs w:val="22"/>
        </w:rPr>
        <w:t>with their lives</w:t>
      </w:r>
      <w:r w:rsidRPr="001A29EB">
        <w:rPr>
          <w:rFonts w:asciiTheme="minorHAnsi" w:hAnsiTheme="minorHAnsi" w:cstheme="minorHAnsi"/>
          <w:sz w:val="22"/>
          <w:szCs w:val="22"/>
        </w:rPr>
        <w:t>,” Chief Justice Alstergren added.</w:t>
      </w:r>
    </w:p>
    <w:p w14:paraId="074F3B02" w14:textId="5D428AEE" w:rsidR="001A29EB" w:rsidRDefault="001A29EB" w:rsidP="005540DD">
      <w:pPr>
        <w:autoSpaceDE w:val="0"/>
        <w:autoSpaceDN w:val="0"/>
        <w:adjustRightInd w:val="0"/>
        <w:spacing w:after="240" w:line="276" w:lineRule="auto"/>
        <w:rPr>
          <w:rFonts w:asciiTheme="minorHAnsi" w:hAnsiTheme="minorHAnsi" w:cstheme="minorHAnsi"/>
          <w:sz w:val="22"/>
          <w:szCs w:val="22"/>
        </w:rPr>
      </w:pPr>
      <w:r>
        <w:rPr>
          <w:rFonts w:asciiTheme="minorHAnsi" w:hAnsiTheme="minorHAnsi" w:cstheme="minorHAnsi"/>
          <w:sz w:val="22"/>
          <w:szCs w:val="22"/>
        </w:rPr>
        <w:t>“</w:t>
      </w:r>
      <w:r w:rsidR="00FF76C7">
        <w:rPr>
          <w:rFonts w:asciiTheme="minorHAnsi" w:hAnsiTheme="minorHAnsi" w:cstheme="minorHAnsi"/>
          <w:sz w:val="22"/>
          <w:szCs w:val="22"/>
        </w:rPr>
        <w:t>The Court understand</w:t>
      </w:r>
      <w:r w:rsidR="00772447">
        <w:rPr>
          <w:rFonts w:asciiTheme="minorHAnsi" w:hAnsiTheme="minorHAnsi" w:cstheme="minorHAnsi"/>
          <w:sz w:val="22"/>
          <w:szCs w:val="22"/>
        </w:rPr>
        <w:t>s</w:t>
      </w:r>
      <w:r w:rsidR="00FF76C7">
        <w:rPr>
          <w:rFonts w:asciiTheme="minorHAnsi" w:hAnsiTheme="minorHAnsi" w:cstheme="minorHAnsi"/>
          <w:sz w:val="22"/>
          <w:szCs w:val="22"/>
        </w:rPr>
        <w:t xml:space="preserve"> </w:t>
      </w:r>
      <w:r w:rsidR="00135459">
        <w:rPr>
          <w:rFonts w:asciiTheme="minorHAnsi" w:hAnsiTheme="minorHAnsi" w:cstheme="minorHAnsi"/>
          <w:sz w:val="22"/>
          <w:szCs w:val="22"/>
        </w:rPr>
        <w:t xml:space="preserve">however, </w:t>
      </w:r>
      <w:r w:rsidR="00FF76C7">
        <w:rPr>
          <w:rFonts w:asciiTheme="minorHAnsi" w:hAnsiTheme="minorHAnsi" w:cstheme="minorHAnsi"/>
          <w:sz w:val="22"/>
          <w:szCs w:val="22"/>
        </w:rPr>
        <w:t xml:space="preserve">that </w:t>
      </w:r>
      <w:r w:rsidR="00772447">
        <w:rPr>
          <w:rFonts w:asciiTheme="minorHAnsi" w:hAnsiTheme="minorHAnsi" w:cstheme="minorHAnsi"/>
          <w:sz w:val="22"/>
          <w:szCs w:val="22"/>
        </w:rPr>
        <w:t xml:space="preserve">people’s lives and </w:t>
      </w:r>
      <w:r w:rsidR="00FF76C7">
        <w:rPr>
          <w:rFonts w:asciiTheme="minorHAnsi" w:hAnsiTheme="minorHAnsi" w:cstheme="minorHAnsi"/>
          <w:sz w:val="22"/>
          <w:szCs w:val="22"/>
        </w:rPr>
        <w:t xml:space="preserve">circumstances </w:t>
      </w:r>
      <w:r w:rsidR="00772447">
        <w:rPr>
          <w:rFonts w:asciiTheme="minorHAnsi" w:hAnsiTheme="minorHAnsi" w:cstheme="minorHAnsi"/>
          <w:sz w:val="22"/>
          <w:szCs w:val="22"/>
        </w:rPr>
        <w:t>may change</w:t>
      </w:r>
      <w:r w:rsidR="00FF76C7">
        <w:rPr>
          <w:rFonts w:asciiTheme="minorHAnsi" w:hAnsiTheme="minorHAnsi" w:cstheme="minorHAnsi"/>
          <w:sz w:val="22"/>
          <w:szCs w:val="22"/>
        </w:rPr>
        <w:t xml:space="preserve"> and n</w:t>
      </w:r>
      <w:r>
        <w:rPr>
          <w:rFonts w:asciiTheme="minorHAnsi" w:hAnsiTheme="minorHAnsi" w:cstheme="minorHAnsi"/>
          <w:sz w:val="22"/>
          <w:szCs w:val="22"/>
        </w:rPr>
        <w:t>on-compliance with order</w:t>
      </w:r>
      <w:r w:rsidR="00FF76C7">
        <w:rPr>
          <w:rFonts w:asciiTheme="minorHAnsi" w:hAnsiTheme="minorHAnsi" w:cstheme="minorHAnsi"/>
          <w:sz w:val="22"/>
          <w:szCs w:val="22"/>
        </w:rPr>
        <w:t>s</w:t>
      </w:r>
      <w:r>
        <w:rPr>
          <w:rFonts w:asciiTheme="minorHAnsi" w:hAnsiTheme="minorHAnsi" w:cstheme="minorHAnsi"/>
          <w:sz w:val="22"/>
          <w:szCs w:val="22"/>
        </w:rPr>
        <w:t xml:space="preserve"> may </w:t>
      </w:r>
      <w:r w:rsidR="00772447">
        <w:rPr>
          <w:rFonts w:asciiTheme="minorHAnsi" w:hAnsiTheme="minorHAnsi" w:cstheme="minorHAnsi"/>
          <w:sz w:val="22"/>
          <w:szCs w:val="22"/>
        </w:rPr>
        <w:t xml:space="preserve">be avoidable in some </w:t>
      </w:r>
      <w:r w:rsidR="008155FA">
        <w:rPr>
          <w:rFonts w:asciiTheme="minorHAnsi" w:hAnsiTheme="minorHAnsi" w:cstheme="minorHAnsi"/>
          <w:sz w:val="22"/>
          <w:szCs w:val="22"/>
        </w:rPr>
        <w:t>situations</w:t>
      </w:r>
      <w:r w:rsidR="00772447">
        <w:rPr>
          <w:rFonts w:asciiTheme="minorHAnsi" w:hAnsiTheme="minorHAnsi" w:cstheme="minorHAnsi"/>
          <w:sz w:val="22"/>
          <w:szCs w:val="22"/>
        </w:rPr>
        <w:t>, particularly where safety is concerned</w:t>
      </w:r>
      <w:r w:rsidR="00FF76C7">
        <w:rPr>
          <w:rFonts w:asciiTheme="minorHAnsi" w:hAnsiTheme="minorHAnsi" w:cstheme="minorHAnsi"/>
          <w:sz w:val="22"/>
          <w:szCs w:val="22"/>
        </w:rPr>
        <w:t xml:space="preserve">. </w:t>
      </w:r>
      <w:r w:rsidR="00AB0D78" w:rsidRPr="00F76853">
        <w:rPr>
          <w:rFonts w:asciiTheme="minorHAnsi" w:hAnsiTheme="minorHAnsi" w:cstheme="minorHAnsi"/>
          <w:sz w:val="22"/>
          <w:szCs w:val="22"/>
        </w:rPr>
        <w:t>The National Contravention List</w:t>
      </w:r>
      <w:r w:rsidR="00135459">
        <w:rPr>
          <w:rFonts w:asciiTheme="minorHAnsi" w:hAnsiTheme="minorHAnsi" w:cstheme="minorHAnsi"/>
          <w:sz w:val="22"/>
          <w:szCs w:val="22"/>
        </w:rPr>
        <w:t xml:space="preserve"> </w:t>
      </w:r>
      <w:r w:rsidR="00FF76C7">
        <w:rPr>
          <w:rFonts w:asciiTheme="minorHAnsi" w:hAnsiTheme="minorHAnsi" w:cstheme="minorHAnsi"/>
          <w:sz w:val="22"/>
          <w:szCs w:val="22"/>
        </w:rPr>
        <w:t xml:space="preserve">provides </w:t>
      </w:r>
      <w:r>
        <w:rPr>
          <w:rFonts w:asciiTheme="minorHAnsi" w:hAnsiTheme="minorHAnsi" w:cstheme="minorHAnsi"/>
          <w:sz w:val="22"/>
          <w:szCs w:val="22"/>
        </w:rPr>
        <w:t xml:space="preserve">an easier way for parties to </w:t>
      </w:r>
      <w:r w:rsidR="008155FA">
        <w:rPr>
          <w:rFonts w:asciiTheme="minorHAnsi" w:hAnsiTheme="minorHAnsi" w:cstheme="minorHAnsi"/>
          <w:sz w:val="22"/>
          <w:szCs w:val="22"/>
        </w:rPr>
        <w:t xml:space="preserve">access the Court for these types of matters and to </w:t>
      </w:r>
      <w:r>
        <w:rPr>
          <w:rFonts w:asciiTheme="minorHAnsi" w:hAnsiTheme="minorHAnsi" w:cstheme="minorHAnsi"/>
          <w:sz w:val="22"/>
          <w:szCs w:val="22"/>
        </w:rPr>
        <w:t xml:space="preserve">have </w:t>
      </w:r>
      <w:r w:rsidR="00FF76C7">
        <w:rPr>
          <w:rFonts w:asciiTheme="minorHAnsi" w:hAnsiTheme="minorHAnsi" w:cstheme="minorHAnsi"/>
          <w:sz w:val="22"/>
          <w:szCs w:val="22"/>
        </w:rPr>
        <w:t xml:space="preserve">compliance </w:t>
      </w:r>
      <w:r w:rsidR="008155FA">
        <w:rPr>
          <w:rFonts w:asciiTheme="minorHAnsi" w:hAnsiTheme="minorHAnsi" w:cstheme="minorHAnsi"/>
          <w:sz w:val="22"/>
          <w:szCs w:val="22"/>
        </w:rPr>
        <w:t xml:space="preserve">issues </w:t>
      </w:r>
      <w:r w:rsidR="00FF76C7">
        <w:rPr>
          <w:rFonts w:asciiTheme="minorHAnsi" w:hAnsiTheme="minorHAnsi" w:cstheme="minorHAnsi"/>
          <w:sz w:val="22"/>
          <w:szCs w:val="22"/>
        </w:rPr>
        <w:t>dealt with expeditiously</w:t>
      </w:r>
      <w:r w:rsidR="008155FA">
        <w:rPr>
          <w:rFonts w:asciiTheme="minorHAnsi" w:hAnsiTheme="minorHAnsi" w:cstheme="minorHAnsi"/>
          <w:sz w:val="22"/>
          <w:szCs w:val="22"/>
        </w:rPr>
        <w:t>,</w:t>
      </w:r>
      <w:r w:rsidR="00C63523">
        <w:rPr>
          <w:rFonts w:asciiTheme="minorHAnsi" w:hAnsiTheme="minorHAnsi" w:cstheme="minorHAnsi"/>
          <w:sz w:val="22"/>
          <w:szCs w:val="22"/>
        </w:rPr>
        <w:t>”</w:t>
      </w:r>
      <w:r w:rsidR="008155FA">
        <w:rPr>
          <w:rFonts w:asciiTheme="minorHAnsi" w:hAnsiTheme="minorHAnsi" w:cstheme="minorHAnsi"/>
          <w:sz w:val="22"/>
          <w:szCs w:val="22"/>
        </w:rPr>
        <w:t xml:space="preserve"> the Chief Justice added</w:t>
      </w:r>
      <w:r>
        <w:rPr>
          <w:rFonts w:asciiTheme="minorHAnsi" w:hAnsiTheme="minorHAnsi" w:cstheme="minorHAnsi"/>
          <w:sz w:val="22"/>
          <w:szCs w:val="22"/>
        </w:rPr>
        <w:t xml:space="preserve">. </w:t>
      </w:r>
    </w:p>
    <w:p w14:paraId="2428BD7F" w14:textId="067EEF36" w:rsidR="005540DD" w:rsidRDefault="00FF76C7" w:rsidP="005540DD">
      <w:pPr>
        <w:autoSpaceDE w:val="0"/>
        <w:autoSpaceDN w:val="0"/>
        <w:adjustRightInd w:val="0"/>
        <w:spacing w:after="240" w:line="276" w:lineRule="auto"/>
        <w:rPr>
          <w:rFonts w:asciiTheme="minorHAnsi" w:hAnsiTheme="minorHAnsi" w:cstheme="minorHAnsi"/>
          <w:sz w:val="22"/>
          <w:szCs w:val="22"/>
        </w:rPr>
      </w:pPr>
      <w:r>
        <w:rPr>
          <w:rFonts w:asciiTheme="minorHAnsi" w:hAnsiTheme="minorHAnsi" w:cstheme="minorHAnsi"/>
          <w:sz w:val="22"/>
          <w:szCs w:val="22"/>
        </w:rPr>
        <w:t xml:space="preserve">The List </w:t>
      </w:r>
      <w:r w:rsidR="00AB0D78" w:rsidRPr="00F76853">
        <w:rPr>
          <w:rFonts w:asciiTheme="minorHAnsi" w:hAnsiTheme="minorHAnsi" w:cstheme="minorHAnsi"/>
          <w:sz w:val="22"/>
          <w:szCs w:val="22"/>
        </w:rPr>
        <w:t>will be administered by</w:t>
      </w:r>
      <w:r w:rsidR="00CA17B3">
        <w:rPr>
          <w:rFonts w:asciiTheme="minorHAnsi" w:hAnsiTheme="minorHAnsi" w:cstheme="minorHAnsi"/>
          <w:sz w:val="22"/>
          <w:szCs w:val="22"/>
        </w:rPr>
        <w:t xml:space="preserve"> a team of highly-skilled </w:t>
      </w:r>
      <w:r w:rsidR="00723910">
        <w:rPr>
          <w:rFonts w:asciiTheme="minorHAnsi" w:hAnsiTheme="minorHAnsi" w:cstheme="minorHAnsi"/>
          <w:sz w:val="22"/>
          <w:szCs w:val="22"/>
        </w:rPr>
        <w:t>r</w:t>
      </w:r>
      <w:r w:rsidR="00AB0D78" w:rsidRPr="00F76853">
        <w:rPr>
          <w:rFonts w:asciiTheme="minorHAnsi" w:hAnsiTheme="minorHAnsi" w:cstheme="minorHAnsi"/>
          <w:sz w:val="22"/>
          <w:szCs w:val="22"/>
        </w:rPr>
        <w:t xml:space="preserve">egistrars who will </w:t>
      </w:r>
      <w:r w:rsidR="004A4D28" w:rsidRPr="00F76853">
        <w:rPr>
          <w:rFonts w:asciiTheme="minorHAnsi" w:hAnsiTheme="minorHAnsi" w:cstheme="minorHAnsi"/>
          <w:sz w:val="22"/>
          <w:szCs w:val="22"/>
        </w:rPr>
        <w:t>triage, assess, and where appropriate, allocate</w:t>
      </w:r>
      <w:r w:rsidR="00AB0D78" w:rsidRPr="00F76853">
        <w:rPr>
          <w:rFonts w:asciiTheme="minorHAnsi" w:hAnsiTheme="minorHAnsi" w:cstheme="minorHAnsi"/>
          <w:sz w:val="22"/>
          <w:szCs w:val="22"/>
        </w:rPr>
        <w:t xml:space="preserve"> the matter </w:t>
      </w:r>
      <w:r w:rsidR="00DC5586">
        <w:rPr>
          <w:rFonts w:asciiTheme="minorHAnsi" w:hAnsiTheme="minorHAnsi" w:cstheme="minorHAnsi"/>
          <w:sz w:val="22"/>
          <w:szCs w:val="22"/>
        </w:rPr>
        <w:t>to a J</w:t>
      </w:r>
      <w:r w:rsidR="004A4D28" w:rsidRPr="00F76853">
        <w:rPr>
          <w:rFonts w:asciiTheme="minorHAnsi" w:hAnsiTheme="minorHAnsi" w:cstheme="minorHAnsi"/>
          <w:sz w:val="22"/>
          <w:szCs w:val="22"/>
        </w:rPr>
        <w:t xml:space="preserve">udge </w:t>
      </w:r>
      <w:r w:rsidR="00DC5586">
        <w:rPr>
          <w:rFonts w:asciiTheme="minorHAnsi" w:hAnsiTheme="minorHAnsi" w:cstheme="minorHAnsi"/>
          <w:sz w:val="22"/>
          <w:szCs w:val="22"/>
        </w:rPr>
        <w:t xml:space="preserve">or Senior </w:t>
      </w:r>
      <w:r w:rsidR="00723910">
        <w:rPr>
          <w:rFonts w:asciiTheme="minorHAnsi" w:hAnsiTheme="minorHAnsi" w:cstheme="minorHAnsi"/>
          <w:sz w:val="22"/>
          <w:szCs w:val="22"/>
        </w:rPr>
        <w:t xml:space="preserve">Judicial </w:t>
      </w:r>
      <w:r w:rsidR="00DC5586">
        <w:rPr>
          <w:rFonts w:asciiTheme="minorHAnsi" w:hAnsiTheme="minorHAnsi" w:cstheme="minorHAnsi"/>
          <w:sz w:val="22"/>
          <w:szCs w:val="22"/>
        </w:rPr>
        <w:t xml:space="preserve">Registrar </w:t>
      </w:r>
      <w:r w:rsidR="004A4D28" w:rsidRPr="00F76853">
        <w:rPr>
          <w:rFonts w:asciiTheme="minorHAnsi" w:hAnsiTheme="minorHAnsi" w:cstheme="minorHAnsi"/>
          <w:sz w:val="22"/>
          <w:szCs w:val="22"/>
        </w:rPr>
        <w:t xml:space="preserve">in a streamlined </w:t>
      </w:r>
      <w:r>
        <w:rPr>
          <w:rFonts w:asciiTheme="minorHAnsi" w:hAnsiTheme="minorHAnsi" w:cstheme="minorHAnsi"/>
          <w:sz w:val="22"/>
          <w:szCs w:val="22"/>
        </w:rPr>
        <w:t>and timely</w:t>
      </w:r>
      <w:r w:rsidR="004A4D28" w:rsidRPr="00F76853">
        <w:rPr>
          <w:rFonts w:asciiTheme="minorHAnsi" w:hAnsiTheme="minorHAnsi" w:cstheme="minorHAnsi"/>
          <w:sz w:val="22"/>
          <w:szCs w:val="22"/>
        </w:rPr>
        <w:t xml:space="preserve"> manner</w:t>
      </w:r>
      <w:r w:rsidR="00AB0D78" w:rsidRPr="00F76853">
        <w:rPr>
          <w:rFonts w:asciiTheme="minorHAnsi" w:hAnsiTheme="minorHAnsi" w:cstheme="minorHAnsi"/>
          <w:sz w:val="22"/>
          <w:szCs w:val="22"/>
        </w:rPr>
        <w:t>.</w:t>
      </w:r>
      <w:r w:rsidR="005540DD">
        <w:rPr>
          <w:rFonts w:asciiTheme="minorHAnsi" w:hAnsiTheme="minorHAnsi" w:cstheme="minorHAnsi"/>
          <w:sz w:val="22"/>
          <w:szCs w:val="22"/>
        </w:rPr>
        <w:br w:type="page"/>
      </w:r>
    </w:p>
    <w:p w14:paraId="517B162C" w14:textId="73466F1B" w:rsidR="00F5474A" w:rsidRPr="005540DD" w:rsidRDefault="00AB0D78" w:rsidP="005540DD">
      <w:pPr>
        <w:pStyle w:val="Heading2"/>
        <w:spacing w:before="0" w:after="240" w:line="276" w:lineRule="auto"/>
        <w:rPr>
          <w:b/>
          <w:sz w:val="24"/>
          <w:szCs w:val="24"/>
        </w:rPr>
      </w:pPr>
      <w:r w:rsidRPr="005540DD">
        <w:rPr>
          <w:b/>
          <w:sz w:val="24"/>
          <w:szCs w:val="24"/>
        </w:rPr>
        <w:lastRenderedPageBreak/>
        <w:t xml:space="preserve">Details of the </w:t>
      </w:r>
      <w:r w:rsidR="00F5474A" w:rsidRPr="005540DD">
        <w:rPr>
          <w:b/>
          <w:sz w:val="24"/>
          <w:szCs w:val="24"/>
        </w:rPr>
        <w:t xml:space="preserve">National Contravention List </w:t>
      </w:r>
      <w:r w:rsidRPr="005540DD">
        <w:rPr>
          <w:b/>
          <w:sz w:val="24"/>
          <w:szCs w:val="24"/>
        </w:rPr>
        <w:t>are outlined as follows:</w:t>
      </w:r>
    </w:p>
    <w:p w14:paraId="7A0E7AC2" w14:textId="77777777" w:rsidR="00F5474A" w:rsidRPr="00F76853" w:rsidRDefault="00F5474A" w:rsidP="005540DD">
      <w:pPr>
        <w:spacing w:after="240" w:line="276" w:lineRule="auto"/>
        <w:rPr>
          <w:rFonts w:asciiTheme="minorHAnsi" w:hAnsiTheme="minorHAnsi" w:cstheme="minorHAnsi"/>
          <w:bCs/>
          <w:sz w:val="22"/>
          <w:szCs w:val="22"/>
        </w:rPr>
      </w:pPr>
      <w:r w:rsidRPr="00F76853">
        <w:rPr>
          <w:rFonts w:asciiTheme="minorHAnsi" w:hAnsiTheme="minorHAnsi" w:cstheme="minorHAnsi"/>
          <w:bCs/>
          <w:sz w:val="22"/>
          <w:szCs w:val="22"/>
        </w:rPr>
        <w:t xml:space="preserve">A National Contravention List will be introduced on 1 September 2021 to address the expectation that all parties will comply with orders of the Court, and that alleged breaches of court orders will be taken seriously and will be dealt with quickly. The key objectives of the National Contravention List are: </w:t>
      </w:r>
    </w:p>
    <w:p w14:paraId="18887072" w14:textId="77777777" w:rsidR="00F5474A" w:rsidRPr="00F76853" w:rsidRDefault="00F5474A" w:rsidP="005540DD">
      <w:pPr>
        <w:pStyle w:val="ListParagraph"/>
        <w:numPr>
          <w:ilvl w:val="1"/>
          <w:numId w:val="14"/>
        </w:numPr>
        <w:spacing w:after="0"/>
        <w:ind w:left="709"/>
        <w:rPr>
          <w:rFonts w:asciiTheme="minorHAnsi" w:hAnsiTheme="minorHAnsi" w:cstheme="minorHAnsi"/>
          <w:bCs/>
        </w:rPr>
      </w:pPr>
      <w:r w:rsidRPr="00F76853">
        <w:rPr>
          <w:rFonts w:asciiTheme="minorHAnsi" w:hAnsiTheme="minorHAnsi" w:cstheme="minorHAnsi"/>
          <w:bCs/>
        </w:rPr>
        <w:t>to efficiently deal with Applications on a national basis in a timely, cost effective and safe way for all litigants,</w:t>
      </w:r>
    </w:p>
    <w:p w14:paraId="454E8494" w14:textId="77777777" w:rsidR="00F5474A" w:rsidRPr="00F76853" w:rsidRDefault="00F5474A" w:rsidP="005540DD">
      <w:pPr>
        <w:pStyle w:val="ListParagraph"/>
        <w:numPr>
          <w:ilvl w:val="1"/>
          <w:numId w:val="14"/>
        </w:numPr>
        <w:spacing w:after="0"/>
        <w:ind w:left="709"/>
        <w:rPr>
          <w:rFonts w:asciiTheme="minorHAnsi" w:hAnsiTheme="minorHAnsi" w:cstheme="minorHAnsi"/>
          <w:bCs/>
        </w:rPr>
      </w:pPr>
      <w:r w:rsidRPr="00F76853">
        <w:rPr>
          <w:rFonts w:asciiTheme="minorHAnsi" w:hAnsiTheme="minorHAnsi" w:cstheme="minorHAnsi"/>
          <w:bCs/>
        </w:rPr>
        <w:t>for Applications to be given a first return date within 14 days of filing,</w:t>
      </w:r>
    </w:p>
    <w:p w14:paraId="70410053" w14:textId="77777777" w:rsidR="00F5474A" w:rsidRPr="00F76853" w:rsidRDefault="00F5474A" w:rsidP="005540DD">
      <w:pPr>
        <w:pStyle w:val="ListParagraph"/>
        <w:numPr>
          <w:ilvl w:val="1"/>
          <w:numId w:val="14"/>
        </w:numPr>
        <w:spacing w:after="0"/>
        <w:ind w:left="709"/>
        <w:rPr>
          <w:rFonts w:asciiTheme="minorHAnsi" w:hAnsiTheme="minorHAnsi" w:cstheme="minorHAnsi"/>
          <w:bCs/>
        </w:rPr>
      </w:pPr>
      <w:r w:rsidRPr="00F76853">
        <w:rPr>
          <w:rFonts w:asciiTheme="minorHAnsi" w:hAnsiTheme="minorHAnsi" w:cstheme="minorHAnsi"/>
          <w:bCs/>
        </w:rPr>
        <w:t xml:space="preserve">to ensure compliance with court orders by all parties, </w:t>
      </w:r>
    </w:p>
    <w:p w14:paraId="08B652D6" w14:textId="77777777" w:rsidR="00F5474A" w:rsidRPr="00F76853" w:rsidRDefault="00F5474A" w:rsidP="005540DD">
      <w:pPr>
        <w:pStyle w:val="ListParagraph"/>
        <w:numPr>
          <w:ilvl w:val="1"/>
          <w:numId w:val="14"/>
        </w:numPr>
        <w:spacing w:after="0"/>
        <w:ind w:left="709"/>
        <w:rPr>
          <w:rFonts w:asciiTheme="minorHAnsi" w:hAnsiTheme="minorHAnsi" w:cstheme="minorHAnsi"/>
          <w:bCs/>
        </w:rPr>
      </w:pPr>
      <w:r w:rsidRPr="00F76853">
        <w:rPr>
          <w:rFonts w:asciiTheme="minorHAnsi" w:hAnsiTheme="minorHAnsi" w:cstheme="minorHAnsi"/>
          <w:bCs/>
        </w:rPr>
        <w:t xml:space="preserve">to impose appropriate penalties or sanctions where a contravention has been proved and where a party has failed to demonstrate they had a reasonable excuse for non-compliance with court orders, </w:t>
      </w:r>
    </w:p>
    <w:p w14:paraId="559497C2" w14:textId="77777777" w:rsidR="00F5474A" w:rsidRPr="00F76853" w:rsidRDefault="00F5474A" w:rsidP="005540DD">
      <w:pPr>
        <w:pStyle w:val="ListParagraph"/>
        <w:numPr>
          <w:ilvl w:val="1"/>
          <w:numId w:val="14"/>
        </w:numPr>
        <w:spacing w:after="0"/>
        <w:ind w:left="709"/>
        <w:rPr>
          <w:rFonts w:asciiTheme="minorHAnsi" w:eastAsia="Times New Roman" w:hAnsiTheme="minorHAnsi" w:cstheme="minorHAnsi"/>
          <w:lang w:eastAsia="en-GB"/>
        </w:rPr>
      </w:pPr>
      <w:r w:rsidRPr="00F76853">
        <w:rPr>
          <w:rFonts w:asciiTheme="minorHAnsi" w:eastAsia="Times New Roman" w:hAnsiTheme="minorHAnsi" w:cstheme="minorHAnsi"/>
          <w:lang w:eastAsia="en-GB"/>
        </w:rPr>
        <w:t xml:space="preserve">to proactively facilitate the resolution of underlying issues in disputes that lead to the filing of such applications, </w:t>
      </w:r>
    </w:p>
    <w:p w14:paraId="408EDA46" w14:textId="77777777" w:rsidR="00F5474A" w:rsidRPr="00F76853" w:rsidRDefault="00F5474A" w:rsidP="005540DD">
      <w:pPr>
        <w:pStyle w:val="ListParagraph"/>
        <w:numPr>
          <w:ilvl w:val="1"/>
          <w:numId w:val="14"/>
        </w:numPr>
        <w:spacing w:after="0"/>
        <w:ind w:left="709"/>
        <w:rPr>
          <w:rFonts w:asciiTheme="minorHAnsi" w:eastAsia="Times New Roman" w:hAnsiTheme="minorHAnsi" w:cstheme="minorHAnsi"/>
          <w:lang w:eastAsia="en-GB"/>
        </w:rPr>
      </w:pPr>
      <w:r w:rsidRPr="00F76853">
        <w:rPr>
          <w:rFonts w:asciiTheme="minorHAnsi" w:eastAsia="Times New Roman" w:hAnsiTheme="minorHAnsi" w:cstheme="minorHAnsi"/>
          <w:lang w:eastAsia="en-GB"/>
        </w:rPr>
        <w:t>to triage appropriate matters to dispute resolution, and</w:t>
      </w:r>
    </w:p>
    <w:p w14:paraId="43587F61" w14:textId="77777777" w:rsidR="00F5474A" w:rsidRPr="00F76853" w:rsidRDefault="00F5474A" w:rsidP="005540DD">
      <w:pPr>
        <w:pStyle w:val="ListParagraph"/>
        <w:numPr>
          <w:ilvl w:val="1"/>
          <w:numId w:val="14"/>
        </w:numPr>
        <w:spacing w:after="0"/>
        <w:ind w:left="709"/>
        <w:rPr>
          <w:rFonts w:asciiTheme="minorHAnsi" w:eastAsia="Times New Roman" w:hAnsiTheme="minorHAnsi" w:cstheme="minorHAnsi"/>
          <w:lang w:eastAsia="en-GB"/>
        </w:rPr>
      </w:pPr>
      <w:proofErr w:type="gramStart"/>
      <w:r w:rsidRPr="00F76853">
        <w:rPr>
          <w:rFonts w:asciiTheme="minorHAnsi" w:eastAsia="Times New Roman" w:hAnsiTheme="minorHAnsi" w:cstheme="minorHAnsi"/>
          <w:lang w:eastAsia="en-GB"/>
        </w:rPr>
        <w:t>to</w:t>
      </w:r>
      <w:proofErr w:type="gramEnd"/>
      <w:r w:rsidRPr="00F76853">
        <w:rPr>
          <w:rFonts w:asciiTheme="minorHAnsi" w:eastAsia="Times New Roman" w:hAnsiTheme="minorHAnsi" w:cstheme="minorHAnsi"/>
          <w:lang w:eastAsia="en-GB"/>
        </w:rPr>
        <w:t xml:space="preserve"> be responsive to a party’s wishes to resolve matters without recourse to additional litigation.</w:t>
      </w:r>
    </w:p>
    <w:p w14:paraId="036B0143" w14:textId="2B480F47" w:rsidR="00F5474A" w:rsidRPr="00F76853" w:rsidRDefault="00F5474A" w:rsidP="005540DD">
      <w:pPr>
        <w:spacing w:before="240" w:line="276" w:lineRule="auto"/>
        <w:rPr>
          <w:rFonts w:asciiTheme="minorHAnsi" w:hAnsiTheme="minorHAnsi" w:cstheme="minorHAnsi"/>
          <w:bCs/>
          <w:sz w:val="22"/>
          <w:szCs w:val="22"/>
          <w:lang w:eastAsia="zh-CN"/>
        </w:rPr>
      </w:pPr>
      <w:r w:rsidRPr="00F76853">
        <w:rPr>
          <w:rFonts w:asciiTheme="minorHAnsi" w:hAnsiTheme="minorHAnsi" w:cstheme="minorHAnsi"/>
          <w:sz w:val="22"/>
          <w:szCs w:val="22"/>
          <w:lang w:eastAsia="en-GB"/>
        </w:rPr>
        <w:t>A</w:t>
      </w:r>
      <w:r w:rsidR="008A10AF">
        <w:rPr>
          <w:rFonts w:asciiTheme="minorHAnsi" w:hAnsiTheme="minorHAnsi" w:cstheme="minorHAnsi"/>
          <w:sz w:val="22"/>
          <w:szCs w:val="22"/>
          <w:lang w:eastAsia="en-GB"/>
        </w:rPr>
        <w:t xml:space="preserve"> new</w:t>
      </w:r>
      <w:r w:rsidRPr="00F76853">
        <w:rPr>
          <w:rFonts w:asciiTheme="minorHAnsi" w:hAnsiTheme="minorHAnsi" w:cstheme="minorHAnsi"/>
          <w:sz w:val="22"/>
          <w:szCs w:val="22"/>
          <w:lang w:eastAsia="en-GB"/>
        </w:rPr>
        <w:t xml:space="preserve"> </w:t>
      </w:r>
      <w:hyperlink r:id="rId8" w:history="1">
        <w:r w:rsidRPr="008A10AF">
          <w:rPr>
            <w:rStyle w:val="Hyperlink"/>
            <w:rFonts w:asciiTheme="minorHAnsi" w:hAnsiTheme="minorHAnsi" w:cstheme="minorHAnsi"/>
            <w:sz w:val="22"/>
            <w:szCs w:val="22"/>
            <w:lang w:eastAsia="en-GB"/>
          </w:rPr>
          <w:t>Practice D</w:t>
        </w:r>
        <w:r w:rsidRPr="008A10AF">
          <w:rPr>
            <w:rStyle w:val="Hyperlink"/>
            <w:rFonts w:asciiTheme="minorHAnsi" w:hAnsiTheme="minorHAnsi" w:cstheme="minorHAnsi"/>
            <w:sz w:val="22"/>
            <w:szCs w:val="22"/>
            <w:lang w:eastAsia="en-GB"/>
          </w:rPr>
          <w:t>i</w:t>
        </w:r>
        <w:r w:rsidRPr="008A10AF">
          <w:rPr>
            <w:rStyle w:val="Hyperlink"/>
            <w:rFonts w:asciiTheme="minorHAnsi" w:hAnsiTheme="minorHAnsi" w:cstheme="minorHAnsi"/>
            <w:sz w:val="22"/>
            <w:szCs w:val="22"/>
            <w:lang w:eastAsia="en-GB"/>
          </w:rPr>
          <w:t>rection</w:t>
        </w:r>
      </w:hyperlink>
      <w:r w:rsidR="000E1290">
        <w:rPr>
          <w:rFonts w:asciiTheme="minorHAnsi" w:hAnsiTheme="minorHAnsi" w:cstheme="minorHAnsi"/>
          <w:sz w:val="22"/>
          <w:szCs w:val="22"/>
          <w:lang w:eastAsia="en-GB"/>
        </w:rPr>
        <w:t xml:space="preserve"> </w:t>
      </w:r>
      <w:r w:rsidR="008A10AF">
        <w:rPr>
          <w:rFonts w:asciiTheme="minorHAnsi" w:hAnsiTheme="minorHAnsi" w:cstheme="minorHAnsi"/>
          <w:sz w:val="22"/>
          <w:szCs w:val="22"/>
          <w:lang w:eastAsia="en-GB"/>
        </w:rPr>
        <w:t xml:space="preserve">and </w:t>
      </w:r>
      <w:hyperlink r:id="rId9" w:history="1">
        <w:r w:rsidR="008A10AF" w:rsidRPr="008A10AF">
          <w:rPr>
            <w:rStyle w:val="Hyperlink"/>
            <w:rFonts w:asciiTheme="minorHAnsi" w:hAnsiTheme="minorHAnsi" w:cstheme="minorHAnsi"/>
            <w:sz w:val="22"/>
            <w:szCs w:val="22"/>
            <w:lang w:eastAsia="en-GB"/>
          </w:rPr>
          <w:t>Application form</w:t>
        </w:r>
      </w:hyperlink>
      <w:r w:rsidR="008A10AF">
        <w:rPr>
          <w:rFonts w:asciiTheme="minorHAnsi" w:hAnsiTheme="minorHAnsi" w:cstheme="minorHAnsi"/>
          <w:sz w:val="22"/>
          <w:szCs w:val="22"/>
          <w:lang w:eastAsia="en-GB"/>
        </w:rPr>
        <w:t xml:space="preserve"> </w:t>
      </w:r>
      <w:r w:rsidRPr="00F76853">
        <w:rPr>
          <w:rFonts w:asciiTheme="minorHAnsi" w:hAnsiTheme="minorHAnsi" w:cstheme="minorHAnsi"/>
          <w:sz w:val="22"/>
          <w:szCs w:val="22"/>
          <w:lang w:eastAsia="en-GB"/>
        </w:rPr>
        <w:t>for the new Contravention List will accompan</w:t>
      </w:r>
      <w:r w:rsidR="005540DD">
        <w:rPr>
          <w:rFonts w:asciiTheme="minorHAnsi" w:hAnsiTheme="minorHAnsi" w:cstheme="minorHAnsi"/>
          <w:sz w:val="22"/>
          <w:szCs w:val="22"/>
          <w:lang w:eastAsia="en-GB"/>
        </w:rPr>
        <w:t>y the commencement of the list.</w:t>
      </w:r>
    </w:p>
    <w:sectPr w:rsidR="00F5474A" w:rsidRPr="00F76853" w:rsidSect="009901DC">
      <w:headerReference w:type="even" r:id="rId10"/>
      <w:headerReference w:type="default" r:id="rId11"/>
      <w:footerReference w:type="even" r:id="rId12"/>
      <w:footerReference w:type="default" r:id="rId13"/>
      <w:headerReference w:type="first" r:id="rId14"/>
      <w:footerReference w:type="first" r:id="rId15"/>
      <w:pgSz w:w="11906" w:h="16838"/>
      <w:pgMar w:top="1134" w:right="1133" w:bottom="709"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F3DB5F4" w14:textId="77777777" w:rsidR="006E06B1" w:rsidRDefault="006E06B1">
      <w:r>
        <w:separator/>
      </w:r>
    </w:p>
  </w:endnote>
  <w:endnote w:type="continuationSeparator" w:id="0">
    <w:p w14:paraId="028403A1" w14:textId="77777777" w:rsidR="006E06B1" w:rsidRDefault="006E06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Open Sans Light">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60BD2FF" w14:textId="77777777" w:rsidR="003619E5" w:rsidRDefault="003619E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9A29D60" w14:textId="77777777" w:rsidR="00BC6BB7" w:rsidRPr="002F31C2" w:rsidRDefault="00BC6BB7" w:rsidP="00BC6BB7">
    <w:pPr>
      <w:pBdr>
        <w:top w:val="single" w:sz="4" w:space="1" w:color="auto"/>
      </w:pBdr>
      <w:rPr>
        <w:rFonts w:ascii="Calibri" w:hAnsi="Calibri" w:cs="Calibri"/>
        <w:iCs/>
        <w:sz w:val="20"/>
        <w:szCs w:val="20"/>
        <w:lang w:eastAsia="en-US"/>
      </w:rPr>
    </w:pPr>
    <w:r w:rsidRPr="002F31C2">
      <w:rPr>
        <w:rFonts w:ascii="Calibri" w:hAnsi="Calibri" w:cs="Calibri"/>
        <w:iCs/>
        <w:sz w:val="20"/>
        <w:szCs w:val="20"/>
        <w:lang w:eastAsia="en-US"/>
      </w:rPr>
      <w:t xml:space="preserve">Media enquiries: Denise Healy </w:t>
    </w:r>
    <w:hyperlink r:id="rId1" w:history="1">
      <w:r w:rsidRPr="002F31C2">
        <w:rPr>
          <w:rStyle w:val="Hyperlink"/>
          <w:rFonts w:ascii="Calibri" w:hAnsi="Calibri" w:cs="Calibri"/>
          <w:iCs/>
          <w:sz w:val="20"/>
          <w:szCs w:val="20"/>
          <w:lang w:eastAsia="en-US"/>
        </w:rPr>
        <w:t>denise.healy@familycourt.gov.au</w:t>
      </w:r>
    </w:hyperlink>
    <w:r w:rsidRPr="002F31C2">
      <w:rPr>
        <w:rFonts w:ascii="Calibri" w:hAnsi="Calibri" w:cs="Calibri"/>
        <w:iCs/>
        <w:sz w:val="20"/>
        <w:szCs w:val="20"/>
        <w:lang w:eastAsia="en-US"/>
      </w:rPr>
      <w:t xml:space="preserve"> or 0409 743 695.</w:t>
    </w:r>
  </w:p>
  <w:p w14:paraId="6E7C664E" w14:textId="77777777" w:rsidR="00D055AD" w:rsidRDefault="00D055A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662D9E9" w14:textId="77777777" w:rsidR="003619E5" w:rsidRDefault="003619E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43E5F9C" w14:textId="77777777" w:rsidR="006E06B1" w:rsidRDefault="006E06B1">
      <w:r>
        <w:separator/>
      </w:r>
    </w:p>
  </w:footnote>
  <w:footnote w:type="continuationSeparator" w:id="0">
    <w:p w14:paraId="0C0C44CE" w14:textId="77777777" w:rsidR="006E06B1" w:rsidRDefault="006E06B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5F1AB4E" w14:textId="77777777" w:rsidR="003619E5" w:rsidRDefault="003619E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D35419C" w14:textId="50528657" w:rsidR="00037ADB" w:rsidRDefault="00AE34E6" w:rsidP="008E0DA5">
    <w:pPr>
      <w:pStyle w:val="Footer"/>
    </w:pPr>
    <w:r w:rsidRPr="00AB7BFC">
      <w:rPr>
        <w:b/>
        <w:noProof/>
      </w:rPr>
      <w:drawing>
        <wp:inline distT="0" distB="0" distL="0" distR="0" wp14:anchorId="21B29893" wp14:editId="5B93F25A">
          <wp:extent cx="4007005" cy="614607"/>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CoA_FCC_LONG logo.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4056208" cy="622154"/>
                  </a:xfrm>
                  <a:prstGeom prst="rect">
                    <a:avLst/>
                  </a:prstGeom>
                </pic:spPr>
              </pic:pic>
            </a:graphicData>
          </a:graphic>
        </wp:inline>
      </w:drawing>
    </w:r>
  </w:p>
  <w:p w14:paraId="3F22D06E" w14:textId="77777777" w:rsidR="00643FCF" w:rsidRPr="00643FCF" w:rsidRDefault="00AE34E6" w:rsidP="007F5F48">
    <w:pPr>
      <w:keepNext/>
      <w:spacing w:before="80"/>
      <w:outlineLvl w:val="0"/>
      <w:rPr>
        <w:rFonts w:ascii="Arial" w:hAnsi="Arial" w:cs="Arial"/>
        <w:sz w:val="20"/>
        <w:lang w:eastAsia="en-US"/>
      </w:rPr>
    </w:pPr>
    <w:r>
      <w:rPr>
        <w:noProof/>
      </w:rPr>
      <mc:AlternateContent>
        <mc:Choice Requires="wps">
          <w:drawing>
            <wp:anchor distT="0" distB="0" distL="114300" distR="114300" simplePos="0" relativeHeight="251657216" behindDoc="0" locked="0" layoutInCell="1" allowOverlap="1" wp14:anchorId="55C55450" wp14:editId="0E40774D">
              <wp:simplePos x="0" y="0"/>
              <wp:positionH relativeFrom="margin">
                <wp:posOffset>727446</wp:posOffset>
              </wp:positionH>
              <wp:positionV relativeFrom="paragraph">
                <wp:posOffset>10160</wp:posOffset>
              </wp:positionV>
              <wp:extent cx="5162400" cy="0"/>
              <wp:effectExtent l="0" t="0" r="19685" b="19050"/>
              <wp:wrapNone/>
              <wp:docPr id="4"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162400" cy="0"/>
                      </a:xfrm>
                      <a:prstGeom prst="line">
                        <a:avLst/>
                      </a:prstGeom>
                      <a:noFill/>
                      <a:ln w="24765">
                        <a:solidFill>
                          <a:schemeClr val="bg1">
                            <a:lumMod val="8500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line w14:anchorId="6B08FA5F" id="Straight Connector 4" o:spid="_x0000_s1026" style="position:absolute;z-index:2516572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57.3pt,.8pt" to="463.8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" strokecolor="#d8d8d8 [2732]" strokeweight="1.95pt">
              <w10:wrap anchorx="margin"/>
            </v:lin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D1412D0" w14:textId="77777777" w:rsidR="003619E5" w:rsidRDefault="003619E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11.25pt;height:11.25pt" o:bullet="t">
        <v:imagedata r:id="rId1" o:title="mso7A0E"/>
      </v:shape>
    </w:pict>
  </w:numPicBullet>
  <w:abstractNum w:abstractNumId="0" w15:restartNumberingAfterBreak="0">
    <w:nsid w:val="12C8489A"/>
    <w:multiLevelType w:val="hybridMultilevel"/>
    <w:tmpl w:val="F12E03A0"/>
    <w:lvl w:ilvl="0" w:tplc="0C090001">
      <w:start w:val="1"/>
      <w:numFmt w:val="bullet"/>
      <w:lvlText w:val=""/>
      <w:lvlJc w:val="left"/>
      <w:pPr>
        <w:ind w:left="1080" w:hanging="360"/>
      </w:pPr>
      <w:rPr>
        <w:rFonts w:ascii="Symbol" w:hAnsi="Symbol" w:hint="default"/>
      </w:rPr>
    </w:lvl>
    <w:lvl w:ilvl="1" w:tplc="0C090003">
      <w:start w:val="1"/>
      <w:numFmt w:val="bullet"/>
      <w:lvlText w:val="o"/>
      <w:lvlJc w:val="left"/>
      <w:pPr>
        <w:ind w:left="1800" w:hanging="360"/>
      </w:pPr>
      <w:rPr>
        <w:rFonts w:ascii="Courier New" w:hAnsi="Courier New" w:cs="Courier New" w:hint="default"/>
      </w:rPr>
    </w:lvl>
    <w:lvl w:ilvl="2" w:tplc="0C090005">
      <w:start w:val="1"/>
      <w:numFmt w:val="bullet"/>
      <w:lvlText w:val=""/>
      <w:lvlJc w:val="left"/>
      <w:pPr>
        <w:ind w:left="2520" w:hanging="360"/>
      </w:pPr>
      <w:rPr>
        <w:rFonts w:ascii="Wingdings" w:hAnsi="Wingdings" w:hint="default"/>
      </w:rPr>
    </w:lvl>
    <w:lvl w:ilvl="3" w:tplc="0C090001">
      <w:start w:val="1"/>
      <w:numFmt w:val="bullet"/>
      <w:lvlText w:val=""/>
      <w:lvlJc w:val="left"/>
      <w:pPr>
        <w:ind w:left="3240" w:hanging="360"/>
      </w:pPr>
      <w:rPr>
        <w:rFonts w:ascii="Symbol" w:hAnsi="Symbol" w:hint="default"/>
      </w:rPr>
    </w:lvl>
    <w:lvl w:ilvl="4" w:tplc="0C090003">
      <w:start w:val="1"/>
      <w:numFmt w:val="bullet"/>
      <w:lvlText w:val="o"/>
      <w:lvlJc w:val="left"/>
      <w:pPr>
        <w:ind w:left="3960" w:hanging="360"/>
      </w:pPr>
      <w:rPr>
        <w:rFonts w:ascii="Courier New" w:hAnsi="Courier New" w:cs="Courier New" w:hint="default"/>
      </w:rPr>
    </w:lvl>
    <w:lvl w:ilvl="5" w:tplc="0C090005">
      <w:start w:val="1"/>
      <w:numFmt w:val="bullet"/>
      <w:lvlText w:val=""/>
      <w:lvlJc w:val="left"/>
      <w:pPr>
        <w:ind w:left="4680" w:hanging="360"/>
      </w:pPr>
      <w:rPr>
        <w:rFonts w:ascii="Wingdings" w:hAnsi="Wingdings" w:hint="default"/>
      </w:rPr>
    </w:lvl>
    <w:lvl w:ilvl="6" w:tplc="0C090001">
      <w:start w:val="1"/>
      <w:numFmt w:val="bullet"/>
      <w:lvlText w:val=""/>
      <w:lvlJc w:val="left"/>
      <w:pPr>
        <w:ind w:left="5400" w:hanging="360"/>
      </w:pPr>
      <w:rPr>
        <w:rFonts w:ascii="Symbol" w:hAnsi="Symbol" w:hint="default"/>
      </w:rPr>
    </w:lvl>
    <w:lvl w:ilvl="7" w:tplc="0C090003">
      <w:start w:val="1"/>
      <w:numFmt w:val="bullet"/>
      <w:lvlText w:val="o"/>
      <w:lvlJc w:val="left"/>
      <w:pPr>
        <w:ind w:left="6120" w:hanging="360"/>
      </w:pPr>
      <w:rPr>
        <w:rFonts w:ascii="Courier New" w:hAnsi="Courier New" w:cs="Courier New" w:hint="default"/>
      </w:rPr>
    </w:lvl>
    <w:lvl w:ilvl="8" w:tplc="0C090005">
      <w:start w:val="1"/>
      <w:numFmt w:val="bullet"/>
      <w:lvlText w:val=""/>
      <w:lvlJc w:val="left"/>
      <w:pPr>
        <w:ind w:left="6840" w:hanging="360"/>
      </w:pPr>
      <w:rPr>
        <w:rFonts w:ascii="Wingdings" w:hAnsi="Wingdings" w:hint="default"/>
      </w:rPr>
    </w:lvl>
  </w:abstractNum>
  <w:abstractNum w:abstractNumId="1" w15:restartNumberingAfterBreak="0">
    <w:nsid w:val="19922571"/>
    <w:multiLevelType w:val="hybridMultilevel"/>
    <w:tmpl w:val="99F83C96"/>
    <w:lvl w:ilvl="0" w:tplc="CF6CED0C">
      <w:start w:val="1"/>
      <w:numFmt w:val="lowerLetter"/>
      <w:lvlText w:val="(%1)"/>
      <w:lvlJc w:val="left"/>
      <w:pPr>
        <w:ind w:left="720" w:hanging="360"/>
      </w:pPr>
      <w:rPr>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 w15:restartNumberingAfterBreak="0">
    <w:nsid w:val="267D47D2"/>
    <w:multiLevelType w:val="hybridMultilevel"/>
    <w:tmpl w:val="1186B0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26BA7581"/>
    <w:multiLevelType w:val="hybridMultilevel"/>
    <w:tmpl w:val="6C600986"/>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2F8B1708"/>
    <w:multiLevelType w:val="hybridMultilevel"/>
    <w:tmpl w:val="A35219A2"/>
    <w:lvl w:ilvl="0" w:tplc="0C090001">
      <w:start w:val="1"/>
      <w:numFmt w:val="bullet"/>
      <w:lvlText w:val=""/>
      <w:lvlJc w:val="left"/>
      <w:pPr>
        <w:ind w:left="1080" w:hanging="360"/>
      </w:pPr>
      <w:rPr>
        <w:rFonts w:ascii="Symbol" w:hAnsi="Symbol" w:hint="default"/>
      </w:rPr>
    </w:lvl>
    <w:lvl w:ilvl="1" w:tplc="0C090003">
      <w:start w:val="1"/>
      <w:numFmt w:val="bullet"/>
      <w:lvlText w:val="o"/>
      <w:lvlJc w:val="left"/>
      <w:pPr>
        <w:ind w:left="1800" w:hanging="360"/>
      </w:pPr>
      <w:rPr>
        <w:rFonts w:ascii="Courier New" w:hAnsi="Courier New" w:cs="Courier New" w:hint="default"/>
      </w:rPr>
    </w:lvl>
    <w:lvl w:ilvl="2" w:tplc="0C090005">
      <w:start w:val="1"/>
      <w:numFmt w:val="bullet"/>
      <w:lvlText w:val=""/>
      <w:lvlJc w:val="left"/>
      <w:pPr>
        <w:ind w:left="2520" w:hanging="360"/>
      </w:pPr>
      <w:rPr>
        <w:rFonts w:ascii="Wingdings" w:hAnsi="Wingdings" w:hint="default"/>
      </w:rPr>
    </w:lvl>
    <w:lvl w:ilvl="3" w:tplc="0C090001">
      <w:start w:val="1"/>
      <w:numFmt w:val="bullet"/>
      <w:lvlText w:val=""/>
      <w:lvlJc w:val="left"/>
      <w:pPr>
        <w:ind w:left="3240" w:hanging="360"/>
      </w:pPr>
      <w:rPr>
        <w:rFonts w:ascii="Symbol" w:hAnsi="Symbol" w:hint="default"/>
      </w:rPr>
    </w:lvl>
    <w:lvl w:ilvl="4" w:tplc="0C090003">
      <w:start w:val="1"/>
      <w:numFmt w:val="bullet"/>
      <w:lvlText w:val="o"/>
      <w:lvlJc w:val="left"/>
      <w:pPr>
        <w:ind w:left="3960" w:hanging="360"/>
      </w:pPr>
      <w:rPr>
        <w:rFonts w:ascii="Courier New" w:hAnsi="Courier New" w:cs="Courier New" w:hint="default"/>
      </w:rPr>
    </w:lvl>
    <w:lvl w:ilvl="5" w:tplc="0C090005">
      <w:start w:val="1"/>
      <w:numFmt w:val="bullet"/>
      <w:lvlText w:val=""/>
      <w:lvlJc w:val="left"/>
      <w:pPr>
        <w:ind w:left="4680" w:hanging="360"/>
      </w:pPr>
      <w:rPr>
        <w:rFonts w:ascii="Wingdings" w:hAnsi="Wingdings" w:hint="default"/>
      </w:rPr>
    </w:lvl>
    <w:lvl w:ilvl="6" w:tplc="0C090001">
      <w:start w:val="1"/>
      <w:numFmt w:val="bullet"/>
      <w:lvlText w:val=""/>
      <w:lvlJc w:val="left"/>
      <w:pPr>
        <w:ind w:left="5400" w:hanging="360"/>
      </w:pPr>
      <w:rPr>
        <w:rFonts w:ascii="Symbol" w:hAnsi="Symbol" w:hint="default"/>
      </w:rPr>
    </w:lvl>
    <w:lvl w:ilvl="7" w:tplc="0C090003">
      <w:start w:val="1"/>
      <w:numFmt w:val="bullet"/>
      <w:lvlText w:val="o"/>
      <w:lvlJc w:val="left"/>
      <w:pPr>
        <w:ind w:left="6120" w:hanging="360"/>
      </w:pPr>
      <w:rPr>
        <w:rFonts w:ascii="Courier New" w:hAnsi="Courier New" w:cs="Courier New" w:hint="default"/>
      </w:rPr>
    </w:lvl>
    <w:lvl w:ilvl="8" w:tplc="0C090005">
      <w:start w:val="1"/>
      <w:numFmt w:val="bullet"/>
      <w:lvlText w:val=""/>
      <w:lvlJc w:val="left"/>
      <w:pPr>
        <w:ind w:left="6840" w:hanging="360"/>
      </w:pPr>
      <w:rPr>
        <w:rFonts w:ascii="Wingdings" w:hAnsi="Wingdings" w:hint="default"/>
      </w:rPr>
    </w:lvl>
  </w:abstractNum>
  <w:abstractNum w:abstractNumId="5" w15:restartNumberingAfterBreak="0">
    <w:nsid w:val="448D208F"/>
    <w:multiLevelType w:val="hybridMultilevel"/>
    <w:tmpl w:val="AE3EF0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52392770"/>
    <w:multiLevelType w:val="multilevel"/>
    <w:tmpl w:val="4CA85C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61DA3E3F"/>
    <w:multiLevelType w:val="hybridMultilevel"/>
    <w:tmpl w:val="6BF28CAC"/>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6CB40804"/>
    <w:multiLevelType w:val="hybridMultilevel"/>
    <w:tmpl w:val="7A185D4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9" w15:restartNumberingAfterBreak="0">
    <w:nsid w:val="6E0C7FEE"/>
    <w:multiLevelType w:val="hybridMultilevel"/>
    <w:tmpl w:val="527E0E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6ED07391"/>
    <w:multiLevelType w:val="hybridMultilevel"/>
    <w:tmpl w:val="87240FBE"/>
    <w:lvl w:ilvl="0" w:tplc="5F105604">
      <w:start w:val="1"/>
      <w:numFmt w:val="upperLetter"/>
      <w:lvlText w:val="%1."/>
      <w:lvlJc w:val="left"/>
      <w:pPr>
        <w:ind w:left="360" w:hanging="360"/>
      </w:pPr>
      <w:rPr>
        <w:rFonts w:hint="default"/>
        <w:b w:val="0"/>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 w15:restartNumberingAfterBreak="0">
    <w:nsid w:val="752300A6"/>
    <w:multiLevelType w:val="hybridMultilevel"/>
    <w:tmpl w:val="F906031C"/>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79C54A6B"/>
    <w:multiLevelType w:val="hybridMultilevel"/>
    <w:tmpl w:val="402E96D4"/>
    <w:lvl w:ilvl="0" w:tplc="0C090001">
      <w:start w:val="1"/>
      <w:numFmt w:val="bullet"/>
      <w:lvlText w:val=""/>
      <w:lvlJc w:val="left"/>
      <w:pPr>
        <w:ind w:left="1080" w:hanging="360"/>
      </w:pPr>
      <w:rPr>
        <w:rFonts w:ascii="Symbol" w:hAnsi="Symbol" w:hint="default"/>
      </w:rPr>
    </w:lvl>
    <w:lvl w:ilvl="1" w:tplc="0C090003">
      <w:start w:val="1"/>
      <w:numFmt w:val="bullet"/>
      <w:lvlText w:val="o"/>
      <w:lvlJc w:val="left"/>
      <w:pPr>
        <w:ind w:left="1800" w:hanging="360"/>
      </w:pPr>
      <w:rPr>
        <w:rFonts w:ascii="Courier New" w:hAnsi="Courier New" w:cs="Courier New" w:hint="default"/>
      </w:rPr>
    </w:lvl>
    <w:lvl w:ilvl="2" w:tplc="0C090005">
      <w:start w:val="1"/>
      <w:numFmt w:val="bullet"/>
      <w:lvlText w:val=""/>
      <w:lvlJc w:val="left"/>
      <w:pPr>
        <w:ind w:left="2520" w:hanging="360"/>
      </w:pPr>
      <w:rPr>
        <w:rFonts w:ascii="Wingdings" w:hAnsi="Wingdings" w:hint="default"/>
      </w:rPr>
    </w:lvl>
    <w:lvl w:ilvl="3" w:tplc="0C090001">
      <w:start w:val="1"/>
      <w:numFmt w:val="bullet"/>
      <w:lvlText w:val=""/>
      <w:lvlJc w:val="left"/>
      <w:pPr>
        <w:ind w:left="3240" w:hanging="360"/>
      </w:pPr>
      <w:rPr>
        <w:rFonts w:ascii="Symbol" w:hAnsi="Symbol" w:hint="default"/>
      </w:rPr>
    </w:lvl>
    <w:lvl w:ilvl="4" w:tplc="0C090003">
      <w:start w:val="1"/>
      <w:numFmt w:val="bullet"/>
      <w:lvlText w:val="o"/>
      <w:lvlJc w:val="left"/>
      <w:pPr>
        <w:ind w:left="3960" w:hanging="360"/>
      </w:pPr>
      <w:rPr>
        <w:rFonts w:ascii="Courier New" w:hAnsi="Courier New" w:cs="Courier New" w:hint="default"/>
      </w:rPr>
    </w:lvl>
    <w:lvl w:ilvl="5" w:tplc="0C090005">
      <w:start w:val="1"/>
      <w:numFmt w:val="bullet"/>
      <w:lvlText w:val=""/>
      <w:lvlJc w:val="left"/>
      <w:pPr>
        <w:ind w:left="4680" w:hanging="360"/>
      </w:pPr>
      <w:rPr>
        <w:rFonts w:ascii="Wingdings" w:hAnsi="Wingdings" w:hint="default"/>
      </w:rPr>
    </w:lvl>
    <w:lvl w:ilvl="6" w:tplc="0C090001">
      <w:start w:val="1"/>
      <w:numFmt w:val="bullet"/>
      <w:lvlText w:val=""/>
      <w:lvlJc w:val="left"/>
      <w:pPr>
        <w:ind w:left="5400" w:hanging="360"/>
      </w:pPr>
      <w:rPr>
        <w:rFonts w:ascii="Symbol" w:hAnsi="Symbol" w:hint="default"/>
      </w:rPr>
    </w:lvl>
    <w:lvl w:ilvl="7" w:tplc="0C090003">
      <w:start w:val="1"/>
      <w:numFmt w:val="bullet"/>
      <w:lvlText w:val="o"/>
      <w:lvlJc w:val="left"/>
      <w:pPr>
        <w:ind w:left="6120" w:hanging="360"/>
      </w:pPr>
      <w:rPr>
        <w:rFonts w:ascii="Courier New" w:hAnsi="Courier New" w:cs="Courier New" w:hint="default"/>
      </w:rPr>
    </w:lvl>
    <w:lvl w:ilvl="8" w:tplc="0C090005">
      <w:start w:val="1"/>
      <w:numFmt w:val="bullet"/>
      <w:lvlText w:val=""/>
      <w:lvlJc w:val="left"/>
      <w:pPr>
        <w:ind w:left="6840" w:hanging="360"/>
      </w:pPr>
      <w:rPr>
        <w:rFonts w:ascii="Wingdings" w:hAnsi="Wingdings" w:hint="default"/>
      </w:rPr>
    </w:lvl>
  </w:abstractNum>
  <w:abstractNum w:abstractNumId="13" w15:restartNumberingAfterBreak="0">
    <w:nsid w:val="7A4205BD"/>
    <w:multiLevelType w:val="hybridMultilevel"/>
    <w:tmpl w:val="A030F10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4" w15:restartNumberingAfterBreak="0">
    <w:nsid w:val="7C063F1E"/>
    <w:multiLevelType w:val="hybridMultilevel"/>
    <w:tmpl w:val="10CE2994"/>
    <w:lvl w:ilvl="0" w:tplc="90B020B4">
      <w:start w:val="1"/>
      <w:numFmt w:val="bullet"/>
      <w:lvlText w:val="-"/>
      <w:lvlJc w:val="left"/>
      <w:pPr>
        <w:ind w:left="720" w:hanging="360"/>
      </w:pPr>
      <w:rPr>
        <w:rFonts w:ascii="Calibri" w:eastAsia="Calibri"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5" w15:restartNumberingAfterBreak="0">
    <w:nsid w:val="7E4A312F"/>
    <w:multiLevelType w:val="hybridMultilevel"/>
    <w:tmpl w:val="4726CF62"/>
    <w:lvl w:ilvl="0" w:tplc="0C09000D">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6"/>
  </w:num>
  <w:num w:numId="2">
    <w:abstractNumId w:val="9"/>
  </w:num>
  <w:num w:numId="3">
    <w:abstractNumId w:val="7"/>
  </w:num>
  <w:num w:numId="4">
    <w:abstractNumId w:val="5"/>
  </w:num>
  <w:num w:numId="5">
    <w:abstractNumId w:val="8"/>
  </w:num>
  <w:num w:numId="6">
    <w:abstractNumId w:val="13"/>
  </w:num>
  <w:num w:numId="7">
    <w:abstractNumId w:val="14"/>
  </w:num>
  <w:num w:numId="8">
    <w:abstractNumId w:val="4"/>
  </w:num>
  <w:num w:numId="9">
    <w:abstractNumId w:val="12"/>
  </w:num>
  <w:num w:numId="10">
    <w:abstractNumId w:val="0"/>
  </w:num>
  <w:num w:numId="11">
    <w:abstractNumId w:val="11"/>
  </w:num>
  <w:num w:numId="12">
    <w:abstractNumId w:val="2"/>
  </w:num>
  <w:num w:numId="1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0"/>
  </w:num>
  <w:num w:numId="15">
    <w:abstractNumId w:val="15"/>
  </w:num>
  <w:num w:numId="1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34E6"/>
    <w:rsid w:val="00002E4A"/>
    <w:rsid w:val="000047AA"/>
    <w:rsid w:val="00020523"/>
    <w:rsid w:val="00022B71"/>
    <w:rsid w:val="00025663"/>
    <w:rsid w:val="0003201B"/>
    <w:rsid w:val="00032494"/>
    <w:rsid w:val="00040159"/>
    <w:rsid w:val="000451E7"/>
    <w:rsid w:val="00050023"/>
    <w:rsid w:val="0005139C"/>
    <w:rsid w:val="0005311A"/>
    <w:rsid w:val="00063B72"/>
    <w:rsid w:val="00063F91"/>
    <w:rsid w:val="00066209"/>
    <w:rsid w:val="00067A83"/>
    <w:rsid w:val="000726AF"/>
    <w:rsid w:val="00073EEE"/>
    <w:rsid w:val="00077BC4"/>
    <w:rsid w:val="000857BD"/>
    <w:rsid w:val="000917EA"/>
    <w:rsid w:val="00094A2D"/>
    <w:rsid w:val="00095D9B"/>
    <w:rsid w:val="00097873"/>
    <w:rsid w:val="000A3339"/>
    <w:rsid w:val="000B25A7"/>
    <w:rsid w:val="000B30F9"/>
    <w:rsid w:val="000B4FDD"/>
    <w:rsid w:val="000B5B20"/>
    <w:rsid w:val="000B7BC8"/>
    <w:rsid w:val="000D377A"/>
    <w:rsid w:val="000D4A68"/>
    <w:rsid w:val="000D7C15"/>
    <w:rsid w:val="000E1290"/>
    <w:rsid w:val="000E163D"/>
    <w:rsid w:val="000F6A9F"/>
    <w:rsid w:val="000F704C"/>
    <w:rsid w:val="000F75AA"/>
    <w:rsid w:val="00111321"/>
    <w:rsid w:val="00111B11"/>
    <w:rsid w:val="00115698"/>
    <w:rsid w:val="00115CED"/>
    <w:rsid w:val="00122402"/>
    <w:rsid w:val="00122A30"/>
    <w:rsid w:val="00130971"/>
    <w:rsid w:val="00130DB5"/>
    <w:rsid w:val="00135459"/>
    <w:rsid w:val="001418A7"/>
    <w:rsid w:val="00142415"/>
    <w:rsid w:val="001426D1"/>
    <w:rsid w:val="00143E33"/>
    <w:rsid w:val="00147DC2"/>
    <w:rsid w:val="0015697C"/>
    <w:rsid w:val="0016107E"/>
    <w:rsid w:val="00161AFE"/>
    <w:rsid w:val="00161E28"/>
    <w:rsid w:val="00167D4E"/>
    <w:rsid w:val="001722C0"/>
    <w:rsid w:val="0018277D"/>
    <w:rsid w:val="00184CAC"/>
    <w:rsid w:val="00193EDE"/>
    <w:rsid w:val="00195D6F"/>
    <w:rsid w:val="0019619D"/>
    <w:rsid w:val="00197EEE"/>
    <w:rsid w:val="001A004C"/>
    <w:rsid w:val="001A29EB"/>
    <w:rsid w:val="001A3C7E"/>
    <w:rsid w:val="001A4EBF"/>
    <w:rsid w:val="001C21F7"/>
    <w:rsid w:val="001E0B76"/>
    <w:rsid w:val="001F38D2"/>
    <w:rsid w:val="00201267"/>
    <w:rsid w:val="00210CB4"/>
    <w:rsid w:val="00211D90"/>
    <w:rsid w:val="002130F3"/>
    <w:rsid w:val="00224B94"/>
    <w:rsid w:val="002361A6"/>
    <w:rsid w:val="002546A9"/>
    <w:rsid w:val="00264DCF"/>
    <w:rsid w:val="0026629E"/>
    <w:rsid w:val="00272566"/>
    <w:rsid w:val="00282C31"/>
    <w:rsid w:val="00283BC9"/>
    <w:rsid w:val="00286FB9"/>
    <w:rsid w:val="00287FA8"/>
    <w:rsid w:val="002D0038"/>
    <w:rsid w:val="002E006A"/>
    <w:rsid w:val="002E0207"/>
    <w:rsid w:val="002E0843"/>
    <w:rsid w:val="002E4EC1"/>
    <w:rsid w:val="002E71F9"/>
    <w:rsid w:val="002F5CD8"/>
    <w:rsid w:val="002F73C5"/>
    <w:rsid w:val="003053CE"/>
    <w:rsid w:val="0030689E"/>
    <w:rsid w:val="0031295D"/>
    <w:rsid w:val="00317400"/>
    <w:rsid w:val="00317A22"/>
    <w:rsid w:val="00326F16"/>
    <w:rsid w:val="003302AF"/>
    <w:rsid w:val="00330BF9"/>
    <w:rsid w:val="00331792"/>
    <w:rsid w:val="003328DC"/>
    <w:rsid w:val="00340861"/>
    <w:rsid w:val="0034498E"/>
    <w:rsid w:val="003461EC"/>
    <w:rsid w:val="00353339"/>
    <w:rsid w:val="00361190"/>
    <w:rsid w:val="003619E5"/>
    <w:rsid w:val="0036627A"/>
    <w:rsid w:val="00367C23"/>
    <w:rsid w:val="00370039"/>
    <w:rsid w:val="00371B83"/>
    <w:rsid w:val="00375533"/>
    <w:rsid w:val="003760A2"/>
    <w:rsid w:val="00382666"/>
    <w:rsid w:val="00385CD8"/>
    <w:rsid w:val="003871D1"/>
    <w:rsid w:val="00390A78"/>
    <w:rsid w:val="00391908"/>
    <w:rsid w:val="003A0900"/>
    <w:rsid w:val="003A0E0A"/>
    <w:rsid w:val="003A3639"/>
    <w:rsid w:val="003B0856"/>
    <w:rsid w:val="003B25E4"/>
    <w:rsid w:val="003C1CAE"/>
    <w:rsid w:val="003C2319"/>
    <w:rsid w:val="003C35D2"/>
    <w:rsid w:val="003D3209"/>
    <w:rsid w:val="003D58BA"/>
    <w:rsid w:val="003E24BD"/>
    <w:rsid w:val="003E2517"/>
    <w:rsid w:val="003E4F9E"/>
    <w:rsid w:val="003E7C8A"/>
    <w:rsid w:val="003F0D25"/>
    <w:rsid w:val="003F42CD"/>
    <w:rsid w:val="004053D0"/>
    <w:rsid w:val="004156B1"/>
    <w:rsid w:val="00424813"/>
    <w:rsid w:val="00430EE0"/>
    <w:rsid w:val="00431149"/>
    <w:rsid w:val="00436F4D"/>
    <w:rsid w:val="00442AA1"/>
    <w:rsid w:val="00442D13"/>
    <w:rsid w:val="0044451E"/>
    <w:rsid w:val="004517D5"/>
    <w:rsid w:val="004543E3"/>
    <w:rsid w:val="0046024F"/>
    <w:rsid w:val="00463D85"/>
    <w:rsid w:val="00465380"/>
    <w:rsid w:val="00467410"/>
    <w:rsid w:val="00474EBE"/>
    <w:rsid w:val="004755D0"/>
    <w:rsid w:val="00476E4E"/>
    <w:rsid w:val="0047773B"/>
    <w:rsid w:val="00483A51"/>
    <w:rsid w:val="004A3948"/>
    <w:rsid w:val="004A4D28"/>
    <w:rsid w:val="004B2770"/>
    <w:rsid w:val="004B6254"/>
    <w:rsid w:val="004C1F2A"/>
    <w:rsid w:val="004D0238"/>
    <w:rsid w:val="004E422F"/>
    <w:rsid w:val="004F785F"/>
    <w:rsid w:val="00502805"/>
    <w:rsid w:val="005037F8"/>
    <w:rsid w:val="005038D9"/>
    <w:rsid w:val="00504A78"/>
    <w:rsid w:val="005061A7"/>
    <w:rsid w:val="00512D5C"/>
    <w:rsid w:val="00513B94"/>
    <w:rsid w:val="00521785"/>
    <w:rsid w:val="00530616"/>
    <w:rsid w:val="00534E37"/>
    <w:rsid w:val="00536F07"/>
    <w:rsid w:val="00550375"/>
    <w:rsid w:val="005540DD"/>
    <w:rsid w:val="00564E14"/>
    <w:rsid w:val="0057433A"/>
    <w:rsid w:val="0057682F"/>
    <w:rsid w:val="00577AD9"/>
    <w:rsid w:val="00580F3C"/>
    <w:rsid w:val="00587A62"/>
    <w:rsid w:val="00591FB9"/>
    <w:rsid w:val="005A4AA1"/>
    <w:rsid w:val="005A5FC2"/>
    <w:rsid w:val="005B6C08"/>
    <w:rsid w:val="005C5449"/>
    <w:rsid w:val="005C5DA0"/>
    <w:rsid w:val="005D2D86"/>
    <w:rsid w:val="005D550F"/>
    <w:rsid w:val="005D6DB0"/>
    <w:rsid w:val="005E18C8"/>
    <w:rsid w:val="005F56CC"/>
    <w:rsid w:val="00604360"/>
    <w:rsid w:val="00616C3C"/>
    <w:rsid w:val="00617062"/>
    <w:rsid w:val="006171D4"/>
    <w:rsid w:val="0062047D"/>
    <w:rsid w:val="00621925"/>
    <w:rsid w:val="00622617"/>
    <w:rsid w:val="00623AFB"/>
    <w:rsid w:val="00635017"/>
    <w:rsid w:val="00636360"/>
    <w:rsid w:val="00636A37"/>
    <w:rsid w:val="00637A1D"/>
    <w:rsid w:val="00640F80"/>
    <w:rsid w:val="00642005"/>
    <w:rsid w:val="00647436"/>
    <w:rsid w:val="00653B9F"/>
    <w:rsid w:val="0066241D"/>
    <w:rsid w:val="00664B4E"/>
    <w:rsid w:val="006802E5"/>
    <w:rsid w:val="00695641"/>
    <w:rsid w:val="006A3527"/>
    <w:rsid w:val="006A45AC"/>
    <w:rsid w:val="006B2C22"/>
    <w:rsid w:val="006D6F85"/>
    <w:rsid w:val="006D78FA"/>
    <w:rsid w:val="006E06B1"/>
    <w:rsid w:val="006F0274"/>
    <w:rsid w:val="00704F29"/>
    <w:rsid w:val="0071071D"/>
    <w:rsid w:val="0071225F"/>
    <w:rsid w:val="00712610"/>
    <w:rsid w:val="00722B4F"/>
    <w:rsid w:val="00723910"/>
    <w:rsid w:val="0073112F"/>
    <w:rsid w:val="00732CC8"/>
    <w:rsid w:val="0073585B"/>
    <w:rsid w:val="00736032"/>
    <w:rsid w:val="00743470"/>
    <w:rsid w:val="00744BFE"/>
    <w:rsid w:val="00751196"/>
    <w:rsid w:val="00754653"/>
    <w:rsid w:val="0075585A"/>
    <w:rsid w:val="0076242F"/>
    <w:rsid w:val="007631D6"/>
    <w:rsid w:val="00765BDC"/>
    <w:rsid w:val="00772447"/>
    <w:rsid w:val="007726AA"/>
    <w:rsid w:val="00782AFD"/>
    <w:rsid w:val="00790AFA"/>
    <w:rsid w:val="00793114"/>
    <w:rsid w:val="00794041"/>
    <w:rsid w:val="00796F7B"/>
    <w:rsid w:val="007A3FA6"/>
    <w:rsid w:val="007A55C6"/>
    <w:rsid w:val="007A5B2D"/>
    <w:rsid w:val="007B0DD0"/>
    <w:rsid w:val="007C4FF0"/>
    <w:rsid w:val="007D13E8"/>
    <w:rsid w:val="007D19D4"/>
    <w:rsid w:val="007D7BC4"/>
    <w:rsid w:val="007F2645"/>
    <w:rsid w:val="007F2E19"/>
    <w:rsid w:val="007F37AE"/>
    <w:rsid w:val="007F3F05"/>
    <w:rsid w:val="007F75C8"/>
    <w:rsid w:val="008155FA"/>
    <w:rsid w:val="0082413C"/>
    <w:rsid w:val="00825C4E"/>
    <w:rsid w:val="00831CC7"/>
    <w:rsid w:val="00833724"/>
    <w:rsid w:val="00834728"/>
    <w:rsid w:val="00835336"/>
    <w:rsid w:val="00835D69"/>
    <w:rsid w:val="0083601E"/>
    <w:rsid w:val="008406CC"/>
    <w:rsid w:val="008412FA"/>
    <w:rsid w:val="00841A83"/>
    <w:rsid w:val="00851ECA"/>
    <w:rsid w:val="00852A52"/>
    <w:rsid w:val="0086067F"/>
    <w:rsid w:val="00871EFE"/>
    <w:rsid w:val="00874688"/>
    <w:rsid w:val="008832E4"/>
    <w:rsid w:val="00883C54"/>
    <w:rsid w:val="00886FA3"/>
    <w:rsid w:val="00893524"/>
    <w:rsid w:val="00896DE1"/>
    <w:rsid w:val="008A10AF"/>
    <w:rsid w:val="008A4B6A"/>
    <w:rsid w:val="008A67C9"/>
    <w:rsid w:val="008B12D7"/>
    <w:rsid w:val="008B2BD2"/>
    <w:rsid w:val="008B434B"/>
    <w:rsid w:val="008C1DAE"/>
    <w:rsid w:val="008D00F3"/>
    <w:rsid w:val="008D0B71"/>
    <w:rsid w:val="008D1D83"/>
    <w:rsid w:val="008D468A"/>
    <w:rsid w:val="008E124D"/>
    <w:rsid w:val="008F4B04"/>
    <w:rsid w:val="008F5305"/>
    <w:rsid w:val="008F638E"/>
    <w:rsid w:val="00903C2A"/>
    <w:rsid w:val="0090620C"/>
    <w:rsid w:val="0090716E"/>
    <w:rsid w:val="009155F8"/>
    <w:rsid w:val="0091615D"/>
    <w:rsid w:val="009276C3"/>
    <w:rsid w:val="00932622"/>
    <w:rsid w:val="00933420"/>
    <w:rsid w:val="0093783A"/>
    <w:rsid w:val="009448B3"/>
    <w:rsid w:val="0094652E"/>
    <w:rsid w:val="009526A5"/>
    <w:rsid w:val="00953633"/>
    <w:rsid w:val="00955CAC"/>
    <w:rsid w:val="00956102"/>
    <w:rsid w:val="00956BB3"/>
    <w:rsid w:val="00956E03"/>
    <w:rsid w:val="00961917"/>
    <w:rsid w:val="00961C4D"/>
    <w:rsid w:val="00965264"/>
    <w:rsid w:val="00972A14"/>
    <w:rsid w:val="00974647"/>
    <w:rsid w:val="0098762C"/>
    <w:rsid w:val="009901DC"/>
    <w:rsid w:val="009969E1"/>
    <w:rsid w:val="00996CEA"/>
    <w:rsid w:val="009A6AA2"/>
    <w:rsid w:val="009B6C43"/>
    <w:rsid w:val="009C0342"/>
    <w:rsid w:val="009C0D53"/>
    <w:rsid w:val="009C3162"/>
    <w:rsid w:val="009C5FB5"/>
    <w:rsid w:val="009D0CB0"/>
    <w:rsid w:val="009D1733"/>
    <w:rsid w:val="009E2332"/>
    <w:rsid w:val="00A00DF2"/>
    <w:rsid w:val="00A125B7"/>
    <w:rsid w:val="00A144B5"/>
    <w:rsid w:val="00A15E20"/>
    <w:rsid w:val="00A2342A"/>
    <w:rsid w:val="00A23E00"/>
    <w:rsid w:val="00A24696"/>
    <w:rsid w:val="00A26491"/>
    <w:rsid w:val="00A26D12"/>
    <w:rsid w:val="00A45603"/>
    <w:rsid w:val="00A521A3"/>
    <w:rsid w:val="00A53854"/>
    <w:rsid w:val="00A60331"/>
    <w:rsid w:val="00A6068D"/>
    <w:rsid w:val="00A6566E"/>
    <w:rsid w:val="00A65EB1"/>
    <w:rsid w:val="00A67E79"/>
    <w:rsid w:val="00A700A7"/>
    <w:rsid w:val="00A7166E"/>
    <w:rsid w:val="00A779B9"/>
    <w:rsid w:val="00A86BF7"/>
    <w:rsid w:val="00A870C2"/>
    <w:rsid w:val="00A92FC4"/>
    <w:rsid w:val="00A9531A"/>
    <w:rsid w:val="00A96F01"/>
    <w:rsid w:val="00AA0874"/>
    <w:rsid w:val="00AA6477"/>
    <w:rsid w:val="00AB0D78"/>
    <w:rsid w:val="00AB0E68"/>
    <w:rsid w:val="00AB4269"/>
    <w:rsid w:val="00AB7BFC"/>
    <w:rsid w:val="00AC1EE2"/>
    <w:rsid w:val="00AC2198"/>
    <w:rsid w:val="00AD00FA"/>
    <w:rsid w:val="00AD024B"/>
    <w:rsid w:val="00AD0B8C"/>
    <w:rsid w:val="00AD4134"/>
    <w:rsid w:val="00AD74A3"/>
    <w:rsid w:val="00AE1DFA"/>
    <w:rsid w:val="00AE21A8"/>
    <w:rsid w:val="00AE2AC6"/>
    <w:rsid w:val="00AE2D7E"/>
    <w:rsid w:val="00AE34E6"/>
    <w:rsid w:val="00AE6317"/>
    <w:rsid w:val="00AF3C40"/>
    <w:rsid w:val="00AF5C42"/>
    <w:rsid w:val="00B02645"/>
    <w:rsid w:val="00B05FEE"/>
    <w:rsid w:val="00B07C37"/>
    <w:rsid w:val="00B1052F"/>
    <w:rsid w:val="00B2423A"/>
    <w:rsid w:val="00B24A19"/>
    <w:rsid w:val="00B43CA3"/>
    <w:rsid w:val="00B44E8C"/>
    <w:rsid w:val="00B52487"/>
    <w:rsid w:val="00B53A35"/>
    <w:rsid w:val="00B54252"/>
    <w:rsid w:val="00B6370B"/>
    <w:rsid w:val="00B63ACD"/>
    <w:rsid w:val="00B71688"/>
    <w:rsid w:val="00B73790"/>
    <w:rsid w:val="00B74497"/>
    <w:rsid w:val="00B90851"/>
    <w:rsid w:val="00B90C43"/>
    <w:rsid w:val="00B972DB"/>
    <w:rsid w:val="00BA4AC8"/>
    <w:rsid w:val="00BB07C9"/>
    <w:rsid w:val="00BB5D69"/>
    <w:rsid w:val="00BC24B2"/>
    <w:rsid w:val="00BC52AF"/>
    <w:rsid w:val="00BC6BB7"/>
    <w:rsid w:val="00BD1C74"/>
    <w:rsid w:val="00BD1E33"/>
    <w:rsid w:val="00BD36B7"/>
    <w:rsid w:val="00BD3C12"/>
    <w:rsid w:val="00BD4F8D"/>
    <w:rsid w:val="00BD58AD"/>
    <w:rsid w:val="00BD7B59"/>
    <w:rsid w:val="00BE4391"/>
    <w:rsid w:val="00C06603"/>
    <w:rsid w:val="00C12C19"/>
    <w:rsid w:val="00C16D49"/>
    <w:rsid w:val="00C2713F"/>
    <w:rsid w:val="00C340A5"/>
    <w:rsid w:val="00C37918"/>
    <w:rsid w:val="00C44F66"/>
    <w:rsid w:val="00C51D5E"/>
    <w:rsid w:val="00C532C2"/>
    <w:rsid w:val="00C5459A"/>
    <w:rsid w:val="00C63523"/>
    <w:rsid w:val="00C71BD4"/>
    <w:rsid w:val="00C72435"/>
    <w:rsid w:val="00C74449"/>
    <w:rsid w:val="00C777C1"/>
    <w:rsid w:val="00C77CAC"/>
    <w:rsid w:val="00C82827"/>
    <w:rsid w:val="00C861C9"/>
    <w:rsid w:val="00C97D4D"/>
    <w:rsid w:val="00CA17B3"/>
    <w:rsid w:val="00CA5101"/>
    <w:rsid w:val="00CA52F8"/>
    <w:rsid w:val="00CB31B1"/>
    <w:rsid w:val="00CB4906"/>
    <w:rsid w:val="00CC011C"/>
    <w:rsid w:val="00CC334C"/>
    <w:rsid w:val="00CD5D7F"/>
    <w:rsid w:val="00CE120B"/>
    <w:rsid w:val="00CE15F7"/>
    <w:rsid w:val="00CE3D17"/>
    <w:rsid w:val="00CF0A36"/>
    <w:rsid w:val="00CF1913"/>
    <w:rsid w:val="00CF3812"/>
    <w:rsid w:val="00CF71E9"/>
    <w:rsid w:val="00D03AEF"/>
    <w:rsid w:val="00D04152"/>
    <w:rsid w:val="00D055AD"/>
    <w:rsid w:val="00D12D12"/>
    <w:rsid w:val="00D17BD3"/>
    <w:rsid w:val="00D32B8C"/>
    <w:rsid w:val="00D36651"/>
    <w:rsid w:val="00D45EDF"/>
    <w:rsid w:val="00D5000A"/>
    <w:rsid w:val="00D504A8"/>
    <w:rsid w:val="00D505FA"/>
    <w:rsid w:val="00D62995"/>
    <w:rsid w:val="00D63021"/>
    <w:rsid w:val="00D70D4C"/>
    <w:rsid w:val="00D71FFB"/>
    <w:rsid w:val="00D735E7"/>
    <w:rsid w:val="00D753F1"/>
    <w:rsid w:val="00D823DB"/>
    <w:rsid w:val="00D92ACC"/>
    <w:rsid w:val="00D94232"/>
    <w:rsid w:val="00DB0D8A"/>
    <w:rsid w:val="00DC1195"/>
    <w:rsid w:val="00DC3B61"/>
    <w:rsid w:val="00DC42EF"/>
    <w:rsid w:val="00DC5586"/>
    <w:rsid w:val="00DC6D1D"/>
    <w:rsid w:val="00DD5AB6"/>
    <w:rsid w:val="00DD6DBF"/>
    <w:rsid w:val="00DE1592"/>
    <w:rsid w:val="00DE2DED"/>
    <w:rsid w:val="00DE4866"/>
    <w:rsid w:val="00DE56FC"/>
    <w:rsid w:val="00E002A8"/>
    <w:rsid w:val="00E01416"/>
    <w:rsid w:val="00E0325A"/>
    <w:rsid w:val="00E03716"/>
    <w:rsid w:val="00E056B2"/>
    <w:rsid w:val="00E073B8"/>
    <w:rsid w:val="00E111D2"/>
    <w:rsid w:val="00E11EB8"/>
    <w:rsid w:val="00E12977"/>
    <w:rsid w:val="00E14336"/>
    <w:rsid w:val="00E21B99"/>
    <w:rsid w:val="00E243B1"/>
    <w:rsid w:val="00E32AD7"/>
    <w:rsid w:val="00E4419B"/>
    <w:rsid w:val="00E47B1B"/>
    <w:rsid w:val="00E56D5A"/>
    <w:rsid w:val="00E70B87"/>
    <w:rsid w:val="00E72B53"/>
    <w:rsid w:val="00E74D1F"/>
    <w:rsid w:val="00E75B13"/>
    <w:rsid w:val="00E853CF"/>
    <w:rsid w:val="00E87EA4"/>
    <w:rsid w:val="00E90E24"/>
    <w:rsid w:val="00E93E5D"/>
    <w:rsid w:val="00E9616F"/>
    <w:rsid w:val="00E97055"/>
    <w:rsid w:val="00EA0C9D"/>
    <w:rsid w:val="00EA65A5"/>
    <w:rsid w:val="00EA76AA"/>
    <w:rsid w:val="00EB2A7A"/>
    <w:rsid w:val="00EB6204"/>
    <w:rsid w:val="00EC1A56"/>
    <w:rsid w:val="00EC4404"/>
    <w:rsid w:val="00EC4BF0"/>
    <w:rsid w:val="00EC5075"/>
    <w:rsid w:val="00EC540F"/>
    <w:rsid w:val="00ED517E"/>
    <w:rsid w:val="00ED6121"/>
    <w:rsid w:val="00ED7B8F"/>
    <w:rsid w:val="00EE7B99"/>
    <w:rsid w:val="00EF15B1"/>
    <w:rsid w:val="00EF3FA9"/>
    <w:rsid w:val="00EF4FBB"/>
    <w:rsid w:val="00EF547B"/>
    <w:rsid w:val="00EF5DEA"/>
    <w:rsid w:val="00F04077"/>
    <w:rsid w:val="00F06CE6"/>
    <w:rsid w:val="00F12300"/>
    <w:rsid w:val="00F15819"/>
    <w:rsid w:val="00F23EFC"/>
    <w:rsid w:val="00F24EED"/>
    <w:rsid w:val="00F335B8"/>
    <w:rsid w:val="00F513C8"/>
    <w:rsid w:val="00F5474A"/>
    <w:rsid w:val="00F560B2"/>
    <w:rsid w:val="00F6000B"/>
    <w:rsid w:val="00F64CED"/>
    <w:rsid w:val="00F664C7"/>
    <w:rsid w:val="00F7030E"/>
    <w:rsid w:val="00F732AC"/>
    <w:rsid w:val="00F750A2"/>
    <w:rsid w:val="00F76853"/>
    <w:rsid w:val="00F85C40"/>
    <w:rsid w:val="00F90C95"/>
    <w:rsid w:val="00F92F60"/>
    <w:rsid w:val="00F9477A"/>
    <w:rsid w:val="00F97641"/>
    <w:rsid w:val="00FA0226"/>
    <w:rsid w:val="00FA6CD2"/>
    <w:rsid w:val="00FA7053"/>
    <w:rsid w:val="00FB0F15"/>
    <w:rsid w:val="00FB422E"/>
    <w:rsid w:val="00FB428A"/>
    <w:rsid w:val="00FB61CA"/>
    <w:rsid w:val="00FC0FF3"/>
    <w:rsid w:val="00FE141C"/>
    <w:rsid w:val="00FE23F4"/>
    <w:rsid w:val="00FE31FB"/>
    <w:rsid w:val="00FE576A"/>
    <w:rsid w:val="00FF1F12"/>
    <w:rsid w:val="00FF2E7D"/>
    <w:rsid w:val="00FF76C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118CE66"/>
  <w15:chartTrackingRefBased/>
  <w15:docId w15:val="{40DFC7A7-C8EF-4295-BA09-D24A46F925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E34E6"/>
    <w:pPr>
      <w:spacing w:after="0" w:line="240" w:lineRule="auto"/>
    </w:pPr>
    <w:rPr>
      <w:rFonts w:ascii="Times New Roman" w:eastAsia="Times New Roman" w:hAnsi="Times New Roman" w:cs="Times New Roman"/>
      <w:sz w:val="24"/>
      <w:szCs w:val="24"/>
      <w:lang w:eastAsia="en-AU"/>
    </w:rPr>
  </w:style>
  <w:style w:type="paragraph" w:styleId="Heading1">
    <w:name w:val="heading 1"/>
    <w:basedOn w:val="Normal"/>
    <w:next w:val="Normal"/>
    <w:link w:val="Heading1Char"/>
    <w:qFormat/>
    <w:rsid w:val="001A4EBF"/>
    <w:pPr>
      <w:ind w:left="142" w:right="425"/>
      <w:jc w:val="center"/>
      <w:outlineLvl w:val="0"/>
    </w:pPr>
    <w:rPr>
      <w:rFonts w:asciiTheme="minorHAnsi" w:eastAsiaTheme="majorEastAsia" w:hAnsiTheme="minorHAnsi" w:cstheme="minorHAnsi"/>
      <w:b/>
      <w:bCs/>
      <w:color w:val="2E74B5" w:themeColor="accent1" w:themeShade="BF"/>
      <w:sz w:val="28"/>
      <w:szCs w:val="28"/>
    </w:rPr>
  </w:style>
  <w:style w:type="paragraph" w:styleId="Heading2">
    <w:name w:val="heading 2"/>
    <w:basedOn w:val="Normal"/>
    <w:next w:val="Normal"/>
    <w:link w:val="Heading2Char"/>
    <w:uiPriority w:val="9"/>
    <w:semiHidden/>
    <w:unhideWhenUsed/>
    <w:qFormat/>
    <w:rsid w:val="007A55C6"/>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semiHidden/>
    <w:unhideWhenUsed/>
    <w:qFormat/>
    <w:rsid w:val="00CF3812"/>
    <w:pPr>
      <w:keepNext/>
      <w:keepLines/>
      <w:spacing w:before="40"/>
      <w:outlineLvl w:val="2"/>
    </w:pPr>
    <w:rPr>
      <w:rFonts w:asciiTheme="majorHAnsi" w:eastAsiaTheme="majorEastAsia" w:hAnsiTheme="majorHAnsi" w:cstheme="majorBidi"/>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AE34E6"/>
    <w:rPr>
      <w:color w:val="0563C1" w:themeColor="hyperlink"/>
      <w:u w:val="single"/>
    </w:rPr>
  </w:style>
  <w:style w:type="character" w:customStyle="1" w:styleId="apple-converted-space">
    <w:name w:val="apple-converted-space"/>
    <w:basedOn w:val="DefaultParagraphFont"/>
    <w:rsid w:val="00AE34E6"/>
  </w:style>
  <w:style w:type="paragraph" w:styleId="Header">
    <w:name w:val="header"/>
    <w:basedOn w:val="Normal"/>
    <w:link w:val="HeaderChar"/>
    <w:rsid w:val="00AE34E6"/>
    <w:pPr>
      <w:tabs>
        <w:tab w:val="center" w:pos="4513"/>
        <w:tab w:val="right" w:pos="9026"/>
      </w:tabs>
    </w:pPr>
  </w:style>
  <w:style w:type="character" w:customStyle="1" w:styleId="HeaderChar">
    <w:name w:val="Header Char"/>
    <w:basedOn w:val="DefaultParagraphFont"/>
    <w:link w:val="Header"/>
    <w:rsid w:val="00AE34E6"/>
    <w:rPr>
      <w:rFonts w:ascii="Times New Roman" w:eastAsia="Times New Roman" w:hAnsi="Times New Roman" w:cs="Times New Roman"/>
      <w:sz w:val="24"/>
      <w:szCs w:val="24"/>
      <w:lang w:eastAsia="en-AU"/>
    </w:rPr>
  </w:style>
  <w:style w:type="paragraph" w:styleId="Footer">
    <w:name w:val="footer"/>
    <w:basedOn w:val="Normal"/>
    <w:link w:val="FooterChar"/>
    <w:rsid w:val="00AE34E6"/>
    <w:pPr>
      <w:tabs>
        <w:tab w:val="center" w:pos="4513"/>
        <w:tab w:val="right" w:pos="9026"/>
      </w:tabs>
    </w:pPr>
  </w:style>
  <w:style w:type="character" w:customStyle="1" w:styleId="FooterChar">
    <w:name w:val="Footer Char"/>
    <w:basedOn w:val="DefaultParagraphFont"/>
    <w:link w:val="Footer"/>
    <w:rsid w:val="00AE34E6"/>
    <w:rPr>
      <w:rFonts w:ascii="Times New Roman" w:eastAsia="Times New Roman" w:hAnsi="Times New Roman" w:cs="Times New Roman"/>
      <w:sz w:val="24"/>
      <w:szCs w:val="24"/>
      <w:lang w:eastAsia="en-AU"/>
    </w:rPr>
  </w:style>
  <w:style w:type="character" w:customStyle="1" w:styleId="Heading1Char">
    <w:name w:val="Heading 1 Char"/>
    <w:basedOn w:val="DefaultParagraphFont"/>
    <w:link w:val="Heading1"/>
    <w:rsid w:val="001A4EBF"/>
    <w:rPr>
      <w:rFonts w:eastAsiaTheme="majorEastAsia" w:cstheme="minorHAnsi"/>
      <w:b/>
      <w:bCs/>
      <w:color w:val="2E74B5" w:themeColor="accent1" w:themeShade="BF"/>
      <w:sz w:val="28"/>
      <w:szCs w:val="28"/>
      <w:lang w:eastAsia="en-AU"/>
    </w:rPr>
  </w:style>
  <w:style w:type="paragraph" w:styleId="BalloonText">
    <w:name w:val="Balloon Text"/>
    <w:basedOn w:val="Normal"/>
    <w:link w:val="BalloonTextChar"/>
    <w:uiPriority w:val="99"/>
    <w:semiHidden/>
    <w:unhideWhenUsed/>
    <w:rsid w:val="00D92AC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92ACC"/>
    <w:rPr>
      <w:rFonts w:ascii="Segoe UI" w:eastAsia="Times New Roman" w:hAnsi="Segoe UI" w:cs="Segoe UI"/>
      <w:sz w:val="18"/>
      <w:szCs w:val="18"/>
      <w:lang w:eastAsia="en-AU"/>
    </w:rPr>
  </w:style>
  <w:style w:type="paragraph" w:styleId="CommentText">
    <w:name w:val="annotation text"/>
    <w:basedOn w:val="Normal"/>
    <w:link w:val="CommentTextChar"/>
    <w:uiPriority w:val="99"/>
    <w:unhideWhenUsed/>
    <w:rsid w:val="005A5FC2"/>
    <w:pPr>
      <w:spacing w:after="200"/>
    </w:pPr>
    <w:rPr>
      <w:rFonts w:asciiTheme="minorHAnsi" w:eastAsiaTheme="minorHAnsi" w:hAnsiTheme="minorHAnsi" w:cstheme="minorBidi"/>
      <w:sz w:val="20"/>
      <w:szCs w:val="20"/>
      <w:lang w:eastAsia="en-US"/>
    </w:rPr>
  </w:style>
  <w:style w:type="character" w:customStyle="1" w:styleId="CommentTextChar">
    <w:name w:val="Comment Text Char"/>
    <w:basedOn w:val="DefaultParagraphFont"/>
    <w:link w:val="CommentText"/>
    <w:uiPriority w:val="99"/>
    <w:rsid w:val="005A5FC2"/>
    <w:rPr>
      <w:sz w:val="20"/>
      <w:szCs w:val="20"/>
    </w:rPr>
  </w:style>
  <w:style w:type="paragraph" w:customStyle="1" w:styleId="CM13">
    <w:name w:val="CM13"/>
    <w:basedOn w:val="Normal"/>
    <w:next w:val="Normal"/>
    <w:uiPriority w:val="99"/>
    <w:rsid w:val="00E002A8"/>
    <w:pPr>
      <w:autoSpaceDE w:val="0"/>
      <w:autoSpaceDN w:val="0"/>
      <w:adjustRightInd w:val="0"/>
    </w:pPr>
    <w:rPr>
      <w:rFonts w:ascii="Open Sans Light" w:eastAsiaTheme="minorHAnsi" w:hAnsi="Open Sans Light" w:cstheme="minorBidi"/>
      <w:lang w:eastAsia="en-US"/>
    </w:rPr>
  </w:style>
  <w:style w:type="paragraph" w:styleId="PlainText">
    <w:name w:val="Plain Text"/>
    <w:basedOn w:val="Normal"/>
    <w:link w:val="PlainTextChar"/>
    <w:uiPriority w:val="99"/>
    <w:unhideWhenUsed/>
    <w:rsid w:val="009276C3"/>
    <w:rPr>
      <w:rFonts w:ascii="Calibri" w:eastAsiaTheme="minorHAnsi" w:hAnsi="Calibri" w:cs="Calibri"/>
      <w:sz w:val="22"/>
      <w:szCs w:val="22"/>
      <w:lang w:eastAsia="en-US"/>
    </w:rPr>
  </w:style>
  <w:style w:type="character" w:customStyle="1" w:styleId="PlainTextChar">
    <w:name w:val="Plain Text Char"/>
    <w:basedOn w:val="DefaultParagraphFont"/>
    <w:link w:val="PlainText"/>
    <w:uiPriority w:val="99"/>
    <w:rsid w:val="009276C3"/>
    <w:rPr>
      <w:rFonts w:ascii="Calibri" w:hAnsi="Calibri" w:cs="Calibri"/>
    </w:rPr>
  </w:style>
  <w:style w:type="paragraph" w:customStyle="1" w:styleId="Default">
    <w:name w:val="Default"/>
    <w:basedOn w:val="Normal"/>
    <w:uiPriority w:val="99"/>
    <w:rsid w:val="009276C3"/>
    <w:pPr>
      <w:autoSpaceDE w:val="0"/>
      <w:autoSpaceDN w:val="0"/>
    </w:pPr>
    <w:rPr>
      <w:rFonts w:eastAsiaTheme="minorHAnsi"/>
      <w:color w:val="000000"/>
      <w:lang w:eastAsia="en-US"/>
    </w:rPr>
  </w:style>
  <w:style w:type="character" w:styleId="CommentReference">
    <w:name w:val="annotation reference"/>
    <w:basedOn w:val="DefaultParagraphFont"/>
    <w:uiPriority w:val="99"/>
    <w:semiHidden/>
    <w:unhideWhenUsed/>
    <w:rsid w:val="00FA6CD2"/>
    <w:rPr>
      <w:sz w:val="16"/>
      <w:szCs w:val="16"/>
    </w:rPr>
  </w:style>
  <w:style w:type="paragraph" w:styleId="CommentSubject">
    <w:name w:val="annotation subject"/>
    <w:basedOn w:val="CommentText"/>
    <w:next w:val="CommentText"/>
    <w:link w:val="CommentSubjectChar"/>
    <w:uiPriority w:val="99"/>
    <w:semiHidden/>
    <w:unhideWhenUsed/>
    <w:rsid w:val="00FA6CD2"/>
    <w:pPr>
      <w:spacing w:after="0"/>
    </w:pPr>
    <w:rPr>
      <w:rFonts w:ascii="Times New Roman" w:eastAsia="Times New Roman" w:hAnsi="Times New Roman" w:cs="Times New Roman"/>
      <w:b/>
      <w:bCs/>
      <w:lang w:eastAsia="en-AU"/>
    </w:rPr>
  </w:style>
  <w:style w:type="character" w:customStyle="1" w:styleId="CommentSubjectChar">
    <w:name w:val="Comment Subject Char"/>
    <w:basedOn w:val="CommentTextChar"/>
    <w:link w:val="CommentSubject"/>
    <w:uiPriority w:val="99"/>
    <w:semiHidden/>
    <w:rsid w:val="00FA6CD2"/>
    <w:rPr>
      <w:rFonts w:ascii="Times New Roman" w:eastAsia="Times New Roman" w:hAnsi="Times New Roman" w:cs="Times New Roman"/>
      <w:b/>
      <w:bCs/>
      <w:sz w:val="20"/>
      <w:szCs w:val="20"/>
      <w:lang w:eastAsia="en-AU"/>
    </w:rPr>
  </w:style>
  <w:style w:type="character" w:customStyle="1" w:styleId="Heading2Char">
    <w:name w:val="Heading 2 Char"/>
    <w:basedOn w:val="DefaultParagraphFont"/>
    <w:link w:val="Heading2"/>
    <w:uiPriority w:val="9"/>
    <w:semiHidden/>
    <w:rsid w:val="007A55C6"/>
    <w:rPr>
      <w:rFonts w:asciiTheme="majorHAnsi" w:eastAsiaTheme="majorEastAsia" w:hAnsiTheme="majorHAnsi" w:cstheme="majorBidi"/>
      <w:color w:val="2E74B5" w:themeColor="accent1" w:themeShade="BF"/>
      <w:sz w:val="26"/>
      <w:szCs w:val="26"/>
      <w:lang w:eastAsia="en-AU"/>
    </w:rPr>
  </w:style>
  <w:style w:type="paragraph" w:styleId="NormalWeb">
    <w:name w:val="Normal (Web)"/>
    <w:basedOn w:val="Normal"/>
    <w:uiPriority w:val="99"/>
    <w:unhideWhenUsed/>
    <w:rsid w:val="007A55C6"/>
    <w:pPr>
      <w:spacing w:before="100" w:beforeAutospacing="1" w:after="100" w:afterAutospacing="1"/>
    </w:pPr>
  </w:style>
  <w:style w:type="paragraph" w:styleId="ListParagraph">
    <w:name w:val="List Paragraph"/>
    <w:aliases w:val="Recommendation,L,List Paragraph1,List Paragraph11,CV text,Table text,F5 List Paragraph,Dot pt,List Paragraph111,Medium Grid 1 - Accent 21,List Paragraph2,NFP GP Bulleted List,FooterText,numbered,Paragraphe de liste1,列出段,List Bullet Cab"/>
    <w:basedOn w:val="Normal"/>
    <w:link w:val="ListParagraphChar"/>
    <w:uiPriority w:val="34"/>
    <w:qFormat/>
    <w:rsid w:val="00604360"/>
    <w:pPr>
      <w:spacing w:after="200" w:line="276" w:lineRule="auto"/>
      <w:ind w:left="720"/>
      <w:contextualSpacing/>
    </w:pPr>
    <w:rPr>
      <w:rFonts w:ascii="Calibri" w:eastAsiaTheme="minorHAnsi" w:hAnsi="Calibri" w:cs="Calibri"/>
      <w:sz w:val="22"/>
      <w:szCs w:val="22"/>
      <w:lang w:eastAsia="en-US"/>
    </w:rPr>
  </w:style>
  <w:style w:type="character" w:customStyle="1" w:styleId="Heading3Char">
    <w:name w:val="Heading 3 Char"/>
    <w:basedOn w:val="DefaultParagraphFont"/>
    <w:link w:val="Heading3"/>
    <w:uiPriority w:val="9"/>
    <w:semiHidden/>
    <w:rsid w:val="00CF3812"/>
    <w:rPr>
      <w:rFonts w:asciiTheme="majorHAnsi" w:eastAsiaTheme="majorEastAsia" w:hAnsiTheme="majorHAnsi" w:cstheme="majorBidi"/>
      <w:color w:val="1F4D78" w:themeColor="accent1" w:themeShade="7F"/>
      <w:sz w:val="24"/>
      <w:szCs w:val="24"/>
      <w:lang w:eastAsia="en-AU"/>
    </w:rPr>
  </w:style>
  <w:style w:type="paragraph" w:styleId="NoSpacing">
    <w:name w:val="No Spacing"/>
    <w:link w:val="NoSpacingChar"/>
    <w:uiPriority w:val="1"/>
    <w:qFormat/>
    <w:rsid w:val="00CF3812"/>
    <w:pPr>
      <w:spacing w:after="0" w:line="240" w:lineRule="auto"/>
    </w:pPr>
    <w:rPr>
      <w:rFonts w:eastAsiaTheme="minorEastAsia"/>
      <w:lang w:val="en-US"/>
    </w:rPr>
  </w:style>
  <w:style w:type="character" w:customStyle="1" w:styleId="NoSpacingChar">
    <w:name w:val="No Spacing Char"/>
    <w:basedOn w:val="DefaultParagraphFont"/>
    <w:link w:val="NoSpacing"/>
    <w:uiPriority w:val="1"/>
    <w:rsid w:val="00CF3812"/>
    <w:rPr>
      <w:rFonts w:eastAsiaTheme="minorEastAsia"/>
      <w:lang w:val="en-US"/>
    </w:rPr>
  </w:style>
  <w:style w:type="table" w:styleId="TableGrid">
    <w:name w:val="Table Grid"/>
    <w:basedOn w:val="TableNormal"/>
    <w:uiPriority w:val="39"/>
    <w:rsid w:val="00CB31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1Light">
    <w:name w:val="Grid Table 1 Light"/>
    <w:basedOn w:val="TableNormal"/>
    <w:uiPriority w:val="46"/>
    <w:rsid w:val="00CB31B1"/>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1Light-Accent1">
    <w:name w:val="List Table 1 Light Accent 1"/>
    <w:basedOn w:val="TableNormal"/>
    <w:uiPriority w:val="46"/>
    <w:rsid w:val="00CB31B1"/>
    <w:pPr>
      <w:spacing w:after="0" w:line="240" w:lineRule="auto"/>
    </w:pPr>
    <w:tblPr>
      <w:tblStyleRowBandSize w:val="1"/>
      <w:tblStyleColBandSize w:val="1"/>
    </w:tblPr>
    <w:tblStylePr w:type="firstRow">
      <w:rPr>
        <w:b/>
        <w:bCs/>
      </w:rPr>
      <w:tblPr/>
      <w:tcPr>
        <w:tcBorders>
          <w:bottom w:val="single" w:sz="4" w:space="0" w:color="9CC2E5" w:themeColor="accent1" w:themeTint="99"/>
        </w:tcBorders>
      </w:tcPr>
    </w:tblStylePr>
    <w:tblStylePr w:type="lastRow">
      <w:rPr>
        <w:b/>
        <w:bCs/>
      </w:rPr>
      <w:tblPr/>
      <w:tcPr>
        <w:tcBorders>
          <w:top w:val="sing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ListTable2-Accent1">
    <w:name w:val="List Table 2 Accent 1"/>
    <w:basedOn w:val="TableNormal"/>
    <w:uiPriority w:val="47"/>
    <w:rsid w:val="00CB31B1"/>
    <w:pPr>
      <w:spacing w:after="0" w:line="240" w:lineRule="auto"/>
    </w:pPr>
    <w:tblPr>
      <w:tblStyleRowBandSize w:val="1"/>
      <w:tblStyleColBandSize w:val="1"/>
      <w:tblBorders>
        <w:top w:val="single" w:sz="4" w:space="0" w:color="9CC2E5" w:themeColor="accent1" w:themeTint="99"/>
        <w:bottom w:val="single" w:sz="4" w:space="0" w:color="9CC2E5" w:themeColor="accent1" w:themeTint="99"/>
        <w:insideH w:val="single" w:sz="4" w:space="0" w:color="9CC2E5"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BodyText">
    <w:name w:val="Body Text"/>
    <w:basedOn w:val="Normal"/>
    <w:link w:val="BodyTextChar"/>
    <w:rsid w:val="00BC6BB7"/>
    <w:pPr>
      <w:spacing w:after="120"/>
    </w:pPr>
    <w:rPr>
      <w:sz w:val="20"/>
      <w:szCs w:val="20"/>
      <w:lang w:eastAsia="zh-CN"/>
    </w:rPr>
  </w:style>
  <w:style w:type="character" w:customStyle="1" w:styleId="BodyTextChar">
    <w:name w:val="Body Text Char"/>
    <w:basedOn w:val="DefaultParagraphFont"/>
    <w:link w:val="BodyText"/>
    <w:rsid w:val="00BC6BB7"/>
    <w:rPr>
      <w:rFonts w:ascii="Times New Roman" w:eastAsia="Times New Roman" w:hAnsi="Times New Roman" w:cs="Times New Roman"/>
      <w:sz w:val="20"/>
      <w:szCs w:val="20"/>
      <w:lang w:eastAsia="zh-CN"/>
    </w:rPr>
  </w:style>
  <w:style w:type="paragraph" w:customStyle="1" w:styleId="m-b-0">
    <w:name w:val="m-b-0"/>
    <w:basedOn w:val="Normal"/>
    <w:rsid w:val="00521785"/>
    <w:pPr>
      <w:spacing w:before="100" w:beforeAutospacing="1" w:after="100" w:afterAutospacing="1"/>
    </w:pPr>
  </w:style>
  <w:style w:type="character" w:styleId="FollowedHyperlink">
    <w:name w:val="FollowedHyperlink"/>
    <w:basedOn w:val="DefaultParagraphFont"/>
    <w:uiPriority w:val="99"/>
    <w:semiHidden/>
    <w:unhideWhenUsed/>
    <w:rsid w:val="0026629E"/>
    <w:rPr>
      <w:color w:val="954F72" w:themeColor="followedHyperlink"/>
      <w:u w:val="single"/>
    </w:rPr>
  </w:style>
  <w:style w:type="character" w:customStyle="1" w:styleId="ListParagraphChar">
    <w:name w:val="List Paragraph Char"/>
    <w:aliases w:val="Recommendation Char,L Char,List Paragraph1 Char,List Paragraph11 Char,CV text Char,Table text Char,F5 List Paragraph Char,Dot pt Char,List Paragraph111 Char,Medium Grid 1 - Accent 21 Char,List Paragraph2 Char,FooterText Char,列出段 Char"/>
    <w:basedOn w:val="DefaultParagraphFont"/>
    <w:link w:val="ListParagraph"/>
    <w:uiPriority w:val="34"/>
    <w:locked/>
    <w:rsid w:val="00E11EB8"/>
    <w:rPr>
      <w:rFonts w:ascii="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0966581">
      <w:bodyDiv w:val="1"/>
      <w:marLeft w:val="0"/>
      <w:marRight w:val="0"/>
      <w:marTop w:val="0"/>
      <w:marBottom w:val="0"/>
      <w:divBdr>
        <w:top w:val="none" w:sz="0" w:space="0" w:color="auto"/>
        <w:left w:val="none" w:sz="0" w:space="0" w:color="auto"/>
        <w:bottom w:val="none" w:sz="0" w:space="0" w:color="auto"/>
        <w:right w:val="none" w:sz="0" w:space="0" w:color="auto"/>
      </w:divBdr>
    </w:div>
    <w:div w:id="258217417">
      <w:bodyDiv w:val="1"/>
      <w:marLeft w:val="0"/>
      <w:marRight w:val="0"/>
      <w:marTop w:val="0"/>
      <w:marBottom w:val="0"/>
      <w:divBdr>
        <w:top w:val="none" w:sz="0" w:space="0" w:color="auto"/>
        <w:left w:val="none" w:sz="0" w:space="0" w:color="auto"/>
        <w:bottom w:val="none" w:sz="0" w:space="0" w:color="auto"/>
        <w:right w:val="none" w:sz="0" w:space="0" w:color="auto"/>
      </w:divBdr>
    </w:div>
    <w:div w:id="271322845">
      <w:bodyDiv w:val="1"/>
      <w:marLeft w:val="0"/>
      <w:marRight w:val="0"/>
      <w:marTop w:val="0"/>
      <w:marBottom w:val="0"/>
      <w:divBdr>
        <w:top w:val="none" w:sz="0" w:space="0" w:color="auto"/>
        <w:left w:val="none" w:sz="0" w:space="0" w:color="auto"/>
        <w:bottom w:val="none" w:sz="0" w:space="0" w:color="auto"/>
        <w:right w:val="none" w:sz="0" w:space="0" w:color="auto"/>
      </w:divBdr>
    </w:div>
    <w:div w:id="331488840">
      <w:bodyDiv w:val="1"/>
      <w:marLeft w:val="0"/>
      <w:marRight w:val="0"/>
      <w:marTop w:val="0"/>
      <w:marBottom w:val="0"/>
      <w:divBdr>
        <w:top w:val="none" w:sz="0" w:space="0" w:color="auto"/>
        <w:left w:val="none" w:sz="0" w:space="0" w:color="auto"/>
        <w:bottom w:val="none" w:sz="0" w:space="0" w:color="auto"/>
        <w:right w:val="none" w:sz="0" w:space="0" w:color="auto"/>
      </w:divBdr>
    </w:div>
    <w:div w:id="512955634">
      <w:bodyDiv w:val="1"/>
      <w:marLeft w:val="0"/>
      <w:marRight w:val="0"/>
      <w:marTop w:val="0"/>
      <w:marBottom w:val="0"/>
      <w:divBdr>
        <w:top w:val="none" w:sz="0" w:space="0" w:color="auto"/>
        <w:left w:val="none" w:sz="0" w:space="0" w:color="auto"/>
        <w:bottom w:val="none" w:sz="0" w:space="0" w:color="auto"/>
        <w:right w:val="none" w:sz="0" w:space="0" w:color="auto"/>
      </w:divBdr>
    </w:div>
    <w:div w:id="573975214">
      <w:bodyDiv w:val="1"/>
      <w:marLeft w:val="0"/>
      <w:marRight w:val="0"/>
      <w:marTop w:val="0"/>
      <w:marBottom w:val="0"/>
      <w:divBdr>
        <w:top w:val="none" w:sz="0" w:space="0" w:color="auto"/>
        <w:left w:val="none" w:sz="0" w:space="0" w:color="auto"/>
        <w:bottom w:val="none" w:sz="0" w:space="0" w:color="auto"/>
        <w:right w:val="none" w:sz="0" w:space="0" w:color="auto"/>
      </w:divBdr>
    </w:div>
    <w:div w:id="587345644">
      <w:bodyDiv w:val="1"/>
      <w:marLeft w:val="0"/>
      <w:marRight w:val="0"/>
      <w:marTop w:val="0"/>
      <w:marBottom w:val="0"/>
      <w:divBdr>
        <w:top w:val="none" w:sz="0" w:space="0" w:color="auto"/>
        <w:left w:val="none" w:sz="0" w:space="0" w:color="auto"/>
        <w:bottom w:val="none" w:sz="0" w:space="0" w:color="auto"/>
        <w:right w:val="none" w:sz="0" w:space="0" w:color="auto"/>
      </w:divBdr>
      <w:divsChild>
        <w:div w:id="985623045">
          <w:marLeft w:val="0"/>
          <w:marRight w:val="0"/>
          <w:marTop w:val="225"/>
          <w:marBottom w:val="0"/>
          <w:divBdr>
            <w:top w:val="none" w:sz="0" w:space="0" w:color="auto"/>
            <w:left w:val="none" w:sz="0" w:space="0" w:color="auto"/>
            <w:bottom w:val="none" w:sz="0" w:space="0" w:color="auto"/>
            <w:right w:val="none" w:sz="0" w:space="0" w:color="auto"/>
          </w:divBdr>
          <w:divsChild>
            <w:div w:id="2117403228">
              <w:marLeft w:val="0"/>
              <w:marRight w:val="0"/>
              <w:marTop w:val="0"/>
              <w:marBottom w:val="0"/>
              <w:divBdr>
                <w:top w:val="none" w:sz="0" w:space="0" w:color="auto"/>
                <w:left w:val="none" w:sz="0" w:space="0" w:color="auto"/>
                <w:bottom w:val="none" w:sz="0" w:space="0" w:color="auto"/>
                <w:right w:val="none" w:sz="0" w:space="0" w:color="auto"/>
              </w:divBdr>
            </w:div>
            <w:div w:id="172569935">
              <w:marLeft w:val="0"/>
              <w:marRight w:val="0"/>
              <w:marTop w:val="0"/>
              <w:marBottom w:val="0"/>
              <w:divBdr>
                <w:top w:val="none" w:sz="0" w:space="0" w:color="auto"/>
                <w:left w:val="none" w:sz="0" w:space="0" w:color="auto"/>
                <w:bottom w:val="none" w:sz="0" w:space="0" w:color="auto"/>
                <w:right w:val="none" w:sz="0" w:space="0" w:color="auto"/>
              </w:divBdr>
            </w:div>
          </w:divsChild>
        </w:div>
        <w:div w:id="363411800">
          <w:marLeft w:val="0"/>
          <w:marRight w:val="0"/>
          <w:marTop w:val="225"/>
          <w:marBottom w:val="0"/>
          <w:divBdr>
            <w:top w:val="none" w:sz="0" w:space="0" w:color="auto"/>
            <w:left w:val="none" w:sz="0" w:space="0" w:color="auto"/>
            <w:bottom w:val="none" w:sz="0" w:space="0" w:color="auto"/>
            <w:right w:val="none" w:sz="0" w:space="0" w:color="auto"/>
          </w:divBdr>
          <w:divsChild>
            <w:div w:id="1677154716">
              <w:marLeft w:val="0"/>
              <w:marRight w:val="0"/>
              <w:marTop w:val="0"/>
              <w:marBottom w:val="0"/>
              <w:divBdr>
                <w:top w:val="none" w:sz="0" w:space="0" w:color="auto"/>
                <w:left w:val="none" w:sz="0" w:space="0" w:color="auto"/>
                <w:bottom w:val="none" w:sz="0" w:space="0" w:color="auto"/>
                <w:right w:val="none" w:sz="0" w:space="0" w:color="auto"/>
              </w:divBdr>
            </w:div>
            <w:div w:id="1549100737">
              <w:marLeft w:val="0"/>
              <w:marRight w:val="0"/>
              <w:marTop w:val="0"/>
              <w:marBottom w:val="0"/>
              <w:divBdr>
                <w:top w:val="none" w:sz="0" w:space="0" w:color="auto"/>
                <w:left w:val="none" w:sz="0" w:space="0" w:color="auto"/>
                <w:bottom w:val="none" w:sz="0" w:space="0" w:color="auto"/>
                <w:right w:val="none" w:sz="0" w:space="0" w:color="auto"/>
              </w:divBdr>
            </w:div>
          </w:divsChild>
        </w:div>
        <w:div w:id="1324360265">
          <w:marLeft w:val="0"/>
          <w:marRight w:val="0"/>
          <w:marTop w:val="225"/>
          <w:marBottom w:val="0"/>
          <w:divBdr>
            <w:top w:val="none" w:sz="0" w:space="0" w:color="auto"/>
            <w:left w:val="none" w:sz="0" w:space="0" w:color="auto"/>
            <w:bottom w:val="none" w:sz="0" w:space="0" w:color="auto"/>
            <w:right w:val="none" w:sz="0" w:space="0" w:color="auto"/>
          </w:divBdr>
          <w:divsChild>
            <w:div w:id="2084328724">
              <w:marLeft w:val="0"/>
              <w:marRight w:val="0"/>
              <w:marTop w:val="0"/>
              <w:marBottom w:val="0"/>
              <w:divBdr>
                <w:top w:val="none" w:sz="0" w:space="0" w:color="auto"/>
                <w:left w:val="none" w:sz="0" w:space="0" w:color="auto"/>
                <w:bottom w:val="none" w:sz="0" w:space="0" w:color="auto"/>
                <w:right w:val="none" w:sz="0" w:space="0" w:color="auto"/>
              </w:divBdr>
            </w:div>
            <w:div w:id="2105765511">
              <w:marLeft w:val="0"/>
              <w:marRight w:val="0"/>
              <w:marTop w:val="0"/>
              <w:marBottom w:val="0"/>
              <w:divBdr>
                <w:top w:val="none" w:sz="0" w:space="0" w:color="auto"/>
                <w:left w:val="none" w:sz="0" w:space="0" w:color="auto"/>
                <w:bottom w:val="none" w:sz="0" w:space="0" w:color="auto"/>
                <w:right w:val="none" w:sz="0" w:space="0" w:color="auto"/>
              </w:divBdr>
            </w:div>
          </w:divsChild>
        </w:div>
        <w:div w:id="1753817021">
          <w:marLeft w:val="0"/>
          <w:marRight w:val="0"/>
          <w:marTop w:val="225"/>
          <w:marBottom w:val="0"/>
          <w:divBdr>
            <w:top w:val="none" w:sz="0" w:space="0" w:color="auto"/>
            <w:left w:val="none" w:sz="0" w:space="0" w:color="auto"/>
            <w:bottom w:val="none" w:sz="0" w:space="0" w:color="auto"/>
            <w:right w:val="none" w:sz="0" w:space="0" w:color="auto"/>
          </w:divBdr>
          <w:divsChild>
            <w:div w:id="1689214177">
              <w:marLeft w:val="0"/>
              <w:marRight w:val="0"/>
              <w:marTop w:val="0"/>
              <w:marBottom w:val="0"/>
              <w:divBdr>
                <w:top w:val="none" w:sz="0" w:space="0" w:color="auto"/>
                <w:left w:val="none" w:sz="0" w:space="0" w:color="auto"/>
                <w:bottom w:val="none" w:sz="0" w:space="0" w:color="auto"/>
                <w:right w:val="none" w:sz="0" w:space="0" w:color="auto"/>
              </w:divBdr>
            </w:div>
            <w:div w:id="1495997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5574751">
      <w:bodyDiv w:val="1"/>
      <w:marLeft w:val="0"/>
      <w:marRight w:val="0"/>
      <w:marTop w:val="0"/>
      <w:marBottom w:val="0"/>
      <w:divBdr>
        <w:top w:val="none" w:sz="0" w:space="0" w:color="auto"/>
        <w:left w:val="none" w:sz="0" w:space="0" w:color="auto"/>
        <w:bottom w:val="none" w:sz="0" w:space="0" w:color="auto"/>
        <w:right w:val="none" w:sz="0" w:space="0" w:color="auto"/>
      </w:divBdr>
    </w:div>
    <w:div w:id="765151175">
      <w:bodyDiv w:val="1"/>
      <w:marLeft w:val="0"/>
      <w:marRight w:val="0"/>
      <w:marTop w:val="0"/>
      <w:marBottom w:val="0"/>
      <w:divBdr>
        <w:top w:val="none" w:sz="0" w:space="0" w:color="auto"/>
        <w:left w:val="none" w:sz="0" w:space="0" w:color="auto"/>
        <w:bottom w:val="none" w:sz="0" w:space="0" w:color="auto"/>
        <w:right w:val="none" w:sz="0" w:space="0" w:color="auto"/>
      </w:divBdr>
    </w:div>
    <w:div w:id="798378837">
      <w:bodyDiv w:val="1"/>
      <w:marLeft w:val="0"/>
      <w:marRight w:val="0"/>
      <w:marTop w:val="0"/>
      <w:marBottom w:val="0"/>
      <w:divBdr>
        <w:top w:val="none" w:sz="0" w:space="0" w:color="auto"/>
        <w:left w:val="none" w:sz="0" w:space="0" w:color="auto"/>
        <w:bottom w:val="none" w:sz="0" w:space="0" w:color="auto"/>
        <w:right w:val="none" w:sz="0" w:space="0" w:color="auto"/>
      </w:divBdr>
    </w:div>
    <w:div w:id="871191342">
      <w:bodyDiv w:val="1"/>
      <w:marLeft w:val="0"/>
      <w:marRight w:val="0"/>
      <w:marTop w:val="0"/>
      <w:marBottom w:val="0"/>
      <w:divBdr>
        <w:top w:val="none" w:sz="0" w:space="0" w:color="auto"/>
        <w:left w:val="none" w:sz="0" w:space="0" w:color="auto"/>
        <w:bottom w:val="none" w:sz="0" w:space="0" w:color="auto"/>
        <w:right w:val="none" w:sz="0" w:space="0" w:color="auto"/>
      </w:divBdr>
    </w:div>
    <w:div w:id="1035616700">
      <w:bodyDiv w:val="1"/>
      <w:marLeft w:val="0"/>
      <w:marRight w:val="0"/>
      <w:marTop w:val="0"/>
      <w:marBottom w:val="0"/>
      <w:divBdr>
        <w:top w:val="none" w:sz="0" w:space="0" w:color="auto"/>
        <w:left w:val="none" w:sz="0" w:space="0" w:color="auto"/>
        <w:bottom w:val="none" w:sz="0" w:space="0" w:color="auto"/>
        <w:right w:val="none" w:sz="0" w:space="0" w:color="auto"/>
      </w:divBdr>
    </w:div>
    <w:div w:id="1291588971">
      <w:bodyDiv w:val="1"/>
      <w:marLeft w:val="0"/>
      <w:marRight w:val="0"/>
      <w:marTop w:val="0"/>
      <w:marBottom w:val="0"/>
      <w:divBdr>
        <w:top w:val="none" w:sz="0" w:space="0" w:color="auto"/>
        <w:left w:val="none" w:sz="0" w:space="0" w:color="auto"/>
        <w:bottom w:val="none" w:sz="0" w:space="0" w:color="auto"/>
        <w:right w:val="none" w:sz="0" w:space="0" w:color="auto"/>
      </w:divBdr>
    </w:div>
    <w:div w:id="1399589974">
      <w:bodyDiv w:val="1"/>
      <w:marLeft w:val="0"/>
      <w:marRight w:val="0"/>
      <w:marTop w:val="0"/>
      <w:marBottom w:val="0"/>
      <w:divBdr>
        <w:top w:val="none" w:sz="0" w:space="0" w:color="auto"/>
        <w:left w:val="none" w:sz="0" w:space="0" w:color="auto"/>
        <w:bottom w:val="none" w:sz="0" w:space="0" w:color="auto"/>
        <w:right w:val="none" w:sz="0" w:space="0" w:color="auto"/>
      </w:divBdr>
    </w:div>
    <w:div w:id="1459446597">
      <w:bodyDiv w:val="1"/>
      <w:marLeft w:val="0"/>
      <w:marRight w:val="0"/>
      <w:marTop w:val="0"/>
      <w:marBottom w:val="0"/>
      <w:divBdr>
        <w:top w:val="none" w:sz="0" w:space="0" w:color="auto"/>
        <w:left w:val="none" w:sz="0" w:space="0" w:color="auto"/>
        <w:bottom w:val="none" w:sz="0" w:space="0" w:color="auto"/>
        <w:right w:val="none" w:sz="0" w:space="0" w:color="auto"/>
      </w:divBdr>
    </w:div>
    <w:div w:id="1515270282">
      <w:bodyDiv w:val="1"/>
      <w:marLeft w:val="0"/>
      <w:marRight w:val="0"/>
      <w:marTop w:val="0"/>
      <w:marBottom w:val="0"/>
      <w:divBdr>
        <w:top w:val="none" w:sz="0" w:space="0" w:color="auto"/>
        <w:left w:val="none" w:sz="0" w:space="0" w:color="auto"/>
        <w:bottom w:val="none" w:sz="0" w:space="0" w:color="auto"/>
        <w:right w:val="none" w:sz="0" w:space="0" w:color="auto"/>
      </w:divBdr>
    </w:div>
    <w:div w:id="1598515826">
      <w:bodyDiv w:val="1"/>
      <w:marLeft w:val="0"/>
      <w:marRight w:val="0"/>
      <w:marTop w:val="0"/>
      <w:marBottom w:val="0"/>
      <w:divBdr>
        <w:top w:val="none" w:sz="0" w:space="0" w:color="auto"/>
        <w:left w:val="none" w:sz="0" w:space="0" w:color="auto"/>
        <w:bottom w:val="none" w:sz="0" w:space="0" w:color="auto"/>
        <w:right w:val="none" w:sz="0" w:space="0" w:color="auto"/>
      </w:divBdr>
    </w:div>
    <w:div w:id="1666930569">
      <w:bodyDiv w:val="1"/>
      <w:marLeft w:val="0"/>
      <w:marRight w:val="0"/>
      <w:marTop w:val="0"/>
      <w:marBottom w:val="0"/>
      <w:divBdr>
        <w:top w:val="none" w:sz="0" w:space="0" w:color="auto"/>
        <w:left w:val="none" w:sz="0" w:space="0" w:color="auto"/>
        <w:bottom w:val="none" w:sz="0" w:space="0" w:color="auto"/>
        <w:right w:val="none" w:sz="0" w:space="0" w:color="auto"/>
      </w:divBdr>
    </w:div>
    <w:div w:id="1716662104">
      <w:bodyDiv w:val="1"/>
      <w:marLeft w:val="0"/>
      <w:marRight w:val="0"/>
      <w:marTop w:val="0"/>
      <w:marBottom w:val="0"/>
      <w:divBdr>
        <w:top w:val="none" w:sz="0" w:space="0" w:color="auto"/>
        <w:left w:val="none" w:sz="0" w:space="0" w:color="auto"/>
        <w:bottom w:val="none" w:sz="0" w:space="0" w:color="auto"/>
        <w:right w:val="none" w:sz="0" w:space="0" w:color="auto"/>
      </w:divBdr>
    </w:div>
    <w:div w:id="1816335889">
      <w:bodyDiv w:val="1"/>
      <w:marLeft w:val="0"/>
      <w:marRight w:val="0"/>
      <w:marTop w:val="0"/>
      <w:marBottom w:val="0"/>
      <w:divBdr>
        <w:top w:val="none" w:sz="0" w:space="0" w:color="auto"/>
        <w:left w:val="none" w:sz="0" w:space="0" w:color="auto"/>
        <w:bottom w:val="none" w:sz="0" w:space="0" w:color="auto"/>
        <w:right w:val="none" w:sz="0" w:space="0" w:color="auto"/>
      </w:divBdr>
    </w:div>
    <w:div w:id="19133511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federalcircuitcourt.gov.au/wps/wcm/connect/fccweb/court-reform/fam-contravention"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federalcircuitcourt.gov.au/wps/wcm/connect/fccweb/court-reform/form-fcfcoa-app-contravention" TargetMode="External"/><Relationship Id="rId14" Type="http://schemas.openxmlformats.org/officeDocument/2006/relationships/header" Target="header3.xml"/></Relationships>
</file>

<file path=word/_rels/footer2.xml.rels><?xml version="1.0" encoding="UTF-8" standalone="yes"?>
<Relationships xmlns="http://schemas.openxmlformats.org/package/2006/relationships"><Relationship Id="rId1" Type="http://schemas.openxmlformats.org/officeDocument/2006/relationships/hyperlink" Target="mailto:denise.healy@familycourt.gov.au"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AF0C50A-9A40-46E5-A023-3A3F02BCCE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645</Words>
  <Characters>3392</Characters>
  <Application>Microsoft Office Word</Application>
  <DocSecurity>4</DocSecurity>
  <Lines>59</Lines>
  <Paragraphs>35</Paragraphs>
  <ScaleCrop>false</ScaleCrop>
  <HeadingPairs>
    <vt:vector size="2" baseType="variant">
      <vt:variant>
        <vt:lpstr>Title</vt:lpstr>
      </vt:variant>
      <vt:variant>
        <vt:i4>1</vt:i4>
      </vt:variant>
    </vt:vector>
  </HeadingPairs>
  <TitlesOfParts>
    <vt:vector size="1" baseType="lpstr">
      <vt:lpstr>Media Release - The Family Court of Australia and Federal Circuit Court of Australia committed to keeping families safe through the Family Violence Plan</vt:lpstr>
    </vt:vector>
  </TitlesOfParts>
  <Company>Federal Court of Australia</Company>
  <LinksUpToDate>false</LinksUpToDate>
  <CharactersWithSpaces>4002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Media Release - Launch of a new National Contravention List to tackle issues of non-compliance with court orders in family law cases</dc:title>
  <dc:subject/>
  <dc:creator>Family Court of Australia;Federal Circuit Court of Australia</dc:creator>
  <cp:keywords/>
  <dc:description/>
  <cp:lastModifiedBy>Christine Tuff</cp:lastModifiedBy>
  <cp:revision>2</cp:revision>
  <cp:lastPrinted>2021-05-13T05:35:00Z</cp:lastPrinted>
  <dcterms:created xsi:type="dcterms:W3CDTF">2021-08-18T02:48:00Z</dcterms:created>
  <dcterms:modified xsi:type="dcterms:W3CDTF">2021-08-18T02:48:00Z</dcterms:modified>
</cp:coreProperties>
</file>