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3527" w:rsidRDefault="001E396B" w:rsidP="00BE190A">
      <w:pPr>
        <w:pStyle w:val="Heading2"/>
      </w:pPr>
      <w:r>
        <w:rPr>
          <w:noProof/>
        </w:rPr>
        <w:drawing>
          <wp:anchor distT="0" distB="0" distL="114300" distR="114300" simplePos="0" relativeHeight="251658240" behindDoc="1" locked="0" layoutInCell="1" allowOverlap="1">
            <wp:simplePos x="0" y="0"/>
            <wp:positionH relativeFrom="column">
              <wp:posOffset>-908050</wp:posOffset>
            </wp:positionH>
            <wp:positionV relativeFrom="page">
              <wp:posOffset>12212</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9430CF" w:rsidRPr="00CE655D" w:rsidRDefault="00143CF0" w:rsidP="0060112D">
      <w:pPr>
        <w:spacing w:before="660" w:after="120"/>
        <w:jc w:val="right"/>
        <w:rPr>
          <w:b/>
          <w:sz w:val="24"/>
          <w:szCs w:val="24"/>
        </w:rPr>
      </w:pPr>
      <w:r>
        <w:rPr>
          <w:b/>
          <w:sz w:val="24"/>
          <w:szCs w:val="24"/>
        </w:rPr>
        <w:t>1</w:t>
      </w:r>
      <w:r w:rsidR="000D791A">
        <w:rPr>
          <w:b/>
          <w:sz w:val="24"/>
          <w:szCs w:val="24"/>
        </w:rPr>
        <w:t>4</w:t>
      </w:r>
      <w:r w:rsidR="00513527" w:rsidRPr="00CE655D">
        <w:rPr>
          <w:b/>
          <w:sz w:val="24"/>
          <w:szCs w:val="24"/>
        </w:rPr>
        <w:t xml:space="preserve"> </w:t>
      </w:r>
      <w:r w:rsidR="004649BD">
        <w:rPr>
          <w:b/>
          <w:sz w:val="24"/>
          <w:szCs w:val="24"/>
        </w:rPr>
        <w:t>October</w:t>
      </w:r>
      <w:r w:rsidR="00513527" w:rsidRPr="00CE655D">
        <w:rPr>
          <w:b/>
          <w:sz w:val="24"/>
          <w:szCs w:val="24"/>
        </w:rPr>
        <w:t xml:space="preserve"> 2021</w:t>
      </w:r>
    </w:p>
    <w:p w:rsidR="00513527" w:rsidRDefault="001E396B" w:rsidP="00513527">
      <w:pPr>
        <w:pStyle w:val="Heading1"/>
      </w:pPr>
      <w:r>
        <w:t xml:space="preserve">Media Release: </w:t>
      </w:r>
      <w:r w:rsidR="004649BD">
        <w:t>Unrepresented litigants in Victoria navigating the family law system will benefit from pr</w:t>
      </w:r>
      <w:r w:rsidR="00112002">
        <w:t>o-bono legal assistance scheme</w:t>
      </w:r>
    </w:p>
    <w:p w:rsidR="004649BD" w:rsidRDefault="004649BD" w:rsidP="00E63D57">
      <w:r>
        <w:t xml:space="preserve">The Federal Circuit and Family Court of Australia (the Court) and the Victorian Bar have established a </w:t>
      </w:r>
      <w:r w:rsidR="00E63D57">
        <w:t xml:space="preserve">referral scheme for pro bono legal assistance (the Scheme) to </w:t>
      </w:r>
      <w:r w:rsidR="008654B2">
        <w:t>help</w:t>
      </w:r>
      <w:r w:rsidR="00E63D57">
        <w:t xml:space="preserve"> </w:t>
      </w:r>
      <w:r>
        <w:t>un</w:t>
      </w:r>
      <w:r w:rsidR="00E63D57">
        <w:t>represented litigants in</w:t>
      </w:r>
      <w:r w:rsidR="008654B2">
        <w:t xml:space="preserve">volved in family law proceedings in </w:t>
      </w:r>
      <w:r w:rsidR="00E63D57">
        <w:t>the Court</w:t>
      </w:r>
      <w:r w:rsidR="00434224">
        <w:t>, in Victoria</w:t>
      </w:r>
      <w:r>
        <w:t xml:space="preserve">. </w:t>
      </w:r>
    </w:p>
    <w:p w:rsidR="00D840D6" w:rsidRDefault="004649BD" w:rsidP="004649BD">
      <w:r>
        <w:t xml:space="preserve">Many family law litigants cannot afford to pay for a lawyer and may not qualify for legal aid, or they </w:t>
      </w:r>
      <w:r w:rsidR="00B843F0">
        <w:t xml:space="preserve">may </w:t>
      </w:r>
      <w:r>
        <w:t xml:space="preserve">lack the </w:t>
      </w:r>
      <w:r w:rsidR="00B843F0">
        <w:t xml:space="preserve">ability </w:t>
      </w:r>
      <w:r>
        <w:t xml:space="preserve">to obtain legal assistance themselves. The Scheme recognises that where a party is otherwise unrepresented, it may promote the interests of the due administration of justice for that party to be assisted by a pro bono lawyer where one is available. </w:t>
      </w:r>
    </w:p>
    <w:p w:rsidR="00D840D6" w:rsidRDefault="0009247C" w:rsidP="00D840D6">
      <w:r>
        <w:t xml:space="preserve">The Court </w:t>
      </w:r>
      <w:r w:rsidR="00D840D6">
        <w:t>may consider it to be in the interests of justice to refer a request for pro bono legal assistance</w:t>
      </w:r>
      <w:r w:rsidR="00B67690">
        <w:t xml:space="preserve"> to the Scheme </w:t>
      </w:r>
      <w:r w:rsidR="00D840D6">
        <w:t>in relation to a current or proposed family law proceeding</w:t>
      </w:r>
      <w:r w:rsidR="00B67690">
        <w:t>.</w:t>
      </w:r>
    </w:p>
    <w:p w:rsidR="00434224" w:rsidRDefault="00B843F0" w:rsidP="004649BD">
      <w:r>
        <w:t xml:space="preserve">The Chief Justice of the Federal Circuit and Family Court of Australia, the Hon Will Alstergren said that the Scheme is an example of how the legal profession and the Court can work collaboratively </w:t>
      </w:r>
      <w:r w:rsidR="00434224">
        <w:t xml:space="preserve">for the benefit of litigants who are facing financial hardship, or for other reasons, cannot obtain legal assistance. </w:t>
      </w:r>
    </w:p>
    <w:p w:rsidR="00513527" w:rsidRDefault="00434224" w:rsidP="004649BD">
      <w:r>
        <w:t xml:space="preserve">“The </w:t>
      </w:r>
      <w:r w:rsidR="004649BD">
        <w:t>importance of pro bono legal assistance in the administration of justice</w:t>
      </w:r>
      <w:r w:rsidR="00345335">
        <w:t xml:space="preserve"> cannot be understated</w:t>
      </w:r>
      <w:r>
        <w:t>.</w:t>
      </w:r>
      <w:r w:rsidR="00345335">
        <w:t xml:space="preserve"> Access to justice </w:t>
      </w:r>
      <w:r w:rsidR="00B67690">
        <w:t xml:space="preserve">must not be reserved for those who have the financial means to access </w:t>
      </w:r>
      <w:r w:rsidR="00FF202D">
        <w:t xml:space="preserve">legal </w:t>
      </w:r>
      <w:r w:rsidR="00B67690">
        <w:t>representation. This Scheme plays a relatively small but important part in</w:t>
      </w:r>
      <w:r w:rsidR="00FF202D">
        <w:t xml:space="preserve"> providing assistance to those who are in need. I commend the </w:t>
      </w:r>
      <w:r w:rsidR="004649BD">
        <w:t>generous support of the barristers of the Victorian Bar</w:t>
      </w:r>
      <w:r w:rsidR="00FF202D">
        <w:t xml:space="preserve"> for their commitment to improving access to justice</w:t>
      </w:r>
      <w:r w:rsidR="003E2754">
        <w:t>,” Chief Justice Alstergren added.</w:t>
      </w:r>
    </w:p>
    <w:p w:rsidR="00143CF0" w:rsidRDefault="00143CF0" w:rsidP="00143CF0">
      <w:r w:rsidRPr="00143CF0">
        <w:t>Geoff Dickson QC of the Family Law Bar Association at the Victorian Bar said</w:t>
      </w:r>
      <w:r>
        <w:t>,</w:t>
      </w:r>
      <w:r w:rsidRPr="00143CF0">
        <w:t xml:space="preserve"> “Many litigants have the ability to secure paid legal representation from a wide variety of sources, including by meeting those expenses from their own resources, with family assistance, via litigation funders or with a grant of Legal Aid funding. The Bar’s participation in this Scheme is intended to supplement, rather than replace, those usual avenues of representation.</w:t>
      </w:r>
      <w:r>
        <w:t xml:space="preserve"> </w:t>
      </w:r>
      <w:r w:rsidRPr="00143CF0">
        <w:t xml:space="preserve">The Scheme will seek assistance from the Bar on a voluntary basis for those cases assessed as having merit to them, and of being deserving of proper prosecution.” </w:t>
      </w:r>
    </w:p>
    <w:p w:rsidR="00143CF0" w:rsidRDefault="00143CF0" w:rsidP="00143CF0">
      <w:r w:rsidRPr="00143CF0">
        <w:t xml:space="preserve">The President of the Bar Council, Christopher </w:t>
      </w:r>
      <w:proofErr w:type="spellStart"/>
      <w:r w:rsidRPr="00143CF0">
        <w:t>Blanden</w:t>
      </w:r>
      <w:proofErr w:type="spellEnd"/>
      <w:r w:rsidRPr="00143CF0">
        <w:t xml:space="preserve"> QC, said “The new scheme extends the considerable community work currently provided by the Victorian Bar across a number of courts and is a further significant contribution by the Victorian Bar to access to justice for the community.” </w:t>
      </w:r>
    </w:p>
    <w:p w:rsidR="00513527" w:rsidRDefault="00D30CB9" w:rsidP="0060112D">
      <w:pPr>
        <w:pStyle w:val="Heading2"/>
        <w:spacing w:after="240"/>
      </w:pPr>
      <w:r>
        <w:lastRenderedPageBreak/>
        <w:t>Criteria for the Scheme</w:t>
      </w:r>
    </w:p>
    <w:p w:rsidR="00D30CB9" w:rsidRDefault="00D30CB9" w:rsidP="00D30CB9">
      <w:r>
        <w:t>I</w:t>
      </w:r>
      <w:r w:rsidRPr="00D30CB9">
        <w:t>n deciding whether to refer a request for pro bono assistance the Court may take into account any matter which it considers relevant in the administration of justice, including</w:t>
      </w:r>
      <w:r>
        <w:t>:</w:t>
      </w:r>
    </w:p>
    <w:p w:rsidR="00D30CB9" w:rsidRDefault="00D30CB9" w:rsidP="008A31C2">
      <w:pPr>
        <w:pStyle w:val="ListParagraph"/>
        <w:numPr>
          <w:ilvl w:val="0"/>
          <w:numId w:val="4"/>
        </w:numPr>
      </w:pPr>
      <w:r w:rsidRPr="00D30CB9">
        <w:t>the financial means of the party</w:t>
      </w:r>
    </w:p>
    <w:p w:rsidR="00D30CB9" w:rsidRDefault="00D30CB9" w:rsidP="008A31C2">
      <w:pPr>
        <w:pStyle w:val="ListParagraph"/>
        <w:numPr>
          <w:ilvl w:val="0"/>
          <w:numId w:val="4"/>
        </w:numPr>
      </w:pPr>
      <w:r w:rsidRPr="00D30CB9">
        <w:t>the capacity of the party to otherwise obtain legal assistance</w:t>
      </w:r>
    </w:p>
    <w:p w:rsidR="00D30CB9" w:rsidRDefault="00D30CB9" w:rsidP="008A31C2">
      <w:pPr>
        <w:pStyle w:val="ListParagraph"/>
        <w:numPr>
          <w:ilvl w:val="0"/>
          <w:numId w:val="4"/>
        </w:numPr>
      </w:pPr>
      <w:r w:rsidRPr="00D30CB9">
        <w:t>the nature, subject matter and complexity of the proceedings</w:t>
      </w:r>
    </w:p>
    <w:p w:rsidR="00D30CB9" w:rsidRDefault="00D30CB9" w:rsidP="008A31C2">
      <w:pPr>
        <w:pStyle w:val="ListParagraph"/>
        <w:numPr>
          <w:ilvl w:val="0"/>
          <w:numId w:val="4"/>
        </w:numPr>
      </w:pPr>
      <w:r w:rsidRPr="00D30CB9">
        <w:t>whether it is appropriate for a barrister to act for the client on a direct access basis or whether an instructing solicitor would be required</w:t>
      </w:r>
      <w:r>
        <w:t>, and</w:t>
      </w:r>
    </w:p>
    <w:p w:rsidR="008A3A5D" w:rsidRDefault="00D30CB9" w:rsidP="008A31C2">
      <w:pPr>
        <w:pStyle w:val="ListParagraph"/>
        <w:numPr>
          <w:ilvl w:val="0"/>
          <w:numId w:val="4"/>
        </w:numPr>
      </w:pPr>
      <w:proofErr w:type="gramStart"/>
      <w:r w:rsidRPr="00D30CB9">
        <w:t>whether</w:t>
      </w:r>
      <w:proofErr w:type="gramEnd"/>
      <w:r w:rsidRPr="00D30CB9">
        <w:t xml:space="preserve"> the litigant involved is a person subject to a vexatious proceedings order under s 102QB of the </w:t>
      </w:r>
      <w:r w:rsidRPr="00D30CB9">
        <w:rPr>
          <w:i/>
        </w:rPr>
        <w:t>Family Law Act 1975</w:t>
      </w:r>
      <w:r w:rsidRPr="00D30CB9">
        <w:t xml:space="preserve"> (</w:t>
      </w:r>
      <w:proofErr w:type="spellStart"/>
      <w:r w:rsidRPr="00D30CB9">
        <w:t>Cth</w:t>
      </w:r>
      <w:proofErr w:type="spellEnd"/>
      <w:r w:rsidRPr="00D30CB9">
        <w:t>)(the FLA) or like legislation and any other matter the Court considers appropriate.</w:t>
      </w:r>
    </w:p>
    <w:p w:rsidR="00960BC0" w:rsidRDefault="003E2754" w:rsidP="00513527">
      <w:r>
        <w:t xml:space="preserve">More information </w:t>
      </w:r>
      <w:r w:rsidR="0009247C">
        <w:t>on the Scheme is available f</w:t>
      </w:r>
      <w:r>
        <w:t xml:space="preserve">rom the </w:t>
      </w:r>
      <w:hyperlink r:id="rId8" w:history="1">
        <w:r w:rsidRPr="00882541">
          <w:rPr>
            <w:rStyle w:val="Hyperlink"/>
            <w:rFonts w:cstheme="minorBidi"/>
          </w:rPr>
          <w:t>Court’s website</w:t>
        </w:r>
      </w:hyperlink>
      <w:bookmarkStart w:id="0" w:name="_GoBack"/>
      <w:bookmarkEnd w:id="0"/>
      <w:r>
        <w:t>.</w:t>
      </w:r>
    </w:p>
    <w:p w:rsidR="00B843F0" w:rsidRDefault="000D791A" w:rsidP="00B843F0">
      <w:r>
        <w:t>Ends</w:t>
      </w:r>
    </w:p>
    <w:p w:rsidR="00332F8B" w:rsidRPr="00332F8B" w:rsidRDefault="00332F8B" w:rsidP="00112002">
      <w:pPr>
        <w:pBdr>
          <w:top w:val="single" w:sz="18" w:space="1" w:color="BFBFBF" w:themeColor="background1" w:themeShade="BF"/>
        </w:pBdr>
        <w:spacing w:before="8160" w:after="0"/>
      </w:pPr>
      <w:r w:rsidRPr="00332F8B">
        <w:t xml:space="preserve">Denise Healy, Director </w:t>
      </w:r>
      <w:r w:rsidR="000C20E2">
        <w:rPr>
          <w:rFonts w:ascii="Courier New" w:hAnsi="Courier New" w:cs="Courier New"/>
        </w:rPr>
        <w:t>-</w:t>
      </w:r>
      <w:r w:rsidRPr="00332F8B">
        <w:t xml:space="preserve"> Media and Public Affairs</w:t>
      </w:r>
    </w:p>
    <w:p w:rsidR="00332F8B" w:rsidRPr="00513527" w:rsidRDefault="00332F8B" w:rsidP="00332F8B">
      <w:pPr>
        <w:pBdr>
          <w:top w:val="single" w:sz="18" w:space="1" w:color="BFBFBF" w:themeColor="background1" w:themeShade="BF"/>
        </w:pBdr>
      </w:pPr>
      <w:proofErr w:type="gramStart"/>
      <w:r w:rsidRPr="00332F8B">
        <w:rPr>
          <w:b/>
        </w:rPr>
        <w:t>p</w:t>
      </w:r>
      <w:proofErr w:type="gramEnd"/>
      <w:r w:rsidRPr="00332F8B">
        <w:rPr>
          <w:b/>
        </w:rPr>
        <w:t>:</w:t>
      </w:r>
      <w:r w:rsidR="000C20E2">
        <w:t xml:space="preserve"> 03</w:t>
      </w:r>
      <w:r w:rsidRPr="00332F8B">
        <w:t xml:space="preserve"> 8638 6436  </w:t>
      </w:r>
      <w:r w:rsidRPr="00332F8B">
        <w:rPr>
          <w:b/>
        </w:rPr>
        <w:t>m:</w:t>
      </w:r>
      <w:r w:rsidRPr="00332F8B">
        <w:t xml:space="preserve"> 0409 743 695  </w:t>
      </w:r>
      <w:r w:rsidRPr="00332F8B">
        <w:rPr>
          <w:b/>
        </w:rPr>
        <w:t>e:</w:t>
      </w:r>
      <w:r w:rsidRPr="00332F8B">
        <w:t xml:space="preserve"> </w:t>
      </w:r>
      <w:hyperlink r:id="rId9" w:history="1">
        <w:r w:rsidRPr="00332F8B">
          <w:rPr>
            <w:rStyle w:val="Hyperlink"/>
            <w:rFonts w:cstheme="minorBidi"/>
            <w:color w:val="404040" w:themeColor="text1" w:themeTint="BF"/>
          </w:rPr>
          <w:t>denise.healy@fcfcoa.gov.au</w:t>
        </w:r>
      </w:hyperlink>
    </w:p>
    <w:sectPr w:rsidR="00332F8B" w:rsidRPr="00513527">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7E23" w:rsidRDefault="00BE7E23" w:rsidP="00BE7E23">
      <w:pPr>
        <w:spacing w:after="0" w:line="240" w:lineRule="auto"/>
      </w:pPr>
      <w:r>
        <w:separator/>
      </w:r>
    </w:p>
  </w:endnote>
  <w:endnote w:type="continuationSeparator" w:id="0">
    <w:p w:rsidR="00BE7E23" w:rsidRDefault="00BE7E23" w:rsidP="00BE7E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utura Heavy">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7690" w:rsidRDefault="00B676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7E23" w:rsidRDefault="009760F8" w:rsidP="00332F8B">
    <w:pPr>
      <w:pStyle w:val="Heading1"/>
      <w:spacing w:before="0" w:after="0"/>
      <w:jc w:val="right"/>
    </w:pPr>
    <w:hyperlink r:id="rId1" w:history="1">
      <w:r w:rsidR="00332F8B" w:rsidRPr="00BE7E23">
        <w:rPr>
          <w:rStyle w:val="Hyperlink"/>
          <w:rFonts w:cstheme="majorBidi"/>
          <w:color w:val="04526C"/>
          <w:sz w:val="24"/>
          <w:szCs w:val="24"/>
          <w:u w:val="none"/>
        </w:rPr>
        <w:t>www.fcfcoa.gov.au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7690" w:rsidRDefault="00B676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7E23" w:rsidRDefault="00BE7E23" w:rsidP="00BE7E23">
      <w:pPr>
        <w:spacing w:after="0" w:line="240" w:lineRule="auto"/>
      </w:pPr>
      <w:r>
        <w:separator/>
      </w:r>
    </w:p>
  </w:footnote>
  <w:footnote w:type="continuationSeparator" w:id="0">
    <w:p w:rsidR="00BE7E23" w:rsidRDefault="00BE7E23" w:rsidP="00BE7E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7690" w:rsidRDefault="00B676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7690" w:rsidRDefault="00B676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7690" w:rsidRDefault="00B676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35A98"/>
    <w:multiLevelType w:val="hybridMultilevel"/>
    <w:tmpl w:val="7C52F7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49877791"/>
    <w:multiLevelType w:val="hybridMultilevel"/>
    <w:tmpl w:val="77D0C4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B56"/>
    <w:rsid w:val="000054B8"/>
    <w:rsid w:val="00047D01"/>
    <w:rsid w:val="00075E04"/>
    <w:rsid w:val="0007771F"/>
    <w:rsid w:val="00086662"/>
    <w:rsid w:val="0009247C"/>
    <w:rsid w:val="000A7557"/>
    <w:rsid w:val="000C20E2"/>
    <w:rsid w:val="000C7529"/>
    <w:rsid w:val="000D59B8"/>
    <w:rsid w:val="000D791A"/>
    <w:rsid w:val="000F08C6"/>
    <w:rsid w:val="00112002"/>
    <w:rsid w:val="00143CF0"/>
    <w:rsid w:val="0015502B"/>
    <w:rsid w:val="0016325D"/>
    <w:rsid w:val="001B485A"/>
    <w:rsid w:val="001E396B"/>
    <w:rsid w:val="001E5A77"/>
    <w:rsid w:val="001F1493"/>
    <w:rsid w:val="00231523"/>
    <w:rsid w:val="00233BE5"/>
    <w:rsid w:val="0023459F"/>
    <w:rsid w:val="00283DC0"/>
    <w:rsid w:val="002A4357"/>
    <w:rsid w:val="002A69D5"/>
    <w:rsid w:val="002C0373"/>
    <w:rsid w:val="002C6456"/>
    <w:rsid w:val="002C76A2"/>
    <w:rsid w:val="002F659D"/>
    <w:rsid w:val="00303CA7"/>
    <w:rsid w:val="00332F8B"/>
    <w:rsid w:val="00333092"/>
    <w:rsid w:val="003356B1"/>
    <w:rsid w:val="00340C4B"/>
    <w:rsid w:val="00345335"/>
    <w:rsid w:val="0034556C"/>
    <w:rsid w:val="0035544F"/>
    <w:rsid w:val="003828E1"/>
    <w:rsid w:val="003A4A35"/>
    <w:rsid w:val="003B2E9B"/>
    <w:rsid w:val="003E2754"/>
    <w:rsid w:val="00434224"/>
    <w:rsid w:val="00450751"/>
    <w:rsid w:val="00457B7F"/>
    <w:rsid w:val="004649BD"/>
    <w:rsid w:val="00484BC2"/>
    <w:rsid w:val="00512563"/>
    <w:rsid w:val="00513527"/>
    <w:rsid w:val="00526974"/>
    <w:rsid w:val="00565018"/>
    <w:rsid w:val="005873AB"/>
    <w:rsid w:val="005A12E2"/>
    <w:rsid w:val="005A4409"/>
    <w:rsid w:val="005D5769"/>
    <w:rsid w:val="0060112D"/>
    <w:rsid w:val="00622817"/>
    <w:rsid w:val="0065516D"/>
    <w:rsid w:val="00731638"/>
    <w:rsid w:val="00736C10"/>
    <w:rsid w:val="00745874"/>
    <w:rsid w:val="00771159"/>
    <w:rsid w:val="00786F5C"/>
    <w:rsid w:val="007A5356"/>
    <w:rsid w:val="00806B47"/>
    <w:rsid w:val="008175C9"/>
    <w:rsid w:val="008654B2"/>
    <w:rsid w:val="00882541"/>
    <w:rsid w:val="008A3A5D"/>
    <w:rsid w:val="008A582C"/>
    <w:rsid w:val="008B6F61"/>
    <w:rsid w:val="008D427B"/>
    <w:rsid w:val="008F0280"/>
    <w:rsid w:val="008F387A"/>
    <w:rsid w:val="0091517E"/>
    <w:rsid w:val="00960BC0"/>
    <w:rsid w:val="00965A79"/>
    <w:rsid w:val="00974B93"/>
    <w:rsid w:val="00984A2C"/>
    <w:rsid w:val="009B18D4"/>
    <w:rsid w:val="00A95310"/>
    <w:rsid w:val="00A97888"/>
    <w:rsid w:val="00AA78B7"/>
    <w:rsid w:val="00B14B5C"/>
    <w:rsid w:val="00B16C68"/>
    <w:rsid w:val="00B67690"/>
    <w:rsid w:val="00B843F0"/>
    <w:rsid w:val="00BA1B56"/>
    <w:rsid w:val="00BA3E69"/>
    <w:rsid w:val="00BC2FE4"/>
    <w:rsid w:val="00BE190A"/>
    <w:rsid w:val="00BE5418"/>
    <w:rsid w:val="00BE7E23"/>
    <w:rsid w:val="00C27CB2"/>
    <w:rsid w:val="00C6151C"/>
    <w:rsid w:val="00C644FE"/>
    <w:rsid w:val="00C9156A"/>
    <w:rsid w:val="00C9372C"/>
    <w:rsid w:val="00CA1B7A"/>
    <w:rsid w:val="00CB63C4"/>
    <w:rsid w:val="00CE655D"/>
    <w:rsid w:val="00D014B5"/>
    <w:rsid w:val="00D30CB9"/>
    <w:rsid w:val="00D64103"/>
    <w:rsid w:val="00D840D6"/>
    <w:rsid w:val="00D84C59"/>
    <w:rsid w:val="00DE415A"/>
    <w:rsid w:val="00E16479"/>
    <w:rsid w:val="00E63D57"/>
    <w:rsid w:val="00E83EF5"/>
    <w:rsid w:val="00ED10A0"/>
    <w:rsid w:val="00EE0A16"/>
    <w:rsid w:val="00F04E92"/>
    <w:rsid w:val="00F22153"/>
    <w:rsid w:val="00F23E84"/>
    <w:rsid w:val="00F35544"/>
    <w:rsid w:val="00FA56E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39A7A84"/>
  <w15:chartTrackingRefBased/>
  <w15:docId w15:val="{7F2DE990-4A47-46AD-B9E1-8AE9D89693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517E"/>
  </w:style>
  <w:style w:type="paragraph" w:styleId="Heading1">
    <w:name w:val="heading 1"/>
    <w:basedOn w:val="Normal"/>
    <w:next w:val="Normal"/>
    <w:link w:val="Heading1Char"/>
    <w:uiPriority w:val="9"/>
    <w:qFormat/>
    <w:rsid w:val="001E396B"/>
    <w:pPr>
      <w:keepNext/>
      <w:keepLines/>
      <w:spacing w:before="120" w:after="240"/>
      <w:outlineLvl w:val="0"/>
    </w:pPr>
    <w:rPr>
      <w:rFonts w:eastAsiaTheme="majorEastAsia" w:cstheme="majorBidi"/>
      <w:b/>
      <w:bCs/>
      <w:color w:val="04526C"/>
      <w:sz w:val="36"/>
      <w:szCs w:val="28"/>
    </w:rPr>
  </w:style>
  <w:style w:type="paragraph" w:styleId="Heading2">
    <w:name w:val="heading 2"/>
    <w:basedOn w:val="Normal"/>
    <w:next w:val="Normal"/>
    <w:link w:val="Heading2Char"/>
    <w:uiPriority w:val="9"/>
    <w:unhideWhenUsed/>
    <w:qFormat/>
    <w:rsid w:val="001E396B"/>
    <w:pPr>
      <w:keepNext/>
      <w:keepLines/>
      <w:spacing w:before="240" w:after="40"/>
      <w:outlineLvl w:val="1"/>
    </w:pPr>
    <w:rPr>
      <w:rFonts w:eastAsiaTheme="majorEastAsia" w:cstheme="majorBidi"/>
      <w:b/>
      <w:bCs/>
      <w:color w:val="0D0D0D" w:themeColor="text1" w:themeTint="F2"/>
      <w:sz w:val="24"/>
      <w:szCs w:val="26"/>
    </w:rPr>
  </w:style>
  <w:style w:type="paragraph" w:styleId="Heading3">
    <w:name w:val="heading 3"/>
    <w:basedOn w:val="Normal"/>
    <w:next w:val="Normal"/>
    <w:link w:val="Heading3Char"/>
    <w:uiPriority w:val="9"/>
    <w:semiHidden/>
    <w:unhideWhenUsed/>
    <w:qFormat/>
    <w:rsid w:val="003B2E9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E396B"/>
    <w:rPr>
      <w:rFonts w:eastAsiaTheme="majorEastAsia" w:cstheme="majorBidi"/>
      <w:b/>
      <w:bCs/>
      <w:color w:val="04526C"/>
      <w:sz w:val="36"/>
      <w:szCs w:val="28"/>
    </w:rPr>
  </w:style>
  <w:style w:type="character" w:customStyle="1" w:styleId="Heading2Char">
    <w:name w:val="Heading 2 Char"/>
    <w:basedOn w:val="DefaultParagraphFont"/>
    <w:link w:val="Heading2"/>
    <w:uiPriority w:val="9"/>
    <w:rsid w:val="001E396B"/>
    <w:rPr>
      <w:rFonts w:eastAsiaTheme="majorEastAsia" w:cstheme="majorBidi"/>
      <w:b/>
      <w:bCs/>
      <w:color w:val="0D0D0D" w:themeColor="text1" w:themeTint="F2"/>
      <w:sz w:val="24"/>
      <w:szCs w:val="26"/>
    </w:rPr>
  </w:style>
  <w:style w:type="character" w:customStyle="1" w:styleId="Heading3Char">
    <w:name w:val="Heading 3 Char"/>
    <w:basedOn w:val="DefaultParagraphFont"/>
    <w:link w:val="Heading3"/>
    <w:uiPriority w:val="9"/>
    <w:semiHidden/>
    <w:rsid w:val="003B2E9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paragraph" w:customStyle="1" w:styleId="Head14pt">
    <w:name w:val="Head)14pt"/>
    <w:basedOn w:val="BodyText"/>
    <w:uiPriority w:val="99"/>
    <w:rsid w:val="00513527"/>
    <w:pPr>
      <w:tabs>
        <w:tab w:val="left" w:pos="454"/>
      </w:tabs>
      <w:suppressAutoHyphens/>
      <w:autoSpaceDE w:val="0"/>
      <w:autoSpaceDN w:val="0"/>
      <w:adjustRightInd w:val="0"/>
      <w:spacing w:after="170" w:line="340" w:lineRule="atLeast"/>
      <w:ind w:left="454" w:hanging="454"/>
      <w:jc w:val="both"/>
      <w:textAlignment w:val="center"/>
    </w:pPr>
    <w:rPr>
      <w:rFonts w:ascii="Futura Heavy" w:hAnsi="Futura Heavy" w:cs="Futura Heavy"/>
      <w:color w:val="003D7D"/>
      <w:sz w:val="28"/>
      <w:szCs w:val="28"/>
      <w:lang w:val="en-GB"/>
    </w:rPr>
  </w:style>
  <w:style w:type="paragraph" w:styleId="BodyText">
    <w:name w:val="Body Text"/>
    <w:basedOn w:val="Normal"/>
    <w:link w:val="BodyTextChar"/>
    <w:uiPriority w:val="99"/>
    <w:semiHidden/>
    <w:unhideWhenUsed/>
    <w:rsid w:val="00513527"/>
    <w:pPr>
      <w:spacing w:after="120"/>
    </w:pPr>
  </w:style>
  <w:style w:type="character" w:customStyle="1" w:styleId="BodyTextChar">
    <w:name w:val="Body Text Char"/>
    <w:basedOn w:val="DefaultParagraphFont"/>
    <w:link w:val="BodyText"/>
    <w:uiPriority w:val="99"/>
    <w:semiHidden/>
    <w:rsid w:val="00513527"/>
  </w:style>
  <w:style w:type="table" w:styleId="TableGrid">
    <w:name w:val="Table Grid"/>
    <w:basedOn w:val="TableNormal"/>
    <w:uiPriority w:val="59"/>
    <w:rsid w:val="00BE7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1632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innovations/access-justice/vic-probono-referral-scheme"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enise.healy@fcfcoa.gov.au"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https://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624</Words>
  <Characters>3097</Characters>
  <Application>Microsoft Office Word</Application>
  <DocSecurity>0</DocSecurity>
  <Lines>134</Lines>
  <Paragraphs>53</Paragraphs>
  <ScaleCrop>false</ScaleCrop>
  <HeadingPairs>
    <vt:vector size="2" baseType="variant">
      <vt:variant>
        <vt:lpstr>Title</vt:lpstr>
      </vt:variant>
      <vt:variant>
        <vt:i4>1</vt:i4>
      </vt:variant>
    </vt:vector>
  </HeadingPairs>
  <TitlesOfParts>
    <vt:vector size="1" baseType="lpstr">
      <vt:lpstr>Media Release: Unrepresented litigants in Victoria navigating the family law system will benefit from pro-bono legal assistance scheme</vt:lpstr>
    </vt:vector>
  </TitlesOfParts>
  <Manager/>
  <Company/>
  <LinksUpToDate>false</LinksUpToDate>
  <CharactersWithSpaces>3668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Unrepresented litigants in Victoria navigating the family law system will benefit from pro-bono legal assistance scheme</dc:title>
  <dc:subject/>
  <dc:creator>Federal Circuit and Family Court of Australia</dc:creator>
  <cp:keywords/>
  <dc:description/>
  <cp:lastModifiedBy>Christine Tuff</cp:lastModifiedBy>
  <cp:revision>2</cp:revision>
  <dcterms:created xsi:type="dcterms:W3CDTF">2021-10-14T01:22:00Z</dcterms:created>
  <dcterms:modified xsi:type="dcterms:W3CDTF">2021-10-14T01:22:00Z</dcterms:modified>
</cp:coreProperties>
</file>