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B3A5191" w14:textId="375DF438" w:rsidR="00E11EB8" w:rsidRDefault="00AB7BFC" w:rsidP="00E11EB8">
      <w:pPr>
        <w:pStyle w:val="Heading1"/>
        <w:spacing w:before="480" w:after="360"/>
        <w:rPr>
          <w:noProof/>
        </w:rPr>
      </w:pPr>
      <w:r>
        <w:rPr>
          <w:noProof/>
        </w:rPr>
        <mc:AlternateContent>
          <mc:Choice Requires="wps">
            <w:drawing>
              <wp:anchor distT="0" distB="0" distL="114300" distR="114300" simplePos="0" relativeHeight="251659264" behindDoc="0" locked="0" layoutInCell="0" allowOverlap="1" wp14:anchorId="6B9917E8" wp14:editId="6B371C69">
                <wp:simplePos x="0" y="0"/>
                <wp:positionH relativeFrom="margin">
                  <wp:posOffset>3068620</wp:posOffset>
                </wp:positionH>
                <wp:positionV relativeFrom="line">
                  <wp:posOffset>-180711</wp:posOffset>
                </wp:positionV>
                <wp:extent cx="2865755" cy="266400"/>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400"/>
                        </a:xfrm>
                        <a:prstGeom prst="rect">
                          <a:avLst/>
                        </a:prstGeom>
                        <a:solidFill>
                          <a:schemeClr val="bg1">
                            <a:lumMod val="85000"/>
                          </a:schemeClr>
                        </a:solidFill>
                        <a:ln w="9525">
                          <a:solidFill>
                            <a:schemeClr val="bg1">
                              <a:lumMod val="85000"/>
                            </a:schemeClr>
                          </a:solidFill>
                          <a:miter lim="800000"/>
                          <a:headEnd/>
                          <a:tailEnd/>
                        </a:ln>
                        <a:extLst/>
                      </wps:spPr>
                      <wps:txbx>
                        <w:txbxContent>
                          <w:p w14:paraId="5A2D9093" w14:textId="73A85678" w:rsidR="00AB7BFC" w:rsidRPr="001A4EBF" w:rsidRDefault="00E11EB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w:t>
                            </w:r>
                            <w:r w:rsidR="00003D8B">
                              <w:rPr>
                                <w:rFonts w:asciiTheme="minorHAnsi" w:hAnsiTheme="minorHAnsi" w:cstheme="minorHAnsi"/>
                                <w:b/>
                                <w:color w:val="2E74B5" w:themeColor="accent1" w:themeShade="BF"/>
                                <w:sz w:val="22"/>
                                <w:szCs w:val="22"/>
                              </w:rPr>
                              <w:t>3</w:t>
                            </w:r>
                            <w:r>
                              <w:rPr>
                                <w:rFonts w:asciiTheme="minorHAnsi" w:hAnsiTheme="minorHAnsi" w:cstheme="minorHAnsi"/>
                                <w:b/>
                                <w:color w:val="2E74B5" w:themeColor="accent1" w:themeShade="BF"/>
                                <w:sz w:val="22"/>
                                <w:szCs w:val="22"/>
                              </w:rPr>
                              <w:t xml:space="preserve"> May</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left:0;text-align:left;margin-left:241.6pt;margin-top:-14.25pt;width:225.65pt;height:2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" o:allowincell="f" fillcolor="#d8d8d8 [2732]" strokecolor="#d8d8d8 [2732]">
                <v:textbox inset="2mm,0,0,0">
                  <w:txbxContent>
                    <w:p w14:paraId="5A2D9093" w14:textId="73A85678" w:rsidR="00AB7BFC" w:rsidRPr="001A4EBF" w:rsidRDefault="00E11EB8"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w:t>
                      </w:r>
                      <w:r w:rsidR="00003D8B">
                        <w:rPr>
                          <w:rFonts w:asciiTheme="minorHAnsi" w:hAnsiTheme="minorHAnsi" w:cstheme="minorHAnsi"/>
                          <w:b/>
                          <w:color w:val="2E74B5" w:themeColor="accent1" w:themeShade="BF"/>
                          <w:sz w:val="22"/>
                          <w:szCs w:val="22"/>
                        </w:rPr>
                        <w:t>3</w:t>
                      </w:r>
                      <w:r>
                        <w:rPr>
                          <w:rFonts w:asciiTheme="minorHAnsi" w:hAnsiTheme="minorHAnsi" w:cstheme="minorHAnsi"/>
                          <w:b/>
                          <w:color w:val="2E74B5" w:themeColor="accent1" w:themeShade="BF"/>
                          <w:sz w:val="22"/>
                          <w:szCs w:val="22"/>
                        </w:rPr>
                        <w:t xml:space="preserve"> May</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anchory="line"/>
              </v:shape>
            </w:pict>
          </mc:Fallback>
        </mc:AlternateContent>
      </w:r>
      <w:r w:rsidR="002F5CD8">
        <w:rPr>
          <w:noProof/>
        </w:rPr>
        <w:t>Tasmania to receive new judicial appointment</w:t>
      </w:r>
      <w:r w:rsidR="005C5449">
        <w:rPr>
          <w:noProof/>
        </w:rPr>
        <w:t>s</w:t>
      </w:r>
      <w:r w:rsidR="002F5CD8">
        <w:rPr>
          <w:noProof/>
        </w:rPr>
        <w:t xml:space="preserve"> to the </w:t>
      </w:r>
      <w:r w:rsidR="00E11EB8">
        <w:rPr>
          <w:noProof/>
        </w:rPr>
        <w:t>Family Court of Australia and Fed</w:t>
      </w:r>
      <w:r w:rsidR="00003D8B">
        <w:rPr>
          <w:noProof/>
        </w:rPr>
        <w:t>eral Circuit Court of Australia</w:t>
      </w:r>
    </w:p>
    <w:p w14:paraId="17AB1AF1" w14:textId="182D190C" w:rsidR="002F5CD8" w:rsidRPr="006D78FA" w:rsidRDefault="00E11EB8" w:rsidP="00003D8B">
      <w:pPr>
        <w:spacing w:line="276" w:lineRule="auto"/>
        <w:ind w:right="425"/>
        <w:rPr>
          <w:rFonts w:asciiTheme="minorHAnsi" w:hAnsiTheme="minorHAnsi" w:cstheme="minorHAnsi"/>
          <w:bCs/>
          <w:sz w:val="22"/>
          <w:szCs w:val="22"/>
        </w:rPr>
      </w:pPr>
      <w:r w:rsidRPr="006D78FA">
        <w:rPr>
          <w:rFonts w:asciiTheme="minorHAnsi" w:hAnsiTheme="minorHAnsi" w:cstheme="minorHAnsi"/>
          <w:bCs/>
          <w:sz w:val="22"/>
          <w:szCs w:val="22"/>
        </w:rPr>
        <w:t>The</w:t>
      </w:r>
      <w:r w:rsidR="003871D1" w:rsidRPr="006D78FA">
        <w:rPr>
          <w:rFonts w:asciiTheme="minorHAnsi" w:hAnsiTheme="minorHAnsi" w:cstheme="minorHAnsi"/>
          <w:bCs/>
          <w:sz w:val="22"/>
          <w:szCs w:val="22"/>
        </w:rPr>
        <w:t xml:space="preserve"> Family Court of Australia</w:t>
      </w:r>
      <w:r w:rsidRPr="006D78FA">
        <w:rPr>
          <w:rFonts w:asciiTheme="minorHAnsi" w:hAnsiTheme="minorHAnsi" w:cstheme="minorHAnsi"/>
          <w:bCs/>
          <w:sz w:val="22"/>
          <w:szCs w:val="22"/>
        </w:rPr>
        <w:t xml:space="preserve"> and Federal </w:t>
      </w:r>
      <w:r w:rsidR="003871D1" w:rsidRPr="006D78FA">
        <w:rPr>
          <w:rFonts w:asciiTheme="minorHAnsi" w:hAnsiTheme="minorHAnsi" w:cstheme="minorHAnsi"/>
          <w:bCs/>
          <w:sz w:val="22"/>
          <w:szCs w:val="22"/>
        </w:rPr>
        <w:t xml:space="preserve">Circuit Court of Australia </w:t>
      </w:r>
      <w:r w:rsidR="00AE2D7E" w:rsidRPr="006D78FA">
        <w:rPr>
          <w:rFonts w:asciiTheme="minorHAnsi" w:hAnsiTheme="minorHAnsi" w:cstheme="minorHAnsi"/>
          <w:bCs/>
          <w:sz w:val="22"/>
          <w:szCs w:val="22"/>
        </w:rPr>
        <w:t xml:space="preserve">(the Courts) </w:t>
      </w:r>
      <w:r w:rsidR="002F5CD8" w:rsidRPr="006D78FA">
        <w:rPr>
          <w:rFonts w:asciiTheme="minorHAnsi" w:hAnsiTheme="minorHAnsi" w:cstheme="minorHAnsi"/>
          <w:bCs/>
          <w:sz w:val="22"/>
          <w:szCs w:val="22"/>
        </w:rPr>
        <w:t xml:space="preserve">welcome the Government’s announcement of the </w:t>
      </w:r>
      <w:r w:rsidR="00130DB5" w:rsidRPr="006D78FA">
        <w:rPr>
          <w:rFonts w:asciiTheme="minorHAnsi" w:hAnsiTheme="minorHAnsi" w:cstheme="minorHAnsi"/>
          <w:bCs/>
          <w:sz w:val="22"/>
          <w:szCs w:val="22"/>
        </w:rPr>
        <w:t xml:space="preserve">following </w:t>
      </w:r>
      <w:r w:rsidR="002F5CD8" w:rsidRPr="006D78FA">
        <w:rPr>
          <w:rFonts w:asciiTheme="minorHAnsi" w:hAnsiTheme="minorHAnsi" w:cstheme="minorHAnsi"/>
          <w:bCs/>
          <w:sz w:val="22"/>
          <w:szCs w:val="22"/>
        </w:rPr>
        <w:t>appointment</w:t>
      </w:r>
      <w:r w:rsidR="00130DB5" w:rsidRPr="006D78FA">
        <w:rPr>
          <w:rFonts w:asciiTheme="minorHAnsi" w:hAnsiTheme="minorHAnsi" w:cstheme="minorHAnsi"/>
          <w:bCs/>
          <w:sz w:val="22"/>
          <w:szCs w:val="22"/>
        </w:rPr>
        <w:t xml:space="preserve">s </w:t>
      </w:r>
      <w:r w:rsidR="002F5CD8" w:rsidRPr="006D78FA">
        <w:rPr>
          <w:rFonts w:asciiTheme="minorHAnsi" w:hAnsiTheme="minorHAnsi" w:cstheme="minorHAnsi"/>
          <w:bCs/>
          <w:sz w:val="22"/>
          <w:szCs w:val="22"/>
        </w:rPr>
        <w:t xml:space="preserve">to </w:t>
      </w:r>
      <w:r w:rsidR="00130DB5" w:rsidRPr="006D78FA">
        <w:rPr>
          <w:rFonts w:asciiTheme="minorHAnsi" w:hAnsiTheme="minorHAnsi" w:cstheme="minorHAnsi"/>
          <w:bCs/>
          <w:sz w:val="22"/>
          <w:szCs w:val="22"/>
        </w:rPr>
        <w:t xml:space="preserve">the Courts in </w:t>
      </w:r>
      <w:r w:rsidR="002F5CD8" w:rsidRPr="006D78FA">
        <w:rPr>
          <w:rFonts w:asciiTheme="minorHAnsi" w:hAnsiTheme="minorHAnsi" w:cstheme="minorHAnsi"/>
          <w:bCs/>
          <w:sz w:val="22"/>
          <w:szCs w:val="22"/>
        </w:rPr>
        <w:t>Tasmania</w:t>
      </w:r>
      <w:r w:rsidR="00AE2D7E" w:rsidRPr="006D78FA">
        <w:rPr>
          <w:rFonts w:asciiTheme="minorHAnsi" w:hAnsiTheme="minorHAnsi" w:cstheme="minorHAnsi"/>
          <w:bCs/>
          <w:sz w:val="22"/>
          <w:szCs w:val="22"/>
        </w:rPr>
        <w:t>.</w:t>
      </w:r>
    </w:p>
    <w:p w14:paraId="0250ACF6" w14:textId="18319B71" w:rsidR="002F5CD8" w:rsidRPr="006D78FA" w:rsidRDefault="002F5CD8" w:rsidP="00003D8B">
      <w:pPr>
        <w:pStyle w:val="BodyText"/>
        <w:numPr>
          <w:ilvl w:val="0"/>
          <w:numId w:val="11"/>
        </w:numPr>
        <w:spacing w:before="240" w:line="276" w:lineRule="auto"/>
        <w:rPr>
          <w:rFonts w:asciiTheme="minorHAnsi" w:hAnsiTheme="minorHAnsi" w:cstheme="minorHAnsi"/>
          <w:bCs/>
          <w:sz w:val="22"/>
          <w:szCs w:val="22"/>
          <w:lang w:eastAsia="en-AU"/>
        </w:rPr>
      </w:pPr>
      <w:r w:rsidRPr="006D78FA">
        <w:rPr>
          <w:rFonts w:asciiTheme="minorHAnsi" w:hAnsiTheme="minorHAnsi" w:cstheme="minorHAnsi"/>
          <w:bCs/>
          <w:sz w:val="22"/>
          <w:szCs w:val="22"/>
          <w:lang w:eastAsia="en-AU"/>
        </w:rPr>
        <w:t>Judge Terr</w:t>
      </w:r>
      <w:r w:rsidR="003871D1" w:rsidRPr="006D78FA">
        <w:rPr>
          <w:rFonts w:asciiTheme="minorHAnsi" w:hAnsiTheme="minorHAnsi" w:cstheme="minorHAnsi"/>
          <w:bCs/>
          <w:sz w:val="22"/>
          <w:szCs w:val="22"/>
          <w:lang w:eastAsia="en-AU"/>
        </w:rPr>
        <w:t xml:space="preserve">y McGuire, elevated from the Federal Circuit Court of Australia to the Family Court of Australia, in the Hobart </w:t>
      </w:r>
      <w:r w:rsidR="00653B9F">
        <w:rPr>
          <w:rFonts w:asciiTheme="minorHAnsi" w:hAnsiTheme="minorHAnsi" w:cstheme="minorHAnsi"/>
          <w:bCs/>
          <w:sz w:val="22"/>
          <w:szCs w:val="22"/>
          <w:lang w:eastAsia="en-AU"/>
        </w:rPr>
        <w:t>r</w:t>
      </w:r>
      <w:r w:rsidR="003871D1" w:rsidRPr="006D78FA">
        <w:rPr>
          <w:rFonts w:asciiTheme="minorHAnsi" w:hAnsiTheme="minorHAnsi" w:cstheme="minorHAnsi"/>
          <w:bCs/>
          <w:sz w:val="22"/>
          <w:szCs w:val="22"/>
          <w:lang w:eastAsia="en-AU"/>
        </w:rPr>
        <w:t>egistry effective 2</w:t>
      </w:r>
      <w:r w:rsidR="005C7B8C">
        <w:rPr>
          <w:rFonts w:asciiTheme="minorHAnsi" w:hAnsiTheme="minorHAnsi" w:cstheme="minorHAnsi"/>
          <w:bCs/>
          <w:sz w:val="22"/>
          <w:szCs w:val="22"/>
          <w:lang w:eastAsia="en-AU"/>
        </w:rPr>
        <w:t>2</w:t>
      </w:r>
      <w:r w:rsidR="003871D1" w:rsidRPr="006D78FA">
        <w:rPr>
          <w:rFonts w:asciiTheme="minorHAnsi" w:hAnsiTheme="minorHAnsi" w:cstheme="minorHAnsi"/>
          <w:bCs/>
          <w:sz w:val="22"/>
          <w:szCs w:val="22"/>
          <w:lang w:eastAsia="en-AU"/>
        </w:rPr>
        <w:t xml:space="preserve"> May 2021</w:t>
      </w:r>
      <w:r w:rsidR="006D78FA" w:rsidRPr="006D78FA">
        <w:rPr>
          <w:rFonts w:asciiTheme="minorHAnsi" w:hAnsiTheme="minorHAnsi" w:cstheme="minorHAnsi"/>
          <w:bCs/>
          <w:sz w:val="22"/>
          <w:szCs w:val="22"/>
          <w:lang w:eastAsia="en-AU"/>
        </w:rPr>
        <w:t>,</w:t>
      </w:r>
    </w:p>
    <w:p w14:paraId="1C323E80" w14:textId="65084B27" w:rsidR="003871D1" w:rsidRPr="006D78FA" w:rsidRDefault="003871D1" w:rsidP="00003D8B">
      <w:pPr>
        <w:pStyle w:val="BodyText"/>
        <w:numPr>
          <w:ilvl w:val="0"/>
          <w:numId w:val="11"/>
        </w:numPr>
        <w:spacing w:line="276" w:lineRule="auto"/>
        <w:rPr>
          <w:rFonts w:asciiTheme="minorHAnsi" w:hAnsiTheme="minorHAnsi" w:cstheme="minorHAnsi"/>
          <w:bCs/>
          <w:sz w:val="22"/>
          <w:szCs w:val="22"/>
          <w:lang w:eastAsia="en-AU"/>
        </w:rPr>
      </w:pPr>
      <w:r w:rsidRPr="006D78FA">
        <w:rPr>
          <w:rFonts w:asciiTheme="minorHAnsi" w:hAnsiTheme="minorHAnsi" w:cstheme="minorHAnsi"/>
          <w:bCs/>
          <w:sz w:val="22"/>
          <w:szCs w:val="22"/>
          <w:lang w:eastAsia="en-AU"/>
        </w:rPr>
        <w:t xml:space="preserve">Barrister Sandra Taglieri SC, appointed to the Federal Circuit Court of Australia in the Hobart and </w:t>
      </w:r>
      <w:r w:rsidR="003328DC" w:rsidRPr="006D78FA">
        <w:rPr>
          <w:rFonts w:asciiTheme="minorHAnsi" w:hAnsiTheme="minorHAnsi" w:cstheme="minorHAnsi"/>
          <w:bCs/>
          <w:sz w:val="22"/>
          <w:szCs w:val="22"/>
          <w:lang w:eastAsia="en-AU"/>
        </w:rPr>
        <w:t>Launceston</w:t>
      </w:r>
      <w:r w:rsidRPr="006D78FA">
        <w:rPr>
          <w:rFonts w:asciiTheme="minorHAnsi" w:hAnsiTheme="minorHAnsi" w:cstheme="minorHAnsi"/>
          <w:bCs/>
          <w:sz w:val="22"/>
          <w:szCs w:val="22"/>
          <w:lang w:eastAsia="en-AU"/>
        </w:rPr>
        <w:t xml:space="preserve"> </w:t>
      </w:r>
      <w:r w:rsidR="00653B9F">
        <w:rPr>
          <w:rFonts w:asciiTheme="minorHAnsi" w:hAnsiTheme="minorHAnsi" w:cstheme="minorHAnsi"/>
          <w:bCs/>
          <w:sz w:val="22"/>
          <w:szCs w:val="22"/>
          <w:lang w:eastAsia="en-AU"/>
        </w:rPr>
        <w:t>r</w:t>
      </w:r>
      <w:r w:rsidRPr="006D78FA">
        <w:rPr>
          <w:rFonts w:asciiTheme="minorHAnsi" w:hAnsiTheme="minorHAnsi" w:cstheme="minorHAnsi"/>
          <w:bCs/>
          <w:sz w:val="22"/>
          <w:szCs w:val="22"/>
          <w:lang w:eastAsia="en-AU"/>
        </w:rPr>
        <w:t>egistries effective 18 May 2021</w:t>
      </w:r>
      <w:r w:rsidR="006D78FA" w:rsidRPr="006D78FA">
        <w:rPr>
          <w:rFonts w:asciiTheme="minorHAnsi" w:hAnsiTheme="minorHAnsi" w:cstheme="minorHAnsi"/>
          <w:bCs/>
          <w:sz w:val="22"/>
          <w:szCs w:val="22"/>
          <w:lang w:eastAsia="en-AU"/>
        </w:rPr>
        <w:t>,</w:t>
      </w:r>
      <w:r w:rsidR="00003D8B">
        <w:rPr>
          <w:rFonts w:asciiTheme="minorHAnsi" w:hAnsiTheme="minorHAnsi" w:cstheme="minorHAnsi"/>
          <w:bCs/>
          <w:sz w:val="22"/>
          <w:szCs w:val="22"/>
          <w:lang w:eastAsia="en-AU"/>
        </w:rPr>
        <w:t xml:space="preserve"> and</w:t>
      </w:r>
    </w:p>
    <w:p w14:paraId="6C080426" w14:textId="7BE9AC46" w:rsidR="002F5CD8" w:rsidRPr="006D78FA" w:rsidRDefault="003871D1" w:rsidP="00003D8B">
      <w:pPr>
        <w:pStyle w:val="BodyText"/>
        <w:numPr>
          <w:ilvl w:val="0"/>
          <w:numId w:val="11"/>
        </w:numPr>
        <w:spacing w:line="276" w:lineRule="auto"/>
        <w:rPr>
          <w:rFonts w:asciiTheme="minorHAnsi" w:hAnsiTheme="minorHAnsi" w:cstheme="minorHAnsi"/>
          <w:bCs/>
          <w:sz w:val="22"/>
          <w:szCs w:val="22"/>
          <w:lang w:eastAsia="en-AU"/>
        </w:rPr>
      </w:pPr>
      <w:r w:rsidRPr="006D78FA">
        <w:rPr>
          <w:rFonts w:asciiTheme="minorHAnsi" w:hAnsiTheme="minorHAnsi" w:cstheme="minorHAnsi"/>
          <w:bCs/>
          <w:sz w:val="22"/>
          <w:szCs w:val="22"/>
          <w:lang w:eastAsia="en-AU"/>
        </w:rPr>
        <w:t>Solicitor</w:t>
      </w:r>
      <w:r w:rsidR="00463D85" w:rsidRPr="006D78FA">
        <w:rPr>
          <w:rFonts w:asciiTheme="minorHAnsi" w:hAnsiTheme="minorHAnsi" w:cstheme="minorHAnsi"/>
          <w:bCs/>
          <w:sz w:val="22"/>
          <w:szCs w:val="22"/>
          <w:lang w:eastAsia="en-AU"/>
        </w:rPr>
        <w:t xml:space="preserve"> </w:t>
      </w:r>
      <w:r w:rsidR="00736032" w:rsidRPr="006D78FA">
        <w:rPr>
          <w:rFonts w:asciiTheme="minorHAnsi" w:hAnsiTheme="minorHAnsi" w:cstheme="minorHAnsi"/>
          <w:bCs/>
          <w:sz w:val="22"/>
          <w:szCs w:val="22"/>
          <w:lang w:eastAsia="en-AU"/>
        </w:rPr>
        <w:t>Marcus Turnbull SC</w:t>
      </w:r>
      <w:r w:rsidRPr="006D78FA">
        <w:rPr>
          <w:rFonts w:asciiTheme="minorHAnsi" w:hAnsiTheme="minorHAnsi" w:cstheme="minorHAnsi"/>
          <w:bCs/>
          <w:sz w:val="22"/>
          <w:szCs w:val="22"/>
          <w:lang w:eastAsia="en-AU"/>
        </w:rPr>
        <w:t xml:space="preserve">, appointed to the Federal Circuit Court of Australia in the Hobart and </w:t>
      </w:r>
      <w:r w:rsidR="003328DC" w:rsidRPr="006D78FA">
        <w:rPr>
          <w:rFonts w:asciiTheme="minorHAnsi" w:hAnsiTheme="minorHAnsi" w:cstheme="minorHAnsi"/>
          <w:bCs/>
          <w:sz w:val="22"/>
          <w:szCs w:val="22"/>
          <w:lang w:eastAsia="en-AU"/>
        </w:rPr>
        <w:t>Launceston</w:t>
      </w:r>
      <w:r w:rsidRPr="006D78FA">
        <w:rPr>
          <w:rFonts w:asciiTheme="minorHAnsi" w:hAnsiTheme="minorHAnsi" w:cstheme="minorHAnsi"/>
          <w:bCs/>
          <w:sz w:val="22"/>
          <w:szCs w:val="22"/>
          <w:lang w:eastAsia="en-AU"/>
        </w:rPr>
        <w:t xml:space="preserve"> </w:t>
      </w:r>
      <w:r w:rsidR="00653B9F">
        <w:rPr>
          <w:rFonts w:asciiTheme="minorHAnsi" w:hAnsiTheme="minorHAnsi" w:cstheme="minorHAnsi"/>
          <w:bCs/>
          <w:sz w:val="22"/>
          <w:szCs w:val="22"/>
          <w:lang w:eastAsia="en-AU"/>
        </w:rPr>
        <w:t>r</w:t>
      </w:r>
      <w:r w:rsidRPr="006D78FA">
        <w:rPr>
          <w:rFonts w:asciiTheme="minorHAnsi" w:hAnsiTheme="minorHAnsi" w:cstheme="minorHAnsi"/>
          <w:bCs/>
          <w:sz w:val="22"/>
          <w:szCs w:val="22"/>
          <w:lang w:eastAsia="en-AU"/>
        </w:rPr>
        <w:t>egistries effective 24 May 2021.</w:t>
      </w:r>
    </w:p>
    <w:p w14:paraId="79ECDB25" w14:textId="77777777" w:rsidR="003871D1" w:rsidRPr="006D78FA" w:rsidRDefault="00736032" w:rsidP="00003D8B">
      <w:pPr>
        <w:spacing w:before="240" w:line="276" w:lineRule="auto"/>
        <w:ind w:right="425"/>
        <w:rPr>
          <w:rFonts w:asciiTheme="minorHAnsi" w:hAnsiTheme="minorHAnsi" w:cstheme="minorHAnsi"/>
          <w:bCs/>
          <w:sz w:val="22"/>
          <w:szCs w:val="22"/>
        </w:rPr>
      </w:pPr>
      <w:r w:rsidRPr="006D78FA">
        <w:rPr>
          <w:rFonts w:asciiTheme="minorHAnsi" w:hAnsiTheme="minorHAnsi" w:cstheme="minorHAnsi"/>
          <w:bCs/>
          <w:sz w:val="22"/>
          <w:szCs w:val="22"/>
        </w:rPr>
        <w:t>The Courts welcome these much-needed appointments</w:t>
      </w:r>
      <w:r w:rsidR="00B54252" w:rsidRPr="006D78FA">
        <w:rPr>
          <w:rFonts w:asciiTheme="minorHAnsi" w:hAnsiTheme="minorHAnsi" w:cstheme="minorHAnsi"/>
          <w:bCs/>
          <w:sz w:val="22"/>
          <w:szCs w:val="22"/>
        </w:rPr>
        <w:t xml:space="preserve">. </w:t>
      </w:r>
    </w:p>
    <w:p w14:paraId="4CDE5F8B" w14:textId="77777777" w:rsidR="00463D85" w:rsidRPr="006D78FA" w:rsidRDefault="00463D85" w:rsidP="00003D8B">
      <w:pPr>
        <w:spacing w:before="240" w:line="276" w:lineRule="auto"/>
        <w:ind w:right="425"/>
        <w:rPr>
          <w:rFonts w:asciiTheme="minorHAnsi" w:hAnsiTheme="minorHAnsi" w:cstheme="minorHAnsi"/>
          <w:bCs/>
          <w:sz w:val="22"/>
          <w:szCs w:val="22"/>
          <w:lang w:eastAsia="zh-CN"/>
        </w:rPr>
      </w:pPr>
      <w:r w:rsidRPr="006D78FA">
        <w:rPr>
          <w:rFonts w:asciiTheme="minorHAnsi" w:hAnsiTheme="minorHAnsi" w:cstheme="minorHAnsi"/>
          <w:bCs/>
          <w:sz w:val="22"/>
          <w:szCs w:val="22"/>
          <w:lang w:eastAsia="zh-CN"/>
        </w:rPr>
        <w:t>The Chief Justice of the Family Court of Australia and Chief Judge of the Federal Circuit Court of Australia, the Hon Will Alstergren said that the Courts have been working incredibly hard to secure new judicial appointments and funding.</w:t>
      </w:r>
    </w:p>
    <w:p w14:paraId="2F02492A" w14:textId="2A7617CA" w:rsidR="003871D1" w:rsidRPr="006D78FA" w:rsidRDefault="003871D1" w:rsidP="00003D8B">
      <w:pPr>
        <w:spacing w:before="240" w:line="276" w:lineRule="auto"/>
        <w:ind w:right="425"/>
        <w:rPr>
          <w:rFonts w:asciiTheme="minorHAnsi" w:hAnsiTheme="minorHAnsi" w:cstheme="minorHAnsi"/>
          <w:bCs/>
          <w:sz w:val="22"/>
          <w:szCs w:val="22"/>
          <w:lang w:eastAsia="zh-CN"/>
        </w:rPr>
      </w:pPr>
      <w:r w:rsidRPr="006D78FA">
        <w:rPr>
          <w:rFonts w:asciiTheme="minorHAnsi" w:hAnsiTheme="minorHAnsi" w:cstheme="minorHAnsi"/>
          <w:bCs/>
          <w:sz w:val="22"/>
          <w:szCs w:val="22"/>
          <w:lang w:eastAsia="zh-CN"/>
        </w:rPr>
        <w:t xml:space="preserve">“I am absolutely delighted to welcome such highly qualified and experienced judges to our Courts who are Tasmanian locals. They take on an important role in administering justice and dealing with critical family law and other disputes. </w:t>
      </w:r>
      <w:r w:rsidR="008F4B04" w:rsidRPr="006D78FA">
        <w:rPr>
          <w:rFonts w:asciiTheme="minorHAnsi" w:hAnsiTheme="minorHAnsi" w:cstheme="minorHAnsi"/>
          <w:bCs/>
          <w:sz w:val="22"/>
          <w:szCs w:val="22"/>
          <w:lang w:eastAsia="zh-CN"/>
        </w:rPr>
        <w:t xml:space="preserve">Judge Terry McGuire has been an extremely busy and highly accomplished judge of the Federal Circuit Court for 12 years. Sandra Taglieri SC is a very experienced </w:t>
      </w:r>
      <w:r w:rsidR="00474EBE" w:rsidRPr="006D78FA">
        <w:rPr>
          <w:rFonts w:asciiTheme="minorHAnsi" w:hAnsiTheme="minorHAnsi" w:cstheme="minorHAnsi"/>
          <w:bCs/>
          <w:sz w:val="22"/>
          <w:szCs w:val="22"/>
          <w:lang w:eastAsia="zh-CN"/>
        </w:rPr>
        <w:t>B</w:t>
      </w:r>
      <w:r w:rsidR="008F4B04" w:rsidRPr="006D78FA">
        <w:rPr>
          <w:rFonts w:asciiTheme="minorHAnsi" w:hAnsiTheme="minorHAnsi" w:cstheme="minorHAnsi"/>
          <w:bCs/>
          <w:sz w:val="22"/>
          <w:szCs w:val="22"/>
          <w:lang w:eastAsia="zh-CN"/>
        </w:rPr>
        <w:t>arrister</w:t>
      </w:r>
      <w:r w:rsidR="00AE2D7E" w:rsidRPr="006D78FA">
        <w:rPr>
          <w:rFonts w:asciiTheme="minorHAnsi" w:hAnsiTheme="minorHAnsi" w:cstheme="minorHAnsi"/>
          <w:bCs/>
          <w:sz w:val="22"/>
          <w:szCs w:val="22"/>
          <w:lang w:eastAsia="zh-CN"/>
        </w:rPr>
        <w:t xml:space="preserve"> and</w:t>
      </w:r>
      <w:r w:rsidR="008F4B04" w:rsidRPr="006D78FA">
        <w:rPr>
          <w:rFonts w:asciiTheme="minorHAnsi" w:hAnsiTheme="minorHAnsi" w:cstheme="minorHAnsi"/>
          <w:bCs/>
          <w:sz w:val="22"/>
          <w:szCs w:val="22"/>
          <w:lang w:eastAsia="zh-CN"/>
        </w:rPr>
        <w:t xml:space="preserve"> the immediate past President of the Tasmanian Bar. </w:t>
      </w:r>
      <w:r w:rsidR="00463D85" w:rsidRPr="006D78FA">
        <w:rPr>
          <w:rFonts w:asciiTheme="minorHAnsi" w:hAnsiTheme="minorHAnsi" w:cstheme="minorHAnsi"/>
          <w:bCs/>
          <w:sz w:val="22"/>
          <w:szCs w:val="22"/>
          <w:lang w:eastAsia="zh-CN"/>
        </w:rPr>
        <w:t xml:space="preserve">Barrister </w:t>
      </w:r>
      <w:r w:rsidR="008F4B04" w:rsidRPr="006D78FA">
        <w:rPr>
          <w:rFonts w:asciiTheme="minorHAnsi" w:hAnsiTheme="minorHAnsi" w:cstheme="minorHAnsi"/>
          <w:bCs/>
          <w:sz w:val="22"/>
          <w:szCs w:val="22"/>
          <w:lang w:eastAsia="zh-CN"/>
        </w:rPr>
        <w:t>Marcus Turnbull SC is a partner at</w:t>
      </w:r>
      <w:r w:rsidR="00AE2D7E" w:rsidRPr="006D78FA">
        <w:rPr>
          <w:rFonts w:asciiTheme="minorHAnsi" w:hAnsiTheme="minorHAnsi" w:cstheme="minorHAnsi"/>
          <w:bCs/>
          <w:sz w:val="22"/>
          <w:szCs w:val="22"/>
          <w:lang w:eastAsia="zh-CN"/>
        </w:rPr>
        <w:t xml:space="preserve"> Ogilvie Jennings</w:t>
      </w:r>
      <w:r w:rsidR="00653B9F">
        <w:rPr>
          <w:rFonts w:asciiTheme="minorHAnsi" w:hAnsiTheme="minorHAnsi" w:cstheme="minorHAnsi"/>
          <w:bCs/>
          <w:sz w:val="22"/>
          <w:szCs w:val="22"/>
          <w:lang w:eastAsia="zh-CN"/>
        </w:rPr>
        <w:t xml:space="preserve"> and </w:t>
      </w:r>
      <w:r w:rsidR="00474EBE" w:rsidRPr="006D78FA">
        <w:rPr>
          <w:rFonts w:asciiTheme="minorHAnsi" w:hAnsiTheme="minorHAnsi" w:cstheme="minorHAnsi"/>
          <w:bCs/>
          <w:sz w:val="22"/>
          <w:szCs w:val="22"/>
          <w:lang w:eastAsia="zh-CN"/>
        </w:rPr>
        <w:t>is</w:t>
      </w:r>
      <w:r w:rsidR="008F4B04" w:rsidRPr="006D78FA">
        <w:rPr>
          <w:rFonts w:asciiTheme="minorHAnsi" w:hAnsiTheme="minorHAnsi" w:cstheme="minorHAnsi"/>
          <w:bCs/>
          <w:sz w:val="22"/>
          <w:szCs w:val="22"/>
          <w:lang w:eastAsia="zh-CN"/>
        </w:rPr>
        <w:t xml:space="preserve"> a very experienced solicitor and advocate. Both </w:t>
      </w:r>
      <w:r w:rsidR="00AE2D7E" w:rsidRPr="006D78FA">
        <w:rPr>
          <w:rFonts w:asciiTheme="minorHAnsi" w:hAnsiTheme="minorHAnsi" w:cstheme="minorHAnsi"/>
          <w:bCs/>
          <w:sz w:val="22"/>
          <w:szCs w:val="22"/>
          <w:lang w:eastAsia="zh-CN"/>
        </w:rPr>
        <w:t>are</w:t>
      </w:r>
      <w:r w:rsidR="008F4B04" w:rsidRPr="006D78FA">
        <w:rPr>
          <w:rFonts w:asciiTheme="minorHAnsi" w:hAnsiTheme="minorHAnsi" w:cstheme="minorHAnsi"/>
          <w:bCs/>
          <w:sz w:val="22"/>
          <w:szCs w:val="22"/>
          <w:lang w:eastAsia="zh-CN"/>
        </w:rPr>
        <w:t xml:space="preserve"> senior counsel, are highly regarded</w:t>
      </w:r>
      <w:r w:rsidR="00AE2D7E" w:rsidRPr="006D78FA">
        <w:rPr>
          <w:rFonts w:asciiTheme="minorHAnsi" w:hAnsiTheme="minorHAnsi" w:cstheme="minorHAnsi"/>
          <w:bCs/>
          <w:sz w:val="22"/>
          <w:szCs w:val="22"/>
          <w:lang w:eastAsia="zh-CN"/>
        </w:rPr>
        <w:t>,</w:t>
      </w:r>
      <w:r w:rsidR="008F4B04" w:rsidRPr="006D78FA">
        <w:rPr>
          <w:rFonts w:asciiTheme="minorHAnsi" w:hAnsiTheme="minorHAnsi" w:cstheme="minorHAnsi"/>
          <w:bCs/>
          <w:sz w:val="22"/>
          <w:szCs w:val="22"/>
          <w:lang w:eastAsia="zh-CN"/>
        </w:rPr>
        <w:t xml:space="preserve"> and</w:t>
      </w:r>
      <w:r w:rsidR="00003D8B">
        <w:rPr>
          <w:rFonts w:asciiTheme="minorHAnsi" w:hAnsiTheme="minorHAnsi" w:cstheme="minorHAnsi"/>
          <w:bCs/>
          <w:sz w:val="22"/>
          <w:szCs w:val="22"/>
          <w:lang w:eastAsia="zh-CN"/>
        </w:rPr>
        <w:t xml:space="preserve"> are leaders in the profession.</w:t>
      </w:r>
    </w:p>
    <w:p w14:paraId="3A63A0E1" w14:textId="74DD2D47" w:rsidR="003871D1" w:rsidRPr="006D78FA" w:rsidRDefault="003871D1" w:rsidP="00003D8B">
      <w:pPr>
        <w:spacing w:before="240" w:line="276" w:lineRule="auto"/>
        <w:ind w:right="425"/>
        <w:rPr>
          <w:rFonts w:asciiTheme="minorHAnsi" w:hAnsiTheme="minorHAnsi" w:cstheme="minorHAnsi"/>
          <w:bCs/>
          <w:sz w:val="22"/>
          <w:szCs w:val="22"/>
          <w:lang w:eastAsia="zh-CN"/>
        </w:rPr>
      </w:pPr>
      <w:r w:rsidRPr="006D78FA">
        <w:rPr>
          <w:rFonts w:asciiTheme="minorHAnsi" w:hAnsiTheme="minorHAnsi" w:cstheme="minorHAnsi"/>
          <w:bCs/>
          <w:sz w:val="22"/>
          <w:szCs w:val="22"/>
          <w:lang w:eastAsia="zh-CN"/>
        </w:rPr>
        <w:t xml:space="preserve">“The appointments come at an exciting time of change for the Courts, as the new amalgamated Federal Circuit and Family Court of Australia commences on 1 September 2021,” </w:t>
      </w:r>
      <w:r w:rsidR="00AE2D7E" w:rsidRPr="006D78FA">
        <w:rPr>
          <w:rFonts w:asciiTheme="minorHAnsi" w:hAnsiTheme="minorHAnsi" w:cstheme="minorHAnsi"/>
          <w:bCs/>
          <w:sz w:val="22"/>
          <w:szCs w:val="22"/>
          <w:lang w:eastAsia="zh-CN"/>
        </w:rPr>
        <w:t>the Chief Justice added.</w:t>
      </w:r>
    </w:p>
    <w:p w14:paraId="36C776D4" w14:textId="1B1FB39A" w:rsidR="00704F29" w:rsidRPr="006D78FA" w:rsidRDefault="00B54252" w:rsidP="00003D8B">
      <w:pPr>
        <w:spacing w:before="240" w:line="276" w:lineRule="auto"/>
        <w:ind w:right="425"/>
        <w:rPr>
          <w:rFonts w:asciiTheme="minorHAnsi" w:hAnsiTheme="minorHAnsi" w:cstheme="minorHAnsi"/>
          <w:bCs/>
          <w:sz w:val="22"/>
          <w:szCs w:val="22"/>
          <w:lang w:eastAsia="zh-CN"/>
        </w:rPr>
      </w:pPr>
      <w:r w:rsidRPr="006D78FA">
        <w:rPr>
          <w:rFonts w:asciiTheme="minorHAnsi" w:hAnsiTheme="minorHAnsi" w:cstheme="minorHAnsi"/>
          <w:bCs/>
          <w:sz w:val="22"/>
          <w:szCs w:val="22"/>
        </w:rPr>
        <w:t xml:space="preserve">This </w:t>
      </w:r>
      <w:r w:rsidR="00736032" w:rsidRPr="006D78FA">
        <w:rPr>
          <w:rFonts w:asciiTheme="minorHAnsi" w:hAnsiTheme="minorHAnsi" w:cstheme="minorHAnsi"/>
          <w:bCs/>
          <w:sz w:val="22"/>
          <w:szCs w:val="22"/>
        </w:rPr>
        <w:t xml:space="preserve">announcement follows the allocation </w:t>
      </w:r>
      <w:r w:rsidRPr="006D78FA">
        <w:rPr>
          <w:rFonts w:asciiTheme="minorHAnsi" w:hAnsiTheme="minorHAnsi" w:cstheme="minorHAnsi"/>
          <w:bCs/>
          <w:sz w:val="22"/>
          <w:szCs w:val="22"/>
        </w:rPr>
        <w:t xml:space="preserve">of </w:t>
      </w:r>
      <w:r w:rsidR="00736032" w:rsidRPr="006D78FA">
        <w:rPr>
          <w:rFonts w:asciiTheme="minorHAnsi" w:hAnsiTheme="minorHAnsi" w:cstheme="minorHAnsi"/>
          <w:bCs/>
          <w:sz w:val="22"/>
          <w:szCs w:val="22"/>
        </w:rPr>
        <w:t>$100</w:t>
      </w:r>
      <w:r w:rsidR="00AB4269" w:rsidRPr="006D78FA">
        <w:rPr>
          <w:rFonts w:asciiTheme="minorHAnsi" w:hAnsiTheme="minorHAnsi" w:cstheme="minorHAnsi"/>
          <w:bCs/>
          <w:sz w:val="22"/>
          <w:szCs w:val="22"/>
        </w:rPr>
        <w:t xml:space="preserve"> </w:t>
      </w:r>
      <w:r w:rsidR="00736032" w:rsidRPr="006D78FA">
        <w:rPr>
          <w:rFonts w:asciiTheme="minorHAnsi" w:hAnsiTheme="minorHAnsi" w:cstheme="minorHAnsi"/>
          <w:bCs/>
          <w:sz w:val="22"/>
          <w:szCs w:val="22"/>
        </w:rPr>
        <w:t xml:space="preserve">million of additional resources to the </w:t>
      </w:r>
      <w:hyperlink r:id="rId8" w:history="1">
        <w:r w:rsidR="00736032" w:rsidRPr="006D78FA">
          <w:rPr>
            <w:rStyle w:val="Hyperlink"/>
            <w:rFonts w:asciiTheme="minorHAnsi" w:hAnsiTheme="minorHAnsi" w:cstheme="minorHAnsi"/>
            <w:bCs/>
            <w:sz w:val="22"/>
            <w:szCs w:val="22"/>
          </w:rPr>
          <w:t>Courts</w:t>
        </w:r>
        <w:r w:rsidR="00AB4269" w:rsidRPr="006D78FA">
          <w:rPr>
            <w:rStyle w:val="Hyperlink"/>
            <w:rFonts w:asciiTheme="minorHAnsi" w:hAnsiTheme="minorHAnsi" w:cstheme="minorHAnsi"/>
            <w:bCs/>
            <w:sz w:val="22"/>
            <w:szCs w:val="22"/>
          </w:rPr>
          <w:t xml:space="preserve"> </w:t>
        </w:r>
        <w:r w:rsidRPr="006D78FA">
          <w:rPr>
            <w:rStyle w:val="Hyperlink"/>
            <w:rFonts w:asciiTheme="minorHAnsi" w:hAnsiTheme="minorHAnsi" w:cstheme="minorHAnsi"/>
            <w:bCs/>
            <w:sz w:val="22"/>
            <w:szCs w:val="22"/>
          </w:rPr>
          <w:t xml:space="preserve">as </w:t>
        </w:r>
        <w:r w:rsidR="00AB4269" w:rsidRPr="006D78FA">
          <w:rPr>
            <w:rStyle w:val="Hyperlink"/>
            <w:rFonts w:asciiTheme="minorHAnsi" w:hAnsiTheme="minorHAnsi" w:cstheme="minorHAnsi"/>
            <w:bCs/>
            <w:sz w:val="22"/>
            <w:szCs w:val="22"/>
          </w:rPr>
          <w:t>announced</w:t>
        </w:r>
        <w:r w:rsidR="00736032" w:rsidRPr="006D78FA">
          <w:rPr>
            <w:rStyle w:val="Hyperlink"/>
            <w:rFonts w:asciiTheme="minorHAnsi" w:hAnsiTheme="minorHAnsi" w:cstheme="minorHAnsi"/>
            <w:bCs/>
            <w:sz w:val="22"/>
            <w:szCs w:val="22"/>
          </w:rPr>
          <w:t xml:space="preserve"> in the federal 2021-22 Budget</w:t>
        </w:r>
      </w:hyperlink>
      <w:r w:rsidR="00736032" w:rsidRPr="006D78FA">
        <w:rPr>
          <w:rFonts w:asciiTheme="minorHAnsi" w:hAnsiTheme="minorHAnsi" w:cstheme="minorHAnsi"/>
          <w:bCs/>
          <w:sz w:val="22"/>
          <w:szCs w:val="22"/>
        </w:rPr>
        <w:t>. Th</w:t>
      </w:r>
      <w:r w:rsidRPr="006D78FA">
        <w:rPr>
          <w:rFonts w:asciiTheme="minorHAnsi" w:hAnsiTheme="minorHAnsi" w:cstheme="minorHAnsi"/>
          <w:bCs/>
          <w:sz w:val="22"/>
          <w:szCs w:val="22"/>
        </w:rPr>
        <w:t>ose resources</w:t>
      </w:r>
      <w:r w:rsidR="00736032" w:rsidRPr="006D78FA">
        <w:rPr>
          <w:rFonts w:asciiTheme="minorHAnsi" w:hAnsiTheme="minorHAnsi" w:cstheme="minorHAnsi"/>
          <w:bCs/>
          <w:sz w:val="22"/>
          <w:szCs w:val="22"/>
        </w:rPr>
        <w:t xml:space="preserve">, together with </w:t>
      </w:r>
      <w:r w:rsidRPr="006D78FA">
        <w:rPr>
          <w:rFonts w:asciiTheme="minorHAnsi" w:hAnsiTheme="minorHAnsi" w:cstheme="minorHAnsi"/>
          <w:bCs/>
          <w:sz w:val="22"/>
          <w:szCs w:val="22"/>
        </w:rPr>
        <w:t xml:space="preserve">other recent funding, </w:t>
      </w:r>
      <w:r w:rsidR="00E11EB8" w:rsidRPr="006D78FA">
        <w:rPr>
          <w:rFonts w:asciiTheme="minorHAnsi" w:hAnsiTheme="minorHAnsi" w:cstheme="minorHAnsi"/>
          <w:bCs/>
          <w:sz w:val="22"/>
          <w:szCs w:val="22"/>
        </w:rPr>
        <w:t xml:space="preserve">allows for </w:t>
      </w:r>
      <w:r w:rsidR="00704F29" w:rsidRPr="006D78FA">
        <w:rPr>
          <w:rFonts w:asciiTheme="minorHAnsi" w:hAnsiTheme="minorHAnsi" w:cstheme="minorHAnsi"/>
          <w:bCs/>
          <w:sz w:val="22"/>
          <w:szCs w:val="22"/>
        </w:rPr>
        <w:t xml:space="preserve">an </w:t>
      </w:r>
      <w:r w:rsidR="00704F29" w:rsidRPr="006D78FA">
        <w:rPr>
          <w:rFonts w:asciiTheme="minorHAnsi" w:hAnsiTheme="minorHAnsi" w:cstheme="minorHAnsi"/>
          <w:bCs/>
          <w:sz w:val="22"/>
          <w:szCs w:val="22"/>
          <w:lang w:eastAsia="zh-CN"/>
        </w:rPr>
        <w:t xml:space="preserve">increase of judges in the FCC from 68 to 76, and an increase </w:t>
      </w:r>
      <w:r w:rsidR="00BC52AF" w:rsidRPr="006D78FA">
        <w:rPr>
          <w:rFonts w:asciiTheme="minorHAnsi" w:hAnsiTheme="minorHAnsi" w:cstheme="minorHAnsi"/>
          <w:bCs/>
          <w:sz w:val="22"/>
          <w:szCs w:val="22"/>
          <w:lang w:eastAsia="zh-CN"/>
        </w:rPr>
        <w:t xml:space="preserve">of </w:t>
      </w:r>
      <w:r w:rsidR="00704F29" w:rsidRPr="006D78FA">
        <w:rPr>
          <w:rFonts w:asciiTheme="minorHAnsi" w:hAnsiTheme="minorHAnsi" w:cstheme="minorHAnsi"/>
          <w:bCs/>
          <w:sz w:val="22"/>
          <w:szCs w:val="22"/>
          <w:lang w:eastAsia="zh-CN"/>
        </w:rPr>
        <w:t>judges in the FCoA from 33 to 35 –</w:t>
      </w:r>
      <w:r w:rsidRPr="006D78FA">
        <w:rPr>
          <w:rFonts w:asciiTheme="minorHAnsi" w:hAnsiTheme="minorHAnsi" w:cstheme="minorHAnsi"/>
          <w:bCs/>
          <w:sz w:val="22"/>
          <w:szCs w:val="22"/>
          <w:lang w:eastAsia="zh-CN"/>
        </w:rPr>
        <w:t xml:space="preserve"> </w:t>
      </w:r>
      <w:r w:rsidR="00704F29" w:rsidRPr="006D78FA">
        <w:rPr>
          <w:rFonts w:asciiTheme="minorHAnsi" w:hAnsiTheme="minorHAnsi" w:cstheme="minorHAnsi"/>
          <w:bCs/>
          <w:sz w:val="22"/>
          <w:szCs w:val="22"/>
          <w:lang w:eastAsia="zh-CN"/>
        </w:rPr>
        <w:t>a</w:t>
      </w:r>
      <w:r w:rsidR="00BC52AF" w:rsidRPr="006D78FA">
        <w:rPr>
          <w:rFonts w:asciiTheme="minorHAnsi" w:hAnsiTheme="minorHAnsi" w:cstheme="minorHAnsi"/>
          <w:bCs/>
          <w:sz w:val="22"/>
          <w:szCs w:val="22"/>
          <w:lang w:eastAsia="zh-CN"/>
        </w:rPr>
        <w:t xml:space="preserve"> national </w:t>
      </w:r>
      <w:r w:rsidR="00704F29" w:rsidRPr="006D78FA">
        <w:rPr>
          <w:rFonts w:asciiTheme="minorHAnsi" w:hAnsiTheme="minorHAnsi" w:cstheme="minorHAnsi"/>
          <w:bCs/>
          <w:sz w:val="22"/>
          <w:szCs w:val="22"/>
          <w:lang w:eastAsia="zh-CN"/>
        </w:rPr>
        <w:t>increase of 10%.</w:t>
      </w:r>
    </w:p>
    <w:p w14:paraId="7348FBBD" w14:textId="34A796B6" w:rsidR="00003D8B" w:rsidRDefault="005C5449" w:rsidP="00003D8B">
      <w:pPr>
        <w:pStyle w:val="BodyText"/>
        <w:spacing w:before="240" w:line="276" w:lineRule="auto"/>
        <w:ind w:right="425"/>
        <w:rPr>
          <w:rFonts w:asciiTheme="minorHAnsi" w:hAnsiTheme="minorHAnsi" w:cstheme="minorHAnsi"/>
          <w:sz w:val="22"/>
          <w:szCs w:val="22"/>
        </w:rPr>
      </w:pPr>
      <w:r>
        <w:rPr>
          <w:rFonts w:asciiTheme="minorHAnsi" w:hAnsiTheme="minorHAnsi" w:cstheme="minorHAnsi"/>
          <w:sz w:val="22"/>
          <w:szCs w:val="22"/>
        </w:rPr>
        <w:t>In addition to the judicial appointments, the Courts have been funded for the employment nationally of (equivalent to) 112 family law positions, including senior registrars and other registrars, registrar support, family consultants plus support staff, Indigenous Liaison Officers, and legal associates.</w:t>
      </w:r>
      <w:r w:rsidR="00003D8B">
        <w:rPr>
          <w:rFonts w:asciiTheme="minorHAnsi" w:hAnsiTheme="minorHAnsi" w:cstheme="minorHAnsi"/>
          <w:sz w:val="22"/>
          <w:szCs w:val="22"/>
        </w:rPr>
        <w:br w:type="page"/>
      </w:r>
    </w:p>
    <w:p w14:paraId="113EDF4A" w14:textId="569252FA" w:rsidR="00130DB5" w:rsidRPr="006D78FA" w:rsidRDefault="00637A1D" w:rsidP="00003D8B">
      <w:pPr>
        <w:spacing w:before="240" w:line="276" w:lineRule="auto"/>
        <w:rPr>
          <w:rFonts w:asciiTheme="minorHAnsi" w:hAnsiTheme="minorHAnsi" w:cstheme="minorHAnsi"/>
          <w:bCs/>
          <w:sz w:val="22"/>
          <w:szCs w:val="22"/>
        </w:rPr>
      </w:pPr>
      <w:r w:rsidRPr="006D78FA">
        <w:rPr>
          <w:rFonts w:asciiTheme="minorHAnsi" w:hAnsiTheme="minorHAnsi" w:cstheme="minorHAnsi"/>
          <w:bCs/>
          <w:sz w:val="22"/>
          <w:szCs w:val="22"/>
        </w:rPr>
        <w:lastRenderedPageBreak/>
        <w:t xml:space="preserve">Justice McGuire’s appointment to the Family Court, replaces </w:t>
      </w:r>
      <w:r w:rsidR="00130DB5" w:rsidRPr="006D78FA">
        <w:rPr>
          <w:rFonts w:asciiTheme="minorHAnsi" w:hAnsiTheme="minorHAnsi" w:cstheme="minorHAnsi"/>
          <w:bCs/>
          <w:sz w:val="22"/>
          <w:szCs w:val="22"/>
        </w:rPr>
        <w:t>Justice Benjamin</w:t>
      </w:r>
      <w:r w:rsidRPr="006D78FA">
        <w:rPr>
          <w:rFonts w:asciiTheme="minorHAnsi" w:hAnsiTheme="minorHAnsi" w:cstheme="minorHAnsi"/>
          <w:bCs/>
          <w:sz w:val="22"/>
          <w:szCs w:val="22"/>
        </w:rPr>
        <w:t xml:space="preserve"> who, after almost 16 years of service to the Court in Tasmania, </w:t>
      </w:r>
      <w:r w:rsidR="00130DB5" w:rsidRPr="006D78FA">
        <w:rPr>
          <w:rFonts w:asciiTheme="minorHAnsi" w:hAnsiTheme="minorHAnsi" w:cstheme="minorHAnsi"/>
          <w:bCs/>
          <w:sz w:val="22"/>
          <w:szCs w:val="22"/>
        </w:rPr>
        <w:t>will officially retire on 21 May 2021</w:t>
      </w:r>
      <w:r w:rsidRPr="006D78FA">
        <w:rPr>
          <w:rFonts w:asciiTheme="minorHAnsi" w:hAnsiTheme="minorHAnsi" w:cstheme="minorHAnsi"/>
          <w:bCs/>
          <w:sz w:val="22"/>
          <w:szCs w:val="22"/>
        </w:rPr>
        <w:t xml:space="preserve">. Justice Benjamin then </w:t>
      </w:r>
      <w:r w:rsidR="00130DB5" w:rsidRPr="006D78FA">
        <w:rPr>
          <w:rFonts w:asciiTheme="minorHAnsi" w:hAnsiTheme="minorHAnsi" w:cstheme="minorHAnsi"/>
          <w:bCs/>
          <w:sz w:val="22"/>
          <w:szCs w:val="22"/>
        </w:rPr>
        <w:t>commence</w:t>
      </w:r>
      <w:r w:rsidRPr="006D78FA">
        <w:rPr>
          <w:rFonts w:asciiTheme="minorHAnsi" w:hAnsiTheme="minorHAnsi" w:cstheme="minorHAnsi"/>
          <w:bCs/>
          <w:sz w:val="22"/>
          <w:szCs w:val="22"/>
        </w:rPr>
        <w:t>s</w:t>
      </w:r>
      <w:r w:rsidR="00130DB5" w:rsidRPr="006D78FA">
        <w:rPr>
          <w:rFonts w:asciiTheme="minorHAnsi" w:hAnsiTheme="minorHAnsi" w:cstheme="minorHAnsi"/>
          <w:bCs/>
          <w:sz w:val="22"/>
          <w:szCs w:val="22"/>
        </w:rPr>
        <w:t xml:space="preserve"> his new role as Commissioner to assist the </w:t>
      </w:r>
      <w:hyperlink r:id="rId9" w:history="1">
        <w:r w:rsidR="00130DB5" w:rsidRPr="006D78FA">
          <w:rPr>
            <w:rStyle w:val="Hyperlink"/>
            <w:rFonts w:asciiTheme="minorHAnsi" w:hAnsiTheme="minorHAnsi" w:cstheme="minorHAnsi"/>
            <w:bCs/>
            <w:i/>
            <w:sz w:val="22"/>
            <w:szCs w:val="22"/>
          </w:rPr>
          <w:t>Inquiry into Tasmanian Government’s Responses to Child Sexual Abuse in Institutional Settings</w:t>
        </w:r>
        <w:r w:rsidR="00130DB5" w:rsidRPr="006D78FA">
          <w:rPr>
            <w:rStyle w:val="Hyperlink"/>
            <w:rFonts w:asciiTheme="minorHAnsi" w:hAnsiTheme="minorHAnsi" w:cstheme="minorHAnsi"/>
            <w:bCs/>
            <w:sz w:val="22"/>
            <w:szCs w:val="22"/>
          </w:rPr>
          <w:t>.</w:t>
        </w:r>
      </w:hyperlink>
    </w:p>
    <w:p w14:paraId="217A94A6" w14:textId="66712030" w:rsidR="00CA52F8" w:rsidRPr="000F17DA" w:rsidRDefault="00637A1D" w:rsidP="000F17DA">
      <w:pPr>
        <w:spacing w:before="240" w:line="276" w:lineRule="auto"/>
        <w:rPr>
          <w:rFonts w:asciiTheme="minorHAnsi" w:hAnsiTheme="minorHAnsi" w:cstheme="minorHAnsi"/>
          <w:bCs/>
          <w:sz w:val="22"/>
          <w:szCs w:val="22"/>
        </w:rPr>
      </w:pPr>
      <w:r w:rsidRPr="006D78FA">
        <w:rPr>
          <w:rFonts w:asciiTheme="minorHAnsi" w:hAnsiTheme="minorHAnsi" w:cstheme="minorHAnsi"/>
          <w:bCs/>
          <w:sz w:val="22"/>
          <w:szCs w:val="22"/>
        </w:rPr>
        <w:t>Chief Justice Alstergren a</w:t>
      </w:r>
      <w:r w:rsidR="00130DB5" w:rsidRPr="006D78FA">
        <w:rPr>
          <w:rFonts w:asciiTheme="minorHAnsi" w:hAnsiTheme="minorHAnsi" w:cstheme="minorHAnsi"/>
          <w:bCs/>
          <w:sz w:val="22"/>
          <w:szCs w:val="22"/>
        </w:rPr>
        <w:t xml:space="preserve">cknowledges the enormous contribution Justice Benjamin has made to the Family Court and to the Tasmanian community, and </w:t>
      </w:r>
      <w:r w:rsidRPr="006D78FA">
        <w:rPr>
          <w:rFonts w:asciiTheme="minorHAnsi" w:hAnsiTheme="minorHAnsi" w:cstheme="minorHAnsi"/>
          <w:bCs/>
          <w:sz w:val="22"/>
          <w:szCs w:val="22"/>
        </w:rPr>
        <w:t xml:space="preserve">on behalf of the Court, </w:t>
      </w:r>
      <w:r w:rsidR="00130DB5" w:rsidRPr="006D78FA">
        <w:rPr>
          <w:rFonts w:asciiTheme="minorHAnsi" w:hAnsiTheme="minorHAnsi" w:cstheme="minorHAnsi"/>
          <w:bCs/>
          <w:sz w:val="22"/>
          <w:szCs w:val="22"/>
        </w:rPr>
        <w:t xml:space="preserve">wishes him well in his retirement </w:t>
      </w:r>
      <w:r w:rsidR="00653B9F">
        <w:rPr>
          <w:rFonts w:asciiTheme="minorHAnsi" w:hAnsiTheme="minorHAnsi" w:cstheme="minorHAnsi"/>
          <w:bCs/>
          <w:sz w:val="22"/>
          <w:szCs w:val="22"/>
        </w:rPr>
        <w:t xml:space="preserve">from the bench </w:t>
      </w:r>
      <w:r w:rsidR="00130DB5" w:rsidRPr="006D78FA">
        <w:rPr>
          <w:rFonts w:asciiTheme="minorHAnsi" w:hAnsiTheme="minorHAnsi" w:cstheme="minorHAnsi"/>
          <w:bCs/>
          <w:sz w:val="22"/>
          <w:szCs w:val="22"/>
        </w:rPr>
        <w:t>an</w:t>
      </w:r>
      <w:r w:rsidR="00003D8B">
        <w:rPr>
          <w:rFonts w:asciiTheme="minorHAnsi" w:hAnsiTheme="minorHAnsi" w:cstheme="minorHAnsi"/>
          <w:bCs/>
          <w:sz w:val="22"/>
          <w:szCs w:val="22"/>
        </w:rPr>
        <w:t>d in his role as Commissioner.”</w:t>
      </w:r>
    </w:p>
    <w:p w14:paraId="512DF83D" w14:textId="06AB4C1B" w:rsidR="00AD00FA" w:rsidRPr="00EF547B" w:rsidRDefault="00FA7053" w:rsidP="000F17DA">
      <w:pPr>
        <w:spacing w:before="480"/>
        <w:rPr>
          <w:rFonts w:asciiTheme="minorHAnsi" w:hAnsiTheme="minorHAnsi" w:cstheme="minorHAnsi"/>
          <w:bCs/>
          <w:sz w:val="22"/>
          <w:szCs w:val="22"/>
        </w:rPr>
      </w:pPr>
      <w:r w:rsidRPr="00EF547B">
        <w:rPr>
          <w:rFonts w:asciiTheme="minorHAnsi" w:hAnsiTheme="minorHAnsi" w:cstheme="minorHAnsi"/>
          <w:bCs/>
          <w:sz w:val="22"/>
          <w:szCs w:val="22"/>
          <w:lang w:eastAsia="zh-CN"/>
        </w:rPr>
        <w:t>-ENDS-</w:t>
      </w:r>
    </w:p>
    <w:sectPr w:rsidR="00AD00FA" w:rsidRPr="00EF547B" w:rsidSect="009901DC">
      <w:headerReference w:type="even" r:id="rId10"/>
      <w:headerReference w:type="default" r:id="rId11"/>
      <w:footerReference w:type="even" r:id="rId12"/>
      <w:footerReference w:type="default" r:id="rId13"/>
      <w:headerReference w:type="first" r:id="rId14"/>
      <w:footerReference w:type="first" r:id="rId15"/>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DB5F4" w14:textId="77777777" w:rsidR="006E06B1" w:rsidRDefault="006E06B1">
      <w:r>
        <w:separator/>
      </w:r>
    </w:p>
  </w:endnote>
  <w:endnote w:type="continuationSeparator" w:id="0">
    <w:p w14:paraId="028403A1" w14:textId="77777777" w:rsidR="006E06B1" w:rsidRDefault="006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altName w:val="Open Sans 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BD2FF" w14:textId="77777777" w:rsidR="003619E5" w:rsidRDefault="00361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A29D60" w14:textId="77777777" w:rsidR="00BC6BB7" w:rsidRPr="002F31C2" w:rsidRDefault="00BC6BB7" w:rsidP="00BC6BB7">
    <w:pPr>
      <w:pBdr>
        <w:top w:val="single" w:sz="4" w:space="1" w:color="auto"/>
      </w:pBdr>
      <w:rPr>
        <w:rFonts w:ascii="Calibri" w:hAnsi="Calibri" w:cs="Calibri"/>
        <w:iCs/>
        <w:sz w:val="20"/>
        <w:szCs w:val="20"/>
        <w:lang w:eastAsia="en-US"/>
      </w:rPr>
    </w:pPr>
    <w:r w:rsidRPr="002F31C2">
      <w:rPr>
        <w:rFonts w:ascii="Calibri" w:hAnsi="Calibri" w:cs="Calibri"/>
        <w:iCs/>
        <w:sz w:val="20"/>
        <w:szCs w:val="20"/>
        <w:lang w:eastAsia="en-US"/>
      </w:rPr>
      <w:t xml:space="preserve">Media enquiries: Denise Healy </w:t>
    </w:r>
    <w:hyperlink r:id="rId1" w:history="1">
      <w:r w:rsidRPr="002F31C2">
        <w:rPr>
          <w:rStyle w:val="Hyperlink"/>
          <w:rFonts w:ascii="Calibri" w:hAnsi="Calibri" w:cs="Calibri"/>
          <w:iCs/>
          <w:sz w:val="20"/>
          <w:szCs w:val="20"/>
          <w:lang w:eastAsia="en-US"/>
        </w:rPr>
        <w:t>denise.healy@familycourt.gov.au</w:t>
      </w:r>
    </w:hyperlink>
    <w:r w:rsidRPr="002F31C2">
      <w:rPr>
        <w:rFonts w:ascii="Calibri" w:hAnsi="Calibri" w:cs="Calibri"/>
        <w:iCs/>
        <w:sz w:val="20"/>
        <w:szCs w:val="20"/>
        <w:lang w:eastAsia="en-US"/>
      </w:rPr>
      <w:t xml:space="preserve"> or 0409 743 695.</w:t>
    </w:r>
  </w:p>
  <w:p w14:paraId="6E7C664E" w14:textId="77777777" w:rsidR="00D055AD" w:rsidRDefault="00D055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2D9E9" w14:textId="77777777" w:rsidR="003619E5" w:rsidRDefault="003619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E5F9C" w14:textId="77777777" w:rsidR="006E06B1" w:rsidRDefault="006E06B1">
      <w:r>
        <w:separator/>
      </w:r>
    </w:p>
  </w:footnote>
  <w:footnote w:type="continuationSeparator" w:id="0">
    <w:p w14:paraId="0C0C44CE" w14:textId="77777777" w:rsidR="006E06B1" w:rsidRDefault="006E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1AB4E" w14:textId="77777777" w:rsidR="003619E5" w:rsidRDefault="00361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735776E7"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412D0" w14:textId="77777777" w:rsidR="003619E5" w:rsidRDefault="003619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7A0E"/>
      </v:shape>
    </w:pict>
  </w:numPicBullet>
  <w:abstractNum w:abstractNumId="0" w15:restartNumberingAfterBreak="0">
    <w:nsid w:val="12C8489A"/>
    <w:multiLevelType w:val="hybridMultilevel"/>
    <w:tmpl w:val="F12E03A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 w15:restartNumberingAfterBreak="0">
    <w:nsid w:val="2F8B1708"/>
    <w:multiLevelType w:val="hybridMultilevel"/>
    <w:tmpl w:val="A35219A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2392770"/>
    <w:multiLevelType w:val="multilevel"/>
    <w:tmpl w:val="4CA85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DA3E3F"/>
    <w:multiLevelType w:val="hybridMultilevel"/>
    <w:tmpl w:val="6BF28CA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6E0C7FEE"/>
    <w:multiLevelType w:val="hybridMultilevel"/>
    <w:tmpl w:val="527E0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52300A6"/>
    <w:multiLevelType w:val="hybridMultilevel"/>
    <w:tmpl w:val="F906031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9C54A6B"/>
    <w:multiLevelType w:val="hybridMultilevel"/>
    <w:tmpl w:val="402E96D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9" w15:restartNumberingAfterBreak="0">
    <w:nsid w:val="7A4205BD"/>
    <w:multiLevelType w:val="hybridMultilevel"/>
    <w:tmpl w:val="A030F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7C063F1E"/>
    <w:multiLevelType w:val="hybridMultilevel"/>
    <w:tmpl w:val="10CE2994"/>
    <w:lvl w:ilvl="0" w:tplc="90B020B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4"/>
  </w:num>
  <w:num w:numId="4">
    <w:abstractNumId w:val="2"/>
  </w:num>
  <w:num w:numId="5">
    <w:abstractNumId w:val="5"/>
  </w:num>
  <w:num w:numId="6">
    <w:abstractNumId w:val="9"/>
  </w:num>
  <w:num w:numId="7">
    <w:abstractNumId w:val="10"/>
  </w:num>
  <w:num w:numId="8">
    <w:abstractNumId w:val="1"/>
  </w:num>
  <w:num w:numId="9">
    <w:abstractNumId w:val="8"/>
  </w:num>
  <w:num w:numId="10">
    <w:abstractNumId w:val="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3D8B"/>
    <w:rsid w:val="000047AA"/>
    <w:rsid w:val="00025663"/>
    <w:rsid w:val="0003201B"/>
    <w:rsid w:val="000451E7"/>
    <w:rsid w:val="0005139C"/>
    <w:rsid w:val="0005311A"/>
    <w:rsid w:val="00063F91"/>
    <w:rsid w:val="00066209"/>
    <w:rsid w:val="00067A83"/>
    <w:rsid w:val="000726AF"/>
    <w:rsid w:val="00073EEE"/>
    <w:rsid w:val="000857BD"/>
    <w:rsid w:val="000917EA"/>
    <w:rsid w:val="00095D9B"/>
    <w:rsid w:val="00097873"/>
    <w:rsid w:val="000A3339"/>
    <w:rsid w:val="000B30F9"/>
    <w:rsid w:val="000B4FDD"/>
    <w:rsid w:val="000D377A"/>
    <w:rsid w:val="000E163D"/>
    <w:rsid w:val="000F17DA"/>
    <w:rsid w:val="000F6A9F"/>
    <w:rsid w:val="000F704C"/>
    <w:rsid w:val="000F75AA"/>
    <w:rsid w:val="00111321"/>
    <w:rsid w:val="00111B11"/>
    <w:rsid w:val="00115698"/>
    <w:rsid w:val="00115CED"/>
    <w:rsid w:val="00122402"/>
    <w:rsid w:val="00122A30"/>
    <w:rsid w:val="00130DB5"/>
    <w:rsid w:val="00142415"/>
    <w:rsid w:val="001426D1"/>
    <w:rsid w:val="00143E33"/>
    <w:rsid w:val="0015697C"/>
    <w:rsid w:val="00161AFE"/>
    <w:rsid w:val="00161E28"/>
    <w:rsid w:val="00167D4E"/>
    <w:rsid w:val="00184CAC"/>
    <w:rsid w:val="00193EDE"/>
    <w:rsid w:val="0019619D"/>
    <w:rsid w:val="001A004C"/>
    <w:rsid w:val="001A4EBF"/>
    <w:rsid w:val="001E0B76"/>
    <w:rsid w:val="00201267"/>
    <w:rsid w:val="00210CB4"/>
    <w:rsid w:val="002130F3"/>
    <w:rsid w:val="00264DCF"/>
    <w:rsid w:val="0026629E"/>
    <w:rsid w:val="00272566"/>
    <w:rsid w:val="00282C31"/>
    <w:rsid w:val="00286FB9"/>
    <w:rsid w:val="00287FA8"/>
    <w:rsid w:val="002D0038"/>
    <w:rsid w:val="002E006A"/>
    <w:rsid w:val="002E0207"/>
    <w:rsid w:val="002E0843"/>
    <w:rsid w:val="002E4EC1"/>
    <w:rsid w:val="002E71F9"/>
    <w:rsid w:val="002F5CD8"/>
    <w:rsid w:val="002F73C5"/>
    <w:rsid w:val="003053CE"/>
    <w:rsid w:val="0030689E"/>
    <w:rsid w:val="00317A22"/>
    <w:rsid w:val="00326F16"/>
    <w:rsid w:val="003302AF"/>
    <w:rsid w:val="00331792"/>
    <w:rsid w:val="003328DC"/>
    <w:rsid w:val="00340861"/>
    <w:rsid w:val="00353339"/>
    <w:rsid w:val="003619E5"/>
    <w:rsid w:val="00367C23"/>
    <w:rsid w:val="00370039"/>
    <w:rsid w:val="00371B83"/>
    <w:rsid w:val="003760A2"/>
    <w:rsid w:val="00382666"/>
    <w:rsid w:val="00385CD8"/>
    <w:rsid w:val="003871D1"/>
    <w:rsid w:val="00390A78"/>
    <w:rsid w:val="00391908"/>
    <w:rsid w:val="003A0900"/>
    <w:rsid w:val="003A0E0A"/>
    <w:rsid w:val="003A3639"/>
    <w:rsid w:val="003B25E4"/>
    <w:rsid w:val="003C2319"/>
    <w:rsid w:val="003D3209"/>
    <w:rsid w:val="003D58BA"/>
    <w:rsid w:val="003E2517"/>
    <w:rsid w:val="003E7C8A"/>
    <w:rsid w:val="004156B1"/>
    <w:rsid w:val="00424813"/>
    <w:rsid w:val="00430EE0"/>
    <w:rsid w:val="00431149"/>
    <w:rsid w:val="00436F4D"/>
    <w:rsid w:val="00442AA1"/>
    <w:rsid w:val="004517D5"/>
    <w:rsid w:val="0046024F"/>
    <w:rsid w:val="00463D85"/>
    <w:rsid w:val="00465380"/>
    <w:rsid w:val="00467410"/>
    <w:rsid w:val="00474EBE"/>
    <w:rsid w:val="0047773B"/>
    <w:rsid w:val="004A3948"/>
    <w:rsid w:val="004B6254"/>
    <w:rsid w:val="004D0238"/>
    <w:rsid w:val="005037F8"/>
    <w:rsid w:val="005038D9"/>
    <w:rsid w:val="00504A78"/>
    <w:rsid w:val="005061A7"/>
    <w:rsid w:val="00513B94"/>
    <w:rsid w:val="00521785"/>
    <w:rsid w:val="00534E37"/>
    <w:rsid w:val="00536F07"/>
    <w:rsid w:val="00550375"/>
    <w:rsid w:val="00564E14"/>
    <w:rsid w:val="0057433A"/>
    <w:rsid w:val="00577AD9"/>
    <w:rsid w:val="00587A62"/>
    <w:rsid w:val="005A5FC2"/>
    <w:rsid w:val="005B6C08"/>
    <w:rsid w:val="005C5449"/>
    <w:rsid w:val="005C5DA0"/>
    <w:rsid w:val="005C7B8C"/>
    <w:rsid w:val="005D2D86"/>
    <w:rsid w:val="005D550F"/>
    <w:rsid w:val="005D6DB0"/>
    <w:rsid w:val="005E18C8"/>
    <w:rsid w:val="00604360"/>
    <w:rsid w:val="00617062"/>
    <w:rsid w:val="006171D4"/>
    <w:rsid w:val="00621925"/>
    <w:rsid w:val="00622617"/>
    <w:rsid w:val="00623AFB"/>
    <w:rsid w:val="00635017"/>
    <w:rsid w:val="00636360"/>
    <w:rsid w:val="00637A1D"/>
    <w:rsid w:val="00640F80"/>
    <w:rsid w:val="00653B9F"/>
    <w:rsid w:val="0066241D"/>
    <w:rsid w:val="00695641"/>
    <w:rsid w:val="006A45AC"/>
    <w:rsid w:val="006B2C22"/>
    <w:rsid w:val="006D78FA"/>
    <w:rsid w:val="006E06B1"/>
    <w:rsid w:val="006F0274"/>
    <w:rsid w:val="00704F29"/>
    <w:rsid w:val="0071071D"/>
    <w:rsid w:val="0071225F"/>
    <w:rsid w:val="00712610"/>
    <w:rsid w:val="00722B4F"/>
    <w:rsid w:val="0073112F"/>
    <w:rsid w:val="00732CC8"/>
    <w:rsid w:val="0073585B"/>
    <w:rsid w:val="00736032"/>
    <w:rsid w:val="00744BFE"/>
    <w:rsid w:val="00751196"/>
    <w:rsid w:val="00754653"/>
    <w:rsid w:val="0076242F"/>
    <w:rsid w:val="007631D6"/>
    <w:rsid w:val="007726AA"/>
    <w:rsid w:val="00793114"/>
    <w:rsid w:val="007A3FA6"/>
    <w:rsid w:val="007A55C6"/>
    <w:rsid w:val="007A5B2D"/>
    <w:rsid w:val="007B0DD0"/>
    <w:rsid w:val="007D13E8"/>
    <w:rsid w:val="007D19D4"/>
    <w:rsid w:val="007D7BC4"/>
    <w:rsid w:val="007F2645"/>
    <w:rsid w:val="007F3F05"/>
    <w:rsid w:val="007F75C8"/>
    <w:rsid w:val="00825C4E"/>
    <w:rsid w:val="00834728"/>
    <w:rsid w:val="0083601E"/>
    <w:rsid w:val="00841A83"/>
    <w:rsid w:val="00852A52"/>
    <w:rsid w:val="0086067F"/>
    <w:rsid w:val="00883C54"/>
    <w:rsid w:val="00886FA3"/>
    <w:rsid w:val="00896DE1"/>
    <w:rsid w:val="008A4B6A"/>
    <w:rsid w:val="008A67C9"/>
    <w:rsid w:val="008C1DAE"/>
    <w:rsid w:val="008D0B71"/>
    <w:rsid w:val="008D1D83"/>
    <w:rsid w:val="008D468A"/>
    <w:rsid w:val="008E124D"/>
    <w:rsid w:val="008F4B04"/>
    <w:rsid w:val="008F5305"/>
    <w:rsid w:val="008F638E"/>
    <w:rsid w:val="0090620C"/>
    <w:rsid w:val="0090716E"/>
    <w:rsid w:val="009155F8"/>
    <w:rsid w:val="009276C3"/>
    <w:rsid w:val="00932622"/>
    <w:rsid w:val="00933420"/>
    <w:rsid w:val="0093783A"/>
    <w:rsid w:val="009448B3"/>
    <w:rsid w:val="009526A5"/>
    <w:rsid w:val="00953633"/>
    <w:rsid w:val="00956102"/>
    <w:rsid w:val="00956BB3"/>
    <w:rsid w:val="00956E03"/>
    <w:rsid w:val="00961917"/>
    <w:rsid w:val="00961C4D"/>
    <w:rsid w:val="00965264"/>
    <w:rsid w:val="00974647"/>
    <w:rsid w:val="0098762C"/>
    <w:rsid w:val="009901DC"/>
    <w:rsid w:val="009969E1"/>
    <w:rsid w:val="009A6AA2"/>
    <w:rsid w:val="009C0342"/>
    <w:rsid w:val="009C5FB5"/>
    <w:rsid w:val="009D0CB0"/>
    <w:rsid w:val="009D1733"/>
    <w:rsid w:val="00A00DF2"/>
    <w:rsid w:val="00A144B5"/>
    <w:rsid w:val="00A15E20"/>
    <w:rsid w:val="00A23E00"/>
    <w:rsid w:val="00A26D12"/>
    <w:rsid w:val="00A45603"/>
    <w:rsid w:val="00A521A3"/>
    <w:rsid w:val="00A53854"/>
    <w:rsid w:val="00A60331"/>
    <w:rsid w:val="00A6068D"/>
    <w:rsid w:val="00A6566E"/>
    <w:rsid w:val="00A65EB1"/>
    <w:rsid w:val="00A67E79"/>
    <w:rsid w:val="00A7166E"/>
    <w:rsid w:val="00A86BF7"/>
    <w:rsid w:val="00A9531A"/>
    <w:rsid w:val="00AA0874"/>
    <w:rsid w:val="00AA6477"/>
    <w:rsid w:val="00AB0E68"/>
    <w:rsid w:val="00AB4269"/>
    <w:rsid w:val="00AB7BFC"/>
    <w:rsid w:val="00AC1EE2"/>
    <w:rsid w:val="00AD00FA"/>
    <w:rsid w:val="00AD024B"/>
    <w:rsid w:val="00AD0B8C"/>
    <w:rsid w:val="00AE2AC6"/>
    <w:rsid w:val="00AE2D7E"/>
    <w:rsid w:val="00AE34E6"/>
    <w:rsid w:val="00AF3C40"/>
    <w:rsid w:val="00AF5C42"/>
    <w:rsid w:val="00B05FEE"/>
    <w:rsid w:val="00B07C37"/>
    <w:rsid w:val="00B1052F"/>
    <w:rsid w:val="00B44E8C"/>
    <w:rsid w:val="00B52487"/>
    <w:rsid w:val="00B53A35"/>
    <w:rsid w:val="00B54252"/>
    <w:rsid w:val="00B6370B"/>
    <w:rsid w:val="00B73790"/>
    <w:rsid w:val="00B90851"/>
    <w:rsid w:val="00B90C43"/>
    <w:rsid w:val="00B972DB"/>
    <w:rsid w:val="00BA4AC8"/>
    <w:rsid w:val="00BB07C9"/>
    <w:rsid w:val="00BB5D69"/>
    <w:rsid w:val="00BC24B2"/>
    <w:rsid w:val="00BC52AF"/>
    <w:rsid w:val="00BC6BB7"/>
    <w:rsid w:val="00BD1C74"/>
    <w:rsid w:val="00BD1E33"/>
    <w:rsid w:val="00BD36B7"/>
    <w:rsid w:val="00BD3C12"/>
    <w:rsid w:val="00BD4F8D"/>
    <w:rsid w:val="00BD58AD"/>
    <w:rsid w:val="00BE4391"/>
    <w:rsid w:val="00C06603"/>
    <w:rsid w:val="00C16D49"/>
    <w:rsid w:val="00C2713F"/>
    <w:rsid w:val="00C44F66"/>
    <w:rsid w:val="00C51D5E"/>
    <w:rsid w:val="00C532C2"/>
    <w:rsid w:val="00C707C9"/>
    <w:rsid w:val="00C72435"/>
    <w:rsid w:val="00C74449"/>
    <w:rsid w:val="00C777C1"/>
    <w:rsid w:val="00C77CAC"/>
    <w:rsid w:val="00C82827"/>
    <w:rsid w:val="00C861C9"/>
    <w:rsid w:val="00C97D4D"/>
    <w:rsid w:val="00CA5101"/>
    <w:rsid w:val="00CA52F8"/>
    <w:rsid w:val="00CB31B1"/>
    <w:rsid w:val="00CB4906"/>
    <w:rsid w:val="00CC011C"/>
    <w:rsid w:val="00CC334C"/>
    <w:rsid w:val="00CD5D7F"/>
    <w:rsid w:val="00CE120B"/>
    <w:rsid w:val="00CE15F7"/>
    <w:rsid w:val="00CE3D17"/>
    <w:rsid w:val="00CF0A36"/>
    <w:rsid w:val="00CF1913"/>
    <w:rsid w:val="00CF3812"/>
    <w:rsid w:val="00D04152"/>
    <w:rsid w:val="00D055AD"/>
    <w:rsid w:val="00D12D12"/>
    <w:rsid w:val="00D17BD3"/>
    <w:rsid w:val="00D32B8C"/>
    <w:rsid w:val="00D36651"/>
    <w:rsid w:val="00D5000A"/>
    <w:rsid w:val="00D504A8"/>
    <w:rsid w:val="00D505FA"/>
    <w:rsid w:val="00D62995"/>
    <w:rsid w:val="00D63021"/>
    <w:rsid w:val="00D70D4C"/>
    <w:rsid w:val="00D71FFB"/>
    <w:rsid w:val="00D735E7"/>
    <w:rsid w:val="00D823DB"/>
    <w:rsid w:val="00D92ACC"/>
    <w:rsid w:val="00D94232"/>
    <w:rsid w:val="00DB0D8A"/>
    <w:rsid w:val="00DC1195"/>
    <w:rsid w:val="00DC6D1D"/>
    <w:rsid w:val="00DD6DBF"/>
    <w:rsid w:val="00DE1592"/>
    <w:rsid w:val="00E002A8"/>
    <w:rsid w:val="00E01416"/>
    <w:rsid w:val="00E03716"/>
    <w:rsid w:val="00E073B8"/>
    <w:rsid w:val="00E11EB8"/>
    <w:rsid w:val="00E14336"/>
    <w:rsid w:val="00E21B99"/>
    <w:rsid w:val="00E243B1"/>
    <w:rsid w:val="00E32AD7"/>
    <w:rsid w:val="00E4419B"/>
    <w:rsid w:val="00E47B1B"/>
    <w:rsid w:val="00E56D5A"/>
    <w:rsid w:val="00E70B87"/>
    <w:rsid w:val="00E74D1F"/>
    <w:rsid w:val="00E87EA4"/>
    <w:rsid w:val="00E90E24"/>
    <w:rsid w:val="00E9616F"/>
    <w:rsid w:val="00EA0C9D"/>
    <w:rsid w:val="00EA76AA"/>
    <w:rsid w:val="00EB2A7A"/>
    <w:rsid w:val="00EC5075"/>
    <w:rsid w:val="00EC540F"/>
    <w:rsid w:val="00ED517E"/>
    <w:rsid w:val="00ED6121"/>
    <w:rsid w:val="00ED7B8F"/>
    <w:rsid w:val="00EE7B99"/>
    <w:rsid w:val="00EF15B1"/>
    <w:rsid w:val="00EF3FA9"/>
    <w:rsid w:val="00EF4FBB"/>
    <w:rsid w:val="00EF547B"/>
    <w:rsid w:val="00EF5DEA"/>
    <w:rsid w:val="00F06CE6"/>
    <w:rsid w:val="00F12300"/>
    <w:rsid w:val="00F15819"/>
    <w:rsid w:val="00F24EED"/>
    <w:rsid w:val="00F335B8"/>
    <w:rsid w:val="00F6000B"/>
    <w:rsid w:val="00F64CED"/>
    <w:rsid w:val="00F664C7"/>
    <w:rsid w:val="00F732AC"/>
    <w:rsid w:val="00F90C95"/>
    <w:rsid w:val="00F92F60"/>
    <w:rsid w:val="00F97641"/>
    <w:rsid w:val="00FA0226"/>
    <w:rsid w:val="00FA6CD2"/>
    <w:rsid w:val="00FA7053"/>
    <w:rsid w:val="00FB0F15"/>
    <w:rsid w:val="00FC0FF3"/>
    <w:rsid w:val="00FE23F4"/>
    <w:rsid w:val="00FE31FB"/>
    <w:rsid w:val="00FE576A"/>
    <w:rsid w:val="00FF1F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7A55C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rsid w:val="00AE34E6"/>
    <w:pPr>
      <w:tabs>
        <w:tab w:val="center" w:pos="4513"/>
        <w:tab w:val="right" w:pos="9026"/>
      </w:tabs>
    </w:pPr>
  </w:style>
  <w:style w:type="character" w:customStyle="1" w:styleId="FooterChar">
    <w:name w:val="Footer Char"/>
    <w:basedOn w:val="DefaultParagraphFont"/>
    <w:link w:val="Footer"/>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uiPriority w:val="99"/>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semiHidden/>
    <w:rsid w:val="007A55C6"/>
    <w:rPr>
      <w:rFonts w:asciiTheme="majorHAnsi" w:eastAsiaTheme="majorEastAsia" w:hAnsiTheme="majorHAnsi" w:cstheme="majorBidi"/>
      <w:color w:val="2E74B5" w:themeColor="accent1" w:themeShade="BF"/>
      <w:sz w:val="26"/>
      <w:szCs w:val="26"/>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milycourt.gov.au/wps/wcm/connect/fcoaweb/reports-and-publications/media-releases/2021/mr110521"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emier.tas.gov.au/site_resources_2015/additional_releases/commission_of_inquiry_formally_established"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amilycourt.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49F4CB-FEF4-4770-A065-6BAE242C3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530</Words>
  <Characters>2855</Characters>
  <Application>Microsoft Office Word</Application>
  <DocSecurity>0</DocSecurity>
  <Lines>41</Lines>
  <Paragraphs>17</Paragraphs>
  <ScaleCrop>false</ScaleCrop>
  <HeadingPairs>
    <vt:vector size="2" baseType="variant">
      <vt:variant>
        <vt:lpstr>Title</vt:lpstr>
      </vt:variant>
      <vt:variant>
        <vt:i4>1</vt:i4>
      </vt:variant>
    </vt:vector>
  </HeadingPairs>
  <TitlesOfParts>
    <vt:vector size="1" baseType="lpstr">
      <vt:lpstr>Media Release - Tasmania to receive new judicial appointments to the Family Court of Australia and Federal Circuit Court of Australia</vt:lpstr>
    </vt:vector>
  </TitlesOfParts>
  <Company>Federal Court of Australia</Company>
  <LinksUpToDate>false</LinksUpToDate>
  <CharactersWithSpaces>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Tasmania to receive new judicial appointments to the Family Court of Australia and Federal Circuit Court of Australia</dc:title>
  <dc:subject/>
  <dc:creator>Family Court of Australia;Federal Circuit Court of Australia</dc:creator>
  <cp:keywords/>
  <dc:description/>
  <cp:lastModifiedBy>Christine Tuff</cp:lastModifiedBy>
  <cp:revision>2</cp:revision>
  <cp:lastPrinted>2021-05-13T05:35:00Z</cp:lastPrinted>
  <dcterms:created xsi:type="dcterms:W3CDTF">2021-05-13T23:43:00Z</dcterms:created>
  <dcterms:modified xsi:type="dcterms:W3CDTF">2021-05-13T23:43:00Z</dcterms:modified>
</cp:coreProperties>
</file>