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50FB51" w14:textId="54420529" w:rsidR="0095143A" w:rsidRDefault="0095143A" w:rsidP="007E1B8A">
      <w:pPr>
        <w:spacing w:line="276" w:lineRule="auto"/>
        <w:rPr>
          <w:rFonts w:asciiTheme="minorHAnsi" w:hAnsiTheme="minorHAnsi" w:cstheme="minorHAnsi"/>
          <w:noProof/>
        </w:rPr>
      </w:pPr>
      <w:r>
        <w:rPr>
          <w:rFonts w:asciiTheme="minorHAnsi" w:hAnsiTheme="minorHAnsi" w:cstheme="minorHAnsi"/>
          <w:noProof/>
        </w:rPr>
        <w:t xml:space="preserve">News and media centre </w:t>
      </w:r>
    </w:p>
    <w:p w14:paraId="03CCEB76" w14:textId="03CF01DA" w:rsidR="00493B95" w:rsidRDefault="00493B95" w:rsidP="007E1B8A">
      <w:pPr>
        <w:spacing w:line="276" w:lineRule="auto"/>
        <w:rPr>
          <w:rFonts w:asciiTheme="minorHAnsi" w:hAnsiTheme="minorHAnsi" w:cstheme="minorHAnsi"/>
          <w:noProof/>
        </w:rPr>
      </w:pPr>
    </w:p>
    <w:p w14:paraId="3786AAF6" w14:textId="7D255BAA" w:rsidR="00493B95" w:rsidRPr="00493B95" w:rsidRDefault="00493B95" w:rsidP="007E1B8A">
      <w:pPr>
        <w:spacing w:line="276" w:lineRule="auto"/>
        <w:rPr>
          <w:rFonts w:asciiTheme="minorHAnsi" w:hAnsiTheme="minorHAnsi" w:cstheme="minorHAnsi"/>
          <w:b/>
          <w:noProof/>
          <w:sz w:val="32"/>
        </w:rPr>
      </w:pPr>
      <w:r w:rsidRPr="00493B95">
        <w:rPr>
          <w:rFonts w:asciiTheme="minorHAnsi" w:hAnsiTheme="minorHAnsi" w:cstheme="minorHAnsi"/>
          <w:b/>
          <w:noProof/>
          <w:sz w:val="32"/>
        </w:rPr>
        <w:t>Legal resources of the new Court: Rules, Practice Directions and forms</w:t>
      </w:r>
    </w:p>
    <w:p w14:paraId="65284A95" w14:textId="6240A2F4" w:rsidR="008F1034" w:rsidRPr="00493B95" w:rsidRDefault="0095143A" w:rsidP="00924A51">
      <w:pPr>
        <w:pStyle w:val="BodyText"/>
        <w:spacing w:before="100" w:beforeAutospacing="1" w:after="0"/>
        <w:ind w:right="-142"/>
        <w:jc w:val="both"/>
        <w:rPr>
          <w:rFonts w:asciiTheme="minorHAnsi" w:eastAsia="Calibri" w:hAnsiTheme="minorHAnsi" w:cstheme="minorHAnsi"/>
          <w:b/>
          <w:bCs/>
          <w:i/>
          <w:sz w:val="28"/>
          <w:szCs w:val="28"/>
          <w:lang w:eastAsia="en-AU"/>
        </w:rPr>
      </w:pPr>
      <w:r w:rsidRPr="00493B95">
        <w:rPr>
          <w:rFonts w:asciiTheme="minorHAnsi" w:eastAsia="Calibri" w:hAnsiTheme="minorHAnsi" w:cstheme="minorHAnsi"/>
          <w:b/>
          <w:bCs/>
          <w:i/>
          <w:sz w:val="28"/>
          <w:szCs w:val="28"/>
          <w:lang w:eastAsia="en-AU"/>
        </w:rPr>
        <w:t>N</w:t>
      </w:r>
      <w:r w:rsidR="009421C6" w:rsidRPr="00493B95">
        <w:rPr>
          <w:rFonts w:asciiTheme="minorHAnsi" w:eastAsia="Calibri" w:hAnsiTheme="minorHAnsi" w:cstheme="minorHAnsi"/>
          <w:b/>
          <w:bCs/>
          <w:i/>
          <w:sz w:val="28"/>
          <w:szCs w:val="28"/>
          <w:lang w:eastAsia="en-AU"/>
        </w:rPr>
        <w:t xml:space="preserve">ew </w:t>
      </w:r>
      <w:r w:rsidR="00493B95">
        <w:rPr>
          <w:rFonts w:asciiTheme="minorHAnsi" w:eastAsia="Calibri" w:hAnsiTheme="minorHAnsi" w:cstheme="minorHAnsi"/>
          <w:b/>
          <w:bCs/>
          <w:i/>
          <w:sz w:val="28"/>
          <w:szCs w:val="28"/>
          <w:lang w:eastAsia="en-AU"/>
        </w:rPr>
        <w:t>r</w:t>
      </w:r>
      <w:r w:rsidR="009421C6" w:rsidRPr="00493B95">
        <w:rPr>
          <w:rFonts w:asciiTheme="minorHAnsi" w:eastAsia="Calibri" w:hAnsiTheme="minorHAnsi" w:cstheme="minorHAnsi"/>
          <w:b/>
          <w:bCs/>
          <w:i/>
          <w:sz w:val="28"/>
          <w:szCs w:val="28"/>
          <w:lang w:eastAsia="en-AU"/>
        </w:rPr>
        <w:t>ules</w:t>
      </w:r>
      <w:r w:rsidR="00493B95">
        <w:rPr>
          <w:rFonts w:asciiTheme="minorHAnsi" w:eastAsia="Calibri" w:hAnsiTheme="minorHAnsi" w:cstheme="minorHAnsi"/>
          <w:b/>
          <w:bCs/>
          <w:i/>
          <w:sz w:val="28"/>
          <w:szCs w:val="28"/>
          <w:lang w:eastAsia="en-AU"/>
        </w:rPr>
        <w:t xml:space="preserve"> </w:t>
      </w:r>
    </w:p>
    <w:p w14:paraId="14B19D1A" w14:textId="77777777" w:rsidR="0095143A" w:rsidRDefault="0095143A" w:rsidP="00924A51">
      <w:pPr>
        <w:rPr>
          <w:rFonts w:asciiTheme="minorHAnsi" w:hAnsiTheme="minorHAnsi" w:cstheme="minorHAnsi"/>
          <w:sz w:val="22"/>
          <w:szCs w:val="22"/>
        </w:rPr>
      </w:pPr>
    </w:p>
    <w:p w14:paraId="293A8F59" w14:textId="07ADB176" w:rsidR="007E1B8A" w:rsidRDefault="0095143A" w:rsidP="00924A51">
      <w:pPr>
        <w:rPr>
          <w:rFonts w:asciiTheme="minorHAnsi" w:hAnsiTheme="minorHAnsi" w:cstheme="minorHAnsi"/>
          <w:sz w:val="22"/>
          <w:szCs w:val="22"/>
        </w:rPr>
      </w:pPr>
      <w:r w:rsidRPr="00493B95">
        <w:rPr>
          <w:rFonts w:asciiTheme="minorHAnsi" w:hAnsiTheme="minorHAnsi" w:cstheme="minorHAnsi"/>
          <w:sz w:val="22"/>
          <w:szCs w:val="22"/>
        </w:rPr>
        <w:t>T</w:t>
      </w:r>
      <w:r w:rsidR="009421C6" w:rsidRPr="00493B95">
        <w:rPr>
          <w:rFonts w:asciiTheme="minorHAnsi" w:hAnsiTheme="minorHAnsi" w:cstheme="minorHAnsi"/>
          <w:sz w:val="22"/>
          <w:szCs w:val="22"/>
        </w:rPr>
        <w:t xml:space="preserve">he Federal Circuit and Family Court of Australia </w:t>
      </w:r>
      <w:r w:rsidR="00493B95" w:rsidRPr="00493B95">
        <w:rPr>
          <w:rFonts w:asciiTheme="minorHAnsi" w:hAnsiTheme="minorHAnsi" w:cstheme="minorHAnsi"/>
          <w:sz w:val="22"/>
          <w:szCs w:val="22"/>
        </w:rPr>
        <w:t xml:space="preserve">(the Court) </w:t>
      </w:r>
      <w:r w:rsidR="007E1B8A" w:rsidRPr="007E1B8A">
        <w:rPr>
          <w:rFonts w:asciiTheme="minorHAnsi" w:hAnsiTheme="minorHAnsi" w:cstheme="minorHAnsi"/>
          <w:sz w:val="22"/>
          <w:szCs w:val="22"/>
        </w:rPr>
        <w:t>commence</w:t>
      </w:r>
      <w:r w:rsidR="001812F8">
        <w:rPr>
          <w:rFonts w:asciiTheme="minorHAnsi" w:hAnsiTheme="minorHAnsi" w:cstheme="minorHAnsi"/>
          <w:sz w:val="22"/>
          <w:szCs w:val="22"/>
        </w:rPr>
        <w:t>d</w:t>
      </w:r>
      <w:r w:rsidR="007E1B8A" w:rsidRPr="007E1B8A">
        <w:rPr>
          <w:rFonts w:asciiTheme="minorHAnsi" w:hAnsiTheme="minorHAnsi" w:cstheme="minorHAnsi"/>
          <w:sz w:val="22"/>
          <w:szCs w:val="22"/>
        </w:rPr>
        <w:t xml:space="preserve"> on 1 September 2021.</w:t>
      </w:r>
      <w:r w:rsidR="007E1B8A">
        <w:rPr>
          <w:rFonts w:asciiTheme="minorHAnsi" w:hAnsiTheme="minorHAnsi" w:cstheme="minorHAnsi"/>
          <w:sz w:val="22"/>
          <w:szCs w:val="22"/>
        </w:rPr>
        <w:t xml:space="preserve"> </w:t>
      </w:r>
      <w:r w:rsidR="007E1B8A" w:rsidRPr="007E1B8A">
        <w:rPr>
          <w:rFonts w:asciiTheme="minorHAnsi" w:hAnsiTheme="minorHAnsi" w:cstheme="minorHAnsi"/>
          <w:sz w:val="22"/>
          <w:szCs w:val="22"/>
        </w:rPr>
        <w:t>Below is a brief summary of the new rule</w:t>
      </w:r>
      <w:r w:rsidR="00493B95">
        <w:rPr>
          <w:rFonts w:asciiTheme="minorHAnsi" w:hAnsiTheme="minorHAnsi" w:cstheme="minorHAnsi"/>
          <w:sz w:val="22"/>
          <w:szCs w:val="22"/>
        </w:rPr>
        <w:t>s of Court that govern practice and procedure in the new Court.</w:t>
      </w:r>
    </w:p>
    <w:p w14:paraId="3E79C313" w14:textId="77777777" w:rsidR="007E1B8A" w:rsidRPr="007E1B8A" w:rsidRDefault="007E1B8A" w:rsidP="00924A51">
      <w:pPr>
        <w:rPr>
          <w:rFonts w:asciiTheme="minorHAnsi" w:hAnsiTheme="minorHAnsi" w:cstheme="minorHAnsi"/>
          <w:sz w:val="22"/>
          <w:szCs w:val="22"/>
        </w:rPr>
      </w:pPr>
    </w:p>
    <w:p w14:paraId="469A2378" w14:textId="5B98475E" w:rsidR="007E1B8A" w:rsidRPr="007E1B8A" w:rsidRDefault="0020733F" w:rsidP="00924A51">
      <w:pPr>
        <w:pStyle w:val="ListParagraph"/>
        <w:numPr>
          <w:ilvl w:val="0"/>
          <w:numId w:val="15"/>
        </w:numPr>
        <w:spacing w:after="0" w:line="240" w:lineRule="auto"/>
        <w:contextualSpacing w:val="0"/>
        <w:rPr>
          <w:rFonts w:asciiTheme="minorHAnsi" w:hAnsiTheme="minorHAnsi" w:cstheme="minorHAnsi"/>
          <w:b/>
          <w:bCs/>
        </w:rPr>
      </w:pPr>
      <w:hyperlink r:id="rId8" w:history="1">
        <w:r w:rsidR="007E1B8A" w:rsidRPr="009421C6">
          <w:rPr>
            <w:rStyle w:val="Hyperlink"/>
            <w:rFonts w:asciiTheme="minorHAnsi" w:hAnsiTheme="minorHAnsi" w:cstheme="minorHAnsi"/>
            <w:b/>
            <w:bCs/>
            <w:i/>
            <w:iCs/>
          </w:rPr>
          <w:t>Federal Circuit and Family Court of Australia (Family Law) Rules 2021</w:t>
        </w:r>
      </w:hyperlink>
    </w:p>
    <w:p w14:paraId="224FA024" w14:textId="77777777" w:rsidR="007E1B8A" w:rsidRPr="007E1B8A" w:rsidRDefault="007E1B8A" w:rsidP="00924A51">
      <w:pPr>
        <w:pStyle w:val="ListParagraph"/>
        <w:spacing w:after="0" w:line="240" w:lineRule="auto"/>
        <w:rPr>
          <w:rFonts w:asciiTheme="minorHAnsi" w:hAnsiTheme="minorHAnsi" w:cstheme="minorHAnsi"/>
        </w:rPr>
      </w:pPr>
      <w:r w:rsidRPr="007E1B8A">
        <w:rPr>
          <w:rFonts w:asciiTheme="minorHAnsi" w:hAnsiTheme="minorHAnsi" w:cstheme="minorHAnsi"/>
        </w:rPr>
        <w:t xml:space="preserve">These rules are the harmonised family law rules. They are made under the Division 1 power to make rules of court in section 76 of the FCFCOA Act, and in the first instance, only apply to the FCFCOA Division 1. They are adopted to apply in the FCFCOA Division 2 by the </w:t>
      </w:r>
      <w:r w:rsidRPr="007E1B8A">
        <w:rPr>
          <w:rFonts w:asciiTheme="minorHAnsi" w:hAnsiTheme="minorHAnsi" w:cstheme="minorHAnsi"/>
          <w:i/>
          <w:iCs/>
        </w:rPr>
        <w:t xml:space="preserve">Federal Circuit and Family Court of Australia (Division 2) (Family Law) Rules 2021, </w:t>
      </w:r>
      <w:r w:rsidRPr="007E1B8A">
        <w:rPr>
          <w:rFonts w:asciiTheme="minorHAnsi" w:hAnsiTheme="minorHAnsi" w:cstheme="minorHAnsi"/>
        </w:rPr>
        <w:t xml:space="preserve">and in other courts exercising jurisdiction under the </w:t>
      </w:r>
      <w:r w:rsidRPr="007E1B8A">
        <w:rPr>
          <w:rFonts w:asciiTheme="minorHAnsi" w:hAnsiTheme="minorHAnsi" w:cstheme="minorHAnsi"/>
          <w:i/>
          <w:iCs/>
        </w:rPr>
        <w:t>Family Law Act</w:t>
      </w:r>
      <w:r w:rsidRPr="007E1B8A">
        <w:rPr>
          <w:rFonts w:asciiTheme="minorHAnsi" w:hAnsiTheme="minorHAnsi" w:cstheme="minorHAnsi"/>
        </w:rPr>
        <w:t xml:space="preserve">, such as State and Territory courts, by the </w:t>
      </w:r>
      <w:r w:rsidRPr="007E1B8A">
        <w:rPr>
          <w:rFonts w:asciiTheme="minorHAnsi" w:hAnsiTheme="minorHAnsi" w:cstheme="minorHAnsi"/>
          <w:i/>
          <w:iCs/>
        </w:rPr>
        <w:t>Family Law (State and Territory Courts) Rules 2021</w:t>
      </w:r>
      <w:r w:rsidRPr="007E1B8A">
        <w:rPr>
          <w:rFonts w:asciiTheme="minorHAnsi" w:hAnsiTheme="minorHAnsi" w:cstheme="minorHAnsi"/>
        </w:rPr>
        <w:t xml:space="preserve">. They are referred to and defined as the ‘Family Law Rules 2021’ in the practice directions, forms and on the website. </w:t>
      </w:r>
    </w:p>
    <w:p w14:paraId="63BF4DFB" w14:textId="77777777" w:rsidR="007E1B8A" w:rsidRPr="007E1B8A" w:rsidRDefault="007E1B8A" w:rsidP="00924A51">
      <w:pPr>
        <w:pStyle w:val="ListParagraph"/>
        <w:spacing w:after="0" w:line="240" w:lineRule="auto"/>
        <w:rPr>
          <w:rFonts w:asciiTheme="minorHAnsi" w:hAnsiTheme="minorHAnsi" w:cstheme="minorHAnsi"/>
        </w:rPr>
      </w:pPr>
    </w:p>
    <w:p w14:paraId="3D1F8C45" w14:textId="08877FA4" w:rsidR="007E1B8A" w:rsidRPr="007E1B8A" w:rsidRDefault="0020733F" w:rsidP="00924A51">
      <w:pPr>
        <w:pStyle w:val="ListParagraph"/>
        <w:numPr>
          <w:ilvl w:val="0"/>
          <w:numId w:val="15"/>
        </w:numPr>
        <w:spacing w:after="0" w:line="240" w:lineRule="auto"/>
        <w:contextualSpacing w:val="0"/>
        <w:rPr>
          <w:rFonts w:asciiTheme="minorHAnsi" w:hAnsiTheme="minorHAnsi" w:cstheme="minorHAnsi"/>
          <w:b/>
          <w:bCs/>
        </w:rPr>
      </w:pPr>
      <w:hyperlink r:id="rId9" w:history="1">
        <w:r w:rsidR="007E1B8A" w:rsidRPr="00F9090C">
          <w:rPr>
            <w:rStyle w:val="Hyperlink"/>
            <w:rFonts w:asciiTheme="minorHAnsi" w:hAnsiTheme="minorHAnsi" w:cstheme="minorHAnsi"/>
            <w:b/>
            <w:bCs/>
            <w:i/>
            <w:iCs/>
          </w:rPr>
          <w:t>Federal Circuit and Family Court of Australia (Division 2) (Family Law) Rules 2021</w:t>
        </w:r>
      </w:hyperlink>
    </w:p>
    <w:p w14:paraId="7E551718" w14:textId="77777777" w:rsidR="007E1B8A" w:rsidRPr="007E1B8A" w:rsidRDefault="007E1B8A" w:rsidP="00924A51">
      <w:pPr>
        <w:pStyle w:val="ListParagraph"/>
        <w:spacing w:after="0" w:line="240" w:lineRule="auto"/>
        <w:rPr>
          <w:rFonts w:asciiTheme="minorHAnsi" w:hAnsiTheme="minorHAnsi" w:cstheme="minorHAnsi"/>
        </w:rPr>
      </w:pPr>
      <w:r w:rsidRPr="007E1B8A">
        <w:rPr>
          <w:rFonts w:asciiTheme="minorHAnsi" w:hAnsiTheme="minorHAnsi" w:cstheme="minorHAnsi"/>
        </w:rPr>
        <w:t>These rules adopt the harmonised family law rules for the FCFCOA Division 2. They are made under the Division 2 power to make rules of court in section 217 of the FCFCOA Act. Aside from adopting the Family Law Rules 2021, there are a small number of additional rules contained in these rules dealing with:</w:t>
      </w:r>
    </w:p>
    <w:p w14:paraId="2163E05E" w14:textId="77777777" w:rsidR="007E1B8A" w:rsidRPr="007E1B8A" w:rsidRDefault="007E1B8A" w:rsidP="00924A51">
      <w:pPr>
        <w:pStyle w:val="ListParagraph"/>
        <w:numPr>
          <w:ilvl w:val="0"/>
          <w:numId w:val="16"/>
        </w:numPr>
        <w:spacing w:after="0" w:line="240" w:lineRule="auto"/>
        <w:contextualSpacing w:val="0"/>
        <w:rPr>
          <w:rFonts w:asciiTheme="minorHAnsi" w:hAnsiTheme="minorHAnsi" w:cstheme="minorHAnsi"/>
        </w:rPr>
      </w:pPr>
      <w:r w:rsidRPr="007E1B8A">
        <w:rPr>
          <w:rFonts w:asciiTheme="minorHAnsi" w:hAnsiTheme="minorHAnsi" w:cstheme="minorHAnsi"/>
        </w:rPr>
        <w:t>Transfers from Division 2 to Division 1;</w:t>
      </w:r>
    </w:p>
    <w:p w14:paraId="0FA33850" w14:textId="77777777" w:rsidR="007E1B8A" w:rsidRPr="007E1B8A" w:rsidRDefault="007E1B8A" w:rsidP="00924A51">
      <w:pPr>
        <w:pStyle w:val="ListParagraph"/>
        <w:numPr>
          <w:ilvl w:val="0"/>
          <w:numId w:val="16"/>
        </w:numPr>
        <w:spacing w:after="0" w:line="240" w:lineRule="auto"/>
        <w:contextualSpacing w:val="0"/>
        <w:rPr>
          <w:rFonts w:asciiTheme="minorHAnsi" w:hAnsiTheme="minorHAnsi" w:cstheme="minorHAnsi"/>
        </w:rPr>
      </w:pPr>
      <w:r w:rsidRPr="007E1B8A">
        <w:rPr>
          <w:rFonts w:asciiTheme="minorHAnsi" w:hAnsiTheme="minorHAnsi" w:cstheme="minorHAnsi"/>
        </w:rPr>
        <w:t>The retention of the existing FCC scale of costs for family law or child support proceedings (with updated amounts), which may be applied instead of the scale of costs in Schedule 3 to the Family Law Rules 2021;</w:t>
      </w:r>
    </w:p>
    <w:p w14:paraId="03B41774" w14:textId="77777777" w:rsidR="007E1B8A" w:rsidRPr="007E1B8A" w:rsidRDefault="007E1B8A" w:rsidP="00924A51">
      <w:pPr>
        <w:pStyle w:val="ListParagraph"/>
        <w:numPr>
          <w:ilvl w:val="0"/>
          <w:numId w:val="16"/>
        </w:numPr>
        <w:spacing w:after="0" w:line="240" w:lineRule="auto"/>
        <w:contextualSpacing w:val="0"/>
        <w:rPr>
          <w:rFonts w:asciiTheme="minorHAnsi" w:hAnsiTheme="minorHAnsi" w:cstheme="minorHAnsi"/>
        </w:rPr>
      </w:pPr>
      <w:r w:rsidRPr="007E1B8A">
        <w:rPr>
          <w:rFonts w:asciiTheme="minorHAnsi" w:hAnsiTheme="minorHAnsi" w:cstheme="minorHAnsi"/>
        </w:rPr>
        <w:t>The delegation of Division 2 specific powers to registrars.</w:t>
      </w:r>
    </w:p>
    <w:p w14:paraId="2EF46E12" w14:textId="77777777" w:rsidR="007E1B8A" w:rsidRPr="007E1B8A" w:rsidRDefault="007E1B8A" w:rsidP="00924A51">
      <w:pPr>
        <w:pStyle w:val="ListParagraph"/>
        <w:spacing w:after="0" w:line="240" w:lineRule="auto"/>
        <w:rPr>
          <w:rFonts w:asciiTheme="minorHAnsi" w:hAnsiTheme="minorHAnsi" w:cstheme="minorHAnsi"/>
        </w:rPr>
      </w:pPr>
    </w:p>
    <w:p w14:paraId="722F7377" w14:textId="3910F62E" w:rsidR="007E1B8A" w:rsidRPr="007E1B8A" w:rsidRDefault="0020733F" w:rsidP="00924A51">
      <w:pPr>
        <w:pStyle w:val="ListParagraph"/>
        <w:numPr>
          <w:ilvl w:val="0"/>
          <w:numId w:val="15"/>
        </w:numPr>
        <w:spacing w:after="0" w:line="240" w:lineRule="auto"/>
        <w:contextualSpacing w:val="0"/>
        <w:rPr>
          <w:rFonts w:asciiTheme="minorHAnsi" w:hAnsiTheme="minorHAnsi" w:cstheme="minorHAnsi"/>
          <w:b/>
          <w:bCs/>
        </w:rPr>
      </w:pPr>
      <w:hyperlink r:id="rId10" w:history="1">
        <w:r w:rsidR="007E1B8A" w:rsidRPr="00F9090C">
          <w:rPr>
            <w:rStyle w:val="Hyperlink"/>
            <w:rFonts w:asciiTheme="minorHAnsi" w:hAnsiTheme="minorHAnsi" w:cstheme="minorHAnsi"/>
            <w:b/>
            <w:bCs/>
            <w:i/>
            <w:iCs/>
          </w:rPr>
          <w:t>Federal Circuit and Family Court of Australia (Division 2) (General Federal Law) Rules 2021</w:t>
        </w:r>
      </w:hyperlink>
    </w:p>
    <w:p w14:paraId="216D8EA6" w14:textId="77777777" w:rsidR="007E1B8A" w:rsidRPr="007E1B8A" w:rsidRDefault="007E1B8A" w:rsidP="00924A51">
      <w:pPr>
        <w:pStyle w:val="ListParagraph"/>
        <w:spacing w:after="0" w:line="240" w:lineRule="auto"/>
        <w:rPr>
          <w:rFonts w:asciiTheme="minorHAnsi" w:hAnsiTheme="minorHAnsi" w:cstheme="minorHAnsi"/>
        </w:rPr>
      </w:pPr>
      <w:r w:rsidRPr="007E1B8A">
        <w:rPr>
          <w:rFonts w:asciiTheme="minorHAnsi" w:hAnsiTheme="minorHAnsi" w:cstheme="minorHAnsi"/>
        </w:rPr>
        <w:t xml:space="preserve">These rules are the relevant provisions of the </w:t>
      </w:r>
      <w:r w:rsidRPr="007E1B8A">
        <w:rPr>
          <w:rFonts w:asciiTheme="minorHAnsi" w:hAnsiTheme="minorHAnsi" w:cstheme="minorHAnsi"/>
          <w:i/>
          <w:iCs/>
        </w:rPr>
        <w:t>Federal Circuit Court Rules 2001</w:t>
      </w:r>
      <w:r w:rsidRPr="007E1B8A">
        <w:rPr>
          <w:rFonts w:asciiTheme="minorHAnsi" w:hAnsiTheme="minorHAnsi" w:cstheme="minorHAnsi"/>
        </w:rPr>
        <w:t xml:space="preserve"> that applied to general federal law proceedings renumbered and updated where necessary. The </w:t>
      </w:r>
      <w:r w:rsidRPr="007E1B8A">
        <w:rPr>
          <w:rFonts w:asciiTheme="minorHAnsi" w:hAnsiTheme="minorHAnsi" w:cstheme="minorHAnsi"/>
          <w:i/>
          <w:iCs/>
        </w:rPr>
        <w:t xml:space="preserve">Federal Circuit Court Rules 2001 </w:t>
      </w:r>
      <w:r w:rsidRPr="007E1B8A">
        <w:rPr>
          <w:rFonts w:asciiTheme="minorHAnsi" w:hAnsiTheme="minorHAnsi" w:cstheme="minorHAnsi"/>
        </w:rPr>
        <w:t xml:space="preserve">are automatically repealed by the </w:t>
      </w:r>
      <w:r w:rsidRPr="007E1B8A">
        <w:rPr>
          <w:rFonts w:asciiTheme="minorHAnsi" w:hAnsiTheme="minorHAnsi" w:cstheme="minorHAnsi"/>
          <w:i/>
          <w:iCs/>
        </w:rPr>
        <w:t xml:space="preserve">Federal Circuit and Family Court of Australia (Consequential Amendments and Transitional Provisions) Act 2021 </w:t>
      </w:r>
      <w:r w:rsidRPr="007E1B8A">
        <w:rPr>
          <w:rFonts w:asciiTheme="minorHAnsi" w:hAnsiTheme="minorHAnsi" w:cstheme="minorHAnsi"/>
        </w:rPr>
        <w:t xml:space="preserve">on 1 September 2021. </w:t>
      </w:r>
    </w:p>
    <w:p w14:paraId="030637DF" w14:textId="77777777" w:rsidR="007E1B8A" w:rsidRPr="007E1B8A" w:rsidRDefault="007E1B8A" w:rsidP="00924A51">
      <w:pPr>
        <w:pStyle w:val="ListParagraph"/>
        <w:spacing w:after="0" w:line="240" w:lineRule="auto"/>
        <w:rPr>
          <w:rFonts w:asciiTheme="minorHAnsi" w:hAnsiTheme="minorHAnsi" w:cstheme="minorHAnsi"/>
        </w:rPr>
      </w:pPr>
    </w:p>
    <w:p w14:paraId="209A1704" w14:textId="70F97BA7" w:rsidR="007E1B8A" w:rsidRPr="007E1B8A" w:rsidRDefault="0020733F" w:rsidP="00924A51">
      <w:pPr>
        <w:pStyle w:val="ListParagraph"/>
        <w:numPr>
          <w:ilvl w:val="0"/>
          <w:numId w:val="15"/>
        </w:numPr>
        <w:spacing w:after="0" w:line="240" w:lineRule="auto"/>
        <w:contextualSpacing w:val="0"/>
        <w:rPr>
          <w:rFonts w:asciiTheme="minorHAnsi" w:hAnsiTheme="minorHAnsi" w:cstheme="minorHAnsi"/>
          <w:b/>
          <w:bCs/>
        </w:rPr>
      </w:pPr>
      <w:hyperlink r:id="rId11" w:history="1">
        <w:r w:rsidR="007E1B8A" w:rsidRPr="009421C6">
          <w:rPr>
            <w:rStyle w:val="Hyperlink"/>
            <w:rFonts w:asciiTheme="minorHAnsi" w:hAnsiTheme="minorHAnsi" w:cstheme="minorHAnsi"/>
            <w:b/>
            <w:bCs/>
            <w:i/>
            <w:iCs/>
          </w:rPr>
          <w:t>Federal Circuit and Family Court of Australia (Division 2) (Bankruptcy) Rules 2021</w:t>
        </w:r>
      </w:hyperlink>
    </w:p>
    <w:p w14:paraId="5271C65A" w14:textId="21C7C742" w:rsidR="007E1B8A" w:rsidRPr="007E1B8A" w:rsidRDefault="007E1B8A" w:rsidP="00924A51">
      <w:pPr>
        <w:pStyle w:val="ListParagraph"/>
        <w:spacing w:after="0" w:line="240" w:lineRule="auto"/>
        <w:rPr>
          <w:rFonts w:asciiTheme="minorHAnsi" w:hAnsiTheme="minorHAnsi" w:cstheme="minorHAnsi"/>
        </w:rPr>
      </w:pPr>
      <w:r w:rsidRPr="007E1B8A">
        <w:rPr>
          <w:rFonts w:asciiTheme="minorHAnsi" w:hAnsiTheme="minorHAnsi" w:cstheme="minorHAnsi"/>
        </w:rPr>
        <w:t xml:space="preserve">These rules are the provisions of the </w:t>
      </w:r>
      <w:r w:rsidRPr="007E1B8A">
        <w:rPr>
          <w:rFonts w:asciiTheme="minorHAnsi" w:hAnsiTheme="minorHAnsi" w:cstheme="minorHAnsi"/>
          <w:i/>
          <w:iCs/>
        </w:rPr>
        <w:t>Federal Circuit Court</w:t>
      </w:r>
      <w:r>
        <w:rPr>
          <w:rFonts w:asciiTheme="minorHAnsi" w:hAnsiTheme="minorHAnsi" w:cstheme="minorHAnsi"/>
          <w:i/>
          <w:iCs/>
        </w:rPr>
        <w:t xml:space="preserve"> </w:t>
      </w:r>
      <w:r w:rsidRPr="007E1B8A">
        <w:rPr>
          <w:rFonts w:asciiTheme="minorHAnsi" w:hAnsiTheme="minorHAnsi" w:cstheme="minorHAnsi"/>
          <w:i/>
          <w:iCs/>
        </w:rPr>
        <w:t>(Bankruptcy) Rules 2016</w:t>
      </w:r>
      <w:r w:rsidRPr="007E1B8A">
        <w:rPr>
          <w:rFonts w:asciiTheme="minorHAnsi" w:hAnsiTheme="minorHAnsi" w:cstheme="minorHAnsi"/>
        </w:rPr>
        <w:t xml:space="preserve"> that applied to bankruptcy proceedings renumbered and updated where necessary. The </w:t>
      </w:r>
      <w:r w:rsidRPr="007E1B8A">
        <w:rPr>
          <w:rFonts w:asciiTheme="minorHAnsi" w:hAnsiTheme="minorHAnsi" w:cstheme="minorHAnsi"/>
          <w:i/>
          <w:iCs/>
        </w:rPr>
        <w:t xml:space="preserve">Federal Circuit Court (Bankruptcy) Rules 2016 </w:t>
      </w:r>
      <w:r w:rsidRPr="007E1B8A">
        <w:rPr>
          <w:rFonts w:asciiTheme="minorHAnsi" w:hAnsiTheme="minorHAnsi" w:cstheme="minorHAnsi"/>
        </w:rPr>
        <w:t xml:space="preserve">are automatically repealed by the </w:t>
      </w:r>
      <w:r w:rsidRPr="007E1B8A">
        <w:rPr>
          <w:rFonts w:asciiTheme="minorHAnsi" w:hAnsiTheme="minorHAnsi" w:cstheme="minorHAnsi"/>
          <w:i/>
          <w:iCs/>
        </w:rPr>
        <w:t xml:space="preserve">Federal Circuit and Family Court of Australia (Consequential Amendments and Transitional Provisions) Act 2021 </w:t>
      </w:r>
      <w:r w:rsidRPr="007E1B8A">
        <w:rPr>
          <w:rFonts w:asciiTheme="minorHAnsi" w:hAnsiTheme="minorHAnsi" w:cstheme="minorHAnsi"/>
        </w:rPr>
        <w:t xml:space="preserve">on 1 September 2021. </w:t>
      </w:r>
    </w:p>
    <w:p w14:paraId="71D349A0" w14:textId="77777777" w:rsidR="007E1B8A" w:rsidRPr="007E1B8A" w:rsidRDefault="007E1B8A" w:rsidP="00924A51">
      <w:pPr>
        <w:pStyle w:val="ListParagraph"/>
        <w:spacing w:after="0" w:line="240" w:lineRule="auto"/>
        <w:rPr>
          <w:rFonts w:asciiTheme="minorHAnsi" w:hAnsiTheme="minorHAnsi" w:cstheme="minorHAnsi"/>
          <w:b/>
          <w:bCs/>
        </w:rPr>
      </w:pPr>
    </w:p>
    <w:p w14:paraId="51BC84A5" w14:textId="3FA0605F" w:rsidR="007E1B8A" w:rsidRPr="007E1B8A" w:rsidRDefault="0020733F" w:rsidP="00924A51">
      <w:pPr>
        <w:pStyle w:val="ListParagraph"/>
        <w:numPr>
          <w:ilvl w:val="0"/>
          <w:numId w:val="15"/>
        </w:numPr>
        <w:spacing w:after="0" w:line="240" w:lineRule="auto"/>
        <w:contextualSpacing w:val="0"/>
        <w:rPr>
          <w:rFonts w:asciiTheme="minorHAnsi" w:hAnsiTheme="minorHAnsi" w:cstheme="minorHAnsi"/>
          <w:b/>
          <w:bCs/>
        </w:rPr>
      </w:pPr>
      <w:hyperlink r:id="rId12" w:history="1">
        <w:r w:rsidR="007E1B8A" w:rsidRPr="00F9090C">
          <w:rPr>
            <w:rStyle w:val="Hyperlink"/>
            <w:rFonts w:asciiTheme="minorHAnsi" w:hAnsiTheme="minorHAnsi" w:cstheme="minorHAnsi"/>
            <w:b/>
            <w:bCs/>
            <w:i/>
            <w:iCs/>
          </w:rPr>
          <w:t>Family Law Repeal Rules 2021</w:t>
        </w:r>
      </w:hyperlink>
    </w:p>
    <w:p w14:paraId="4839A228" w14:textId="77777777" w:rsidR="007E1B8A" w:rsidRPr="007E1B8A" w:rsidRDefault="007E1B8A" w:rsidP="00924A51">
      <w:pPr>
        <w:pStyle w:val="ListParagraph"/>
        <w:spacing w:after="0" w:line="240" w:lineRule="auto"/>
        <w:rPr>
          <w:rFonts w:asciiTheme="minorHAnsi" w:hAnsiTheme="minorHAnsi" w:cstheme="minorHAnsi"/>
        </w:rPr>
      </w:pPr>
      <w:r w:rsidRPr="007E1B8A">
        <w:rPr>
          <w:rFonts w:asciiTheme="minorHAnsi" w:hAnsiTheme="minorHAnsi" w:cstheme="minorHAnsi"/>
        </w:rPr>
        <w:t xml:space="preserve">These rules repeal the </w:t>
      </w:r>
      <w:r w:rsidRPr="007E1B8A">
        <w:rPr>
          <w:rFonts w:asciiTheme="minorHAnsi" w:hAnsiTheme="minorHAnsi" w:cstheme="minorHAnsi"/>
          <w:i/>
          <w:iCs/>
        </w:rPr>
        <w:t>Family Law Rules 2004</w:t>
      </w:r>
      <w:r w:rsidRPr="007E1B8A">
        <w:rPr>
          <w:rFonts w:asciiTheme="minorHAnsi" w:hAnsiTheme="minorHAnsi" w:cstheme="minorHAnsi"/>
        </w:rPr>
        <w:t xml:space="preserve">. </w:t>
      </w:r>
    </w:p>
    <w:p w14:paraId="660EA7CE" w14:textId="77777777" w:rsidR="007E1B8A" w:rsidRPr="007E1B8A" w:rsidRDefault="007E1B8A" w:rsidP="00924A51">
      <w:pPr>
        <w:pStyle w:val="ListParagraph"/>
        <w:spacing w:after="0" w:line="240" w:lineRule="auto"/>
        <w:rPr>
          <w:rFonts w:asciiTheme="minorHAnsi" w:hAnsiTheme="minorHAnsi" w:cstheme="minorHAnsi"/>
        </w:rPr>
      </w:pPr>
    </w:p>
    <w:p w14:paraId="5B486A6B" w14:textId="797E5E77" w:rsidR="007E1B8A" w:rsidRPr="007E1B8A" w:rsidRDefault="0020733F" w:rsidP="00924A51">
      <w:pPr>
        <w:pStyle w:val="ListParagraph"/>
        <w:numPr>
          <w:ilvl w:val="0"/>
          <w:numId w:val="15"/>
        </w:numPr>
        <w:spacing w:after="0" w:line="240" w:lineRule="auto"/>
        <w:contextualSpacing w:val="0"/>
        <w:rPr>
          <w:rFonts w:asciiTheme="minorHAnsi" w:hAnsiTheme="minorHAnsi" w:cstheme="minorHAnsi"/>
          <w:b/>
          <w:bCs/>
        </w:rPr>
      </w:pPr>
      <w:hyperlink r:id="rId13" w:history="1">
        <w:r w:rsidR="007E1B8A" w:rsidRPr="00F9090C">
          <w:rPr>
            <w:rStyle w:val="Hyperlink"/>
            <w:rFonts w:asciiTheme="minorHAnsi" w:hAnsiTheme="minorHAnsi" w:cstheme="minorHAnsi"/>
            <w:b/>
            <w:bCs/>
            <w:i/>
            <w:iCs/>
          </w:rPr>
          <w:t>Family Law (State and Territory Courts) Rules 2021</w:t>
        </w:r>
      </w:hyperlink>
    </w:p>
    <w:p w14:paraId="042769E2" w14:textId="25701B31" w:rsidR="007E1B8A" w:rsidRDefault="007E1B8A" w:rsidP="00924A51">
      <w:pPr>
        <w:ind w:left="720"/>
        <w:rPr>
          <w:rFonts w:asciiTheme="minorHAnsi" w:hAnsiTheme="minorHAnsi" w:cstheme="minorHAnsi"/>
          <w:sz w:val="22"/>
          <w:szCs w:val="22"/>
        </w:rPr>
      </w:pPr>
      <w:r w:rsidRPr="007E1B8A">
        <w:rPr>
          <w:rFonts w:asciiTheme="minorHAnsi" w:hAnsiTheme="minorHAnsi" w:cstheme="minorHAnsi"/>
          <w:sz w:val="22"/>
          <w:szCs w:val="22"/>
        </w:rPr>
        <w:t xml:space="preserve">These rules are the standard rules of court made under section 123 of the </w:t>
      </w:r>
      <w:r w:rsidRPr="007E1B8A">
        <w:rPr>
          <w:rFonts w:asciiTheme="minorHAnsi" w:hAnsiTheme="minorHAnsi" w:cstheme="minorHAnsi"/>
          <w:i/>
          <w:iCs/>
          <w:sz w:val="22"/>
          <w:szCs w:val="22"/>
        </w:rPr>
        <w:t xml:space="preserve">Family Law Act </w:t>
      </w:r>
      <w:r w:rsidRPr="007E1B8A">
        <w:rPr>
          <w:rFonts w:asciiTheme="minorHAnsi" w:hAnsiTheme="minorHAnsi" w:cstheme="minorHAnsi"/>
          <w:sz w:val="22"/>
          <w:szCs w:val="22"/>
        </w:rPr>
        <w:t xml:space="preserve">for all other courts exercising jurisdiction under the </w:t>
      </w:r>
      <w:r w:rsidRPr="007E1B8A">
        <w:rPr>
          <w:rFonts w:asciiTheme="minorHAnsi" w:hAnsiTheme="minorHAnsi" w:cstheme="minorHAnsi"/>
          <w:i/>
          <w:iCs/>
          <w:sz w:val="22"/>
          <w:szCs w:val="22"/>
        </w:rPr>
        <w:t xml:space="preserve">Family Law Act </w:t>
      </w:r>
      <w:r w:rsidRPr="007E1B8A">
        <w:rPr>
          <w:rFonts w:asciiTheme="minorHAnsi" w:hAnsiTheme="minorHAnsi" w:cstheme="minorHAnsi"/>
          <w:sz w:val="22"/>
          <w:szCs w:val="22"/>
        </w:rPr>
        <w:t xml:space="preserve">aside from the FCFCOA. This instrument also incorporates the recently made </w:t>
      </w:r>
      <w:r w:rsidRPr="007E1B8A">
        <w:rPr>
          <w:rFonts w:asciiTheme="minorHAnsi" w:hAnsiTheme="minorHAnsi" w:cstheme="minorHAnsi"/>
          <w:i/>
          <w:iCs/>
          <w:sz w:val="22"/>
          <w:szCs w:val="22"/>
        </w:rPr>
        <w:t xml:space="preserve">Family Court Rules 2021 </w:t>
      </w:r>
      <w:r w:rsidRPr="007E1B8A">
        <w:rPr>
          <w:rFonts w:asciiTheme="minorHAnsi" w:hAnsiTheme="minorHAnsi" w:cstheme="minorHAnsi"/>
          <w:sz w:val="22"/>
          <w:szCs w:val="22"/>
        </w:rPr>
        <w:t xml:space="preserve">(WA) as the rules of court that apply in the Family Court of Western Australia and the Magistrates Court of Western Australia, and clarifies that those rules prevail in proceedings in the WA courts to the extent of any inconsistency with these Rules. </w:t>
      </w:r>
    </w:p>
    <w:p w14:paraId="0D482C6C" w14:textId="0D08BE81" w:rsidR="00493B95" w:rsidRDefault="00493B95" w:rsidP="00924A51">
      <w:pPr>
        <w:rPr>
          <w:rFonts w:asciiTheme="minorHAnsi" w:hAnsiTheme="minorHAnsi" w:cstheme="minorHAnsi"/>
          <w:bCs/>
          <w:sz w:val="22"/>
          <w:szCs w:val="22"/>
          <w:u w:val="single"/>
        </w:rPr>
      </w:pPr>
      <w:r>
        <w:rPr>
          <w:rFonts w:asciiTheme="minorHAnsi" w:hAnsiTheme="minorHAnsi" w:cstheme="minorHAnsi"/>
          <w:bCs/>
          <w:sz w:val="22"/>
          <w:szCs w:val="22"/>
          <w:u w:val="single"/>
        </w:rPr>
        <w:lastRenderedPageBreak/>
        <w:t>C</w:t>
      </w:r>
      <w:r w:rsidR="007E1B8A" w:rsidRPr="005E30FA">
        <w:rPr>
          <w:rFonts w:asciiTheme="minorHAnsi" w:hAnsiTheme="minorHAnsi" w:cstheme="minorHAnsi"/>
          <w:bCs/>
          <w:sz w:val="22"/>
          <w:szCs w:val="22"/>
          <w:u w:val="single"/>
        </w:rPr>
        <w:t>ross-reference tables</w:t>
      </w:r>
    </w:p>
    <w:p w14:paraId="18E1883B" w14:textId="0F333B16" w:rsidR="007E1B8A" w:rsidRPr="009421C6" w:rsidRDefault="007E1B8A" w:rsidP="00924A51">
      <w:pPr>
        <w:rPr>
          <w:rFonts w:asciiTheme="minorHAnsi" w:hAnsiTheme="minorHAnsi" w:cstheme="minorHAnsi"/>
          <w:sz w:val="22"/>
          <w:szCs w:val="22"/>
          <w:u w:val="single"/>
        </w:rPr>
      </w:pPr>
    </w:p>
    <w:p w14:paraId="1F34014C" w14:textId="3B6E8360" w:rsidR="007E1B8A" w:rsidRPr="007E1B8A" w:rsidRDefault="007E1B8A" w:rsidP="00924A51">
      <w:pPr>
        <w:rPr>
          <w:rFonts w:asciiTheme="minorHAnsi" w:hAnsiTheme="minorHAnsi" w:cstheme="minorHAnsi"/>
          <w:sz w:val="22"/>
          <w:szCs w:val="22"/>
        </w:rPr>
      </w:pPr>
      <w:r w:rsidRPr="007E1B8A">
        <w:rPr>
          <w:rFonts w:asciiTheme="minorHAnsi" w:hAnsiTheme="minorHAnsi" w:cstheme="minorHAnsi"/>
          <w:sz w:val="22"/>
          <w:szCs w:val="22"/>
        </w:rPr>
        <w:t xml:space="preserve">Cross reference tables have been drafted that indicate where provisions of the </w:t>
      </w:r>
      <w:r w:rsidRPr="00493B95">
        <w:rPr>
          <w:rFonts w:asciiTheme="minorHAnsi" w:hAnsiTheme="minorHAnsi" w:cstheme="minorHAnsi"/>
          <w:i/>
          <w:sz w:val="22"/>
          <w:szCs w:val="22"/>
        </w:rPr>
        <w:t>F</w:t>
      </w:r>
      <w:r w:rsidR="00F9090C" w:rsidRPr="00493B95">
        <w:rPr>
          <w:rFonts w:asciiTheme="minorHAnsi" w:hAnsiTheme="minorHAnsi" w:cstheme="minorHAnsi"/>
          <w:i/>
          <w:sz w:val="22"/>
          <w:szCs w:val="22"/>
        </w:rPr>
        <w:t xml:space="preserve">amily </w:t>
      </w:r>
      <w:r w:rsidRPr="00493B95">
        <w:rPr>
          <w:rFonts w:asciiTheme="minorHAnsi" w:hAnsiTheme="minorHAnsi" w:cstheme="minorHAnsi"/>
          <w:i/>
          <w:sz w:val="22"/>
          <w:szCs w:val="22"/>
        </w:rPr>
        <w:t>L</w:t>
      </w:r>
      <w:r w:rsidR="00F9090C" w:rsidRPr="00493B95">
        <w:rPr>
          <w:rFonts w:asciiTheme="minorHAnsi" w:hAnsiTheme="minorHAnsi" w:cstheme="minorHAnsi"/>
          <w:i/>
          <w:sz w:val="22"/>
          <w:szCs w:val="22"/>
        </w:rPr>
        <w:t xml:space="preserve">aw </w:t>
      </w:r>
      <w:r w:rsidRPr="00493B95">
        <w:rPr>
          <w:rFonts w:asciiTheme="minorHAnsi" w:hAnsiTheme="minorHAnsi" w:cstheme="minorHAnsi"/>
          <w:i/>
          <w:sz w:val="22"/>
          <w:szCs w:val="22"/>
        </w:rPr>
        <w:t>R</w:t>
      </w:r>
      <w:r w:rsidR="00F9090C" w:rsidRPr="00493B95">
        <w:rPr>
          <w:rFonts w:asciiTheme="minorHAnsi" w:hAnsiTheme="minorHAnsi" w:cstheme="minorHAnsi"/>
          <w:i/>
          <w:sz w:val="22"/>
          <w:szCs w:val="22"/>
        </w:rPr>
        <w:t>ule</w:t>
      </w:r>
      <w:r w:rsidRPr="00493B95">
        <w:rPr>
          <w:rFonts w:asciiTheme="minorHAnsi" w:hAnsiTheme="minorHAnsi" w:cstheme="minorHAnsi"/>
          <w:i/>
          <w:sz w:val="22"/>
          <w:szCs w:val="22"/>
        </w:rPr>
        <w:t xml:space="preserve">s </w:t>
      </w:r>
      <w:r w:rsidR="00F9090C" w:rsidRPr="00493B95">
        <w:rPr>
          <w:rFonts w:asciiTheme="minorHAnsi" w:hAnsiTheme="minorHAnsi" w:cstheme="minorHAnsi"/>
          <w:i/>
          <w:sz w:val="22"/>
          <w:szCs w:val="22"/>
        </w:rPr>
        <w:t>2004</w:t>
      </w:r>
      <w:r w:rsidR="00F9090C">
        <w:rPr>
          <w:rFonts w:asciiTheme="minorHAnsi" w:hAnsiTheme="minorHAnsi" w:cstheme="minorHAnsi"/>
          <w:sz w:val="22"/>
          <w:szCs w:val="22"/>
        </w:rPr>
        <w:t xml:space="preserve">, </w:t>
      </w:r>
      <w:r w:rsidR="00F9090C" w:rsidRPr="00493B95">
        <w:rPr>
          <w:rFonts w:asciiTheme="minorHAnsi" w:hAnsiTheme="minorHAnsi" w:cstheme="minorHAnsi"/>
          <w:i/>
          <w:sz w:val="22"/>
          <w:szCs w:val="22"/>
        </w:rPr>
        <w:t>Federal Circuit Court Rules 2001</w:t>
      </w:r>
      <w:r w:rsidR="00F9090C">
        <w:rPr>
          <w:rFonts w:asciiTheme="minorHAnsi" w:hAnsiTheme="minorHAnsi" w:cstheme="minorHAnsi"/>
          <w:sz w:val="22"/>
          <w:szCs w:val="22"/>
        </w:rPr>
        <w:t xml:space="preserve"> (in both family law and general federal law) </w:t>
      </w:r>
      <w:r w:rsidRPr="007E1B8A">
        <w:rPr>
          <w:rFonts w:asciiTheme="minorHAnsi" w:hAnsiTheme="minorHAnsi" w:cstheme="minorHAnsi"/>
          <w:sz w:val="22"/>
          <w:szCs w:val="22"/>
        </w:rPr>
        <w:t>can be found in the new rules, or if they have been omitted. These are:</w:t>
      </w:r>
    </w:p>
    <w:p w14:paraId="29228D7D" w14:textId="77777777" w:rsidR="007E1B8A" w:rsidRPr="007E1B8A" w:rsidRDefault="007E1B8A" w:rsidP="00924A51">
      <w:pPr>
        <w:pStyle w:val="ListParagraph"/>
        <w:numPr>
          <w:ilvl w:val="0"/>
          <w:numId w:val="17"/>
        </w:numPr>
        <w:spacing w:after="0" w:line="240" w:lineRule="auto"/>
        <w:contextualSpacing w:val="0"/>
        <w:rPr>
          <w:rFonts w:asciiTheme="minorHAnsi" w:hAnsiTheme="minorHAnsi" w:cstheme="minorHAnsi"/>
        </w:rPr>
      </w:pPr>
      <w:r w:rsidRPr="007E1B8A">
        <w:rPr>
          <w:rFonts w:asciiTheme="minorHAnsi" w:hAnsiTheme="minorHAnsi" w:cstheme="minorHAnsi"/>
        </w:rPr>
        <w:t xml:space="preserve">Cross-reference table between the </w:t>
      </w:r>
      <w:r w:rsidRPr="007E1B8A">
        <w:rPr>
          <w:rFonts w:asciiTheme="minorHAnsi" w:hAnsiTheme="minorHAnsi" w:cstheme="minorHAnsi"/>
          <w:i/>
          <w:iCs/>
        </w:rPr>
        <w:t>Family Law Rules 2004</w:t>
      </w:r>
      <w:r w:rsidRPr="007E1B8A">
        <w:rPr>
          <w:rFonts w:asciiTheme="minorHAnsi" w:hAnsiTheme="minorHAnsi" w:cstheme="minorHAnsi"/>
        </w:rPr>
        <w:t xml:space="preserve"> and Family Law Rules 2021</w:t>
      </w:r>
    </w:p>
    <w:p w14:paraId="2D9AB5D3" w14:textId="77777777" w:rsidR="007E1B8A" w:rsidRPr="007E1B8A" w:rsidRDefault="007E1B8A" w:rsidP="00924A51">
      <w:pPr>
        <w:pStyle w:val="ListParagraph"/>
        <w:numPr>
          <w:ilvl w:val="0"/>
          <w:numId w:val="17"/>
        </w:numPr>
        <w:spacing w:after="0" w:line="240" w:lineRule="auto"/>
        <w:contextualSpacing w:val="0"/>
        <w:rPr>
          <w:rFonts w:asciiTheme="minorHAnsi" w:hAnsiTheme="minorHAnsi" w:cstheme="minorHAnsi"/>
        </w:rPr>
      </w:pPr>
      <w:r w:rsidRPr="007E1B8A">
        <w:rPr>
          <w:rFonts w:asciiTheme="minorHAnsi" w:hAnsiTheme="minorHAnsi" w:cstheme="minorHAnsi"/>
        </w:rPr>
        <w:t xml:space="preserve">Cross-reference table between the </w:t>
      </w:r>
      <w:r w:rsidRPr="007E1B8A">
        <w:rPr>
          <w:rFonts w:asciiTheme="minorHAnsi" w:hAnsiTheme="minorHAnsi" w:cstheme="minorHAnsi"/>
          <w:i/>
          <w:iCs/>
        </w:rPr>
        <w:t xml:space="preserve">Federal Circuit Court Rules 2001 </w:t>
      </w:r>
      <w:r w:rsidRPr="007E1B8A">
        <w:rPr>
          <w:rFonts w:asciiTheme="minorHAnsi" w:hAnsiTheme="minorHAnsi" w:cstheme="minorHAnsi"/>
        </w:rPr>
        <w:t>and the Family Law Rules 2021</w:t>
      </w:r>
    </w:p>
    <w:p w14:paraId="233E2916" w14:textId="77777777" w:rsidR="007E1B8A" w:rsidRPr="007E1B8A" w:rsidRDefault="007E1B8A" w:rsidP="00924A51">
      <w:pPr>
        <w:pStyle w:val="ListParagraph"/>
        <w:numPr>
          <w:ilvl w:val="0"/>
          <w:numId w:val="17"/>
        </w:numPr>
        <w:spacing w:after="0" w:line="240" w:lineRule="auto"/>
        <w:contextualSpacing w:val="0"/>
        <w:rPr>
          <w:rFonts w:asciiTheme="minorHAnsi" w:hAnsiTheme="minorHAnsi" w:cstheme="minorHAnsi"/>
        </w:rPr>
      </w:pPr>
      <w:r w:rsidRPr="007E1B8A">
        <w:rPr>
          <w:rFonts w:asciiTheme="minorHAnsi" w:hAnsiTheme="minorHAnsi" w:cstheme="minorHAnsi"/>
        </w:rPr>
        <w:t xml:space="preserve">Cross-reference table between the </w:t>
      </w:r>
      <w:r w:rsidRPr="007E1B8A">
        <w:rPr>
          <w:rFonts w:asciiTheme="minorHAnsi" w:hAnsiTheme="minorHAnsi" w:cstheme="minorHAnsi"/>
          <w:i/>
          <w:iCs/>
        </w:rPr>
        <w:t xml:space="preserve">Federal Circuit Court Rules 2001 </w:t>
      </w:r>
      <w:r w:rsidRPr="007E1B8A">
        <w:rPr>
          <w:rFonts w:asciiTheme="minorHAnsi" w:hAnsiTheme="minorHAnsi" w:cstheme="minorHAnsi"/>
        </w:rPr>
        <w:t xml:space="preserve">and the FCFC </w:t>
      </w:r>
      <w:proofErr w:type="spellStart"/>
      <w:r w:rsidRPr="007E1B8A">
        <w:rPr>
          <w:rFonts w:asciiTheme="minorHAnsi" w:hAnsiTheme="minorHAnsi" w:cstheme="minorHAnsi"/>
        </w:rPr>
        <w:t>Div</w:t>
      </w:r>
      <w:proofErr w:type="spellEnd"/>
      <w:r w:rsidRPr="007E1B8A">
        <w:rPr>
          <w:rFonts w:asciiTheme="minorHAnsi" w:hAnsiTheme="minorHAnsi" w:cstheme="minorHAnsi"/>
        </w:rPr>
        <w:t xml:space="preserve"> 2 General Federal Law Rules 2021</w:t>
      </w:r>
    </w:p>
    <w:p w14:paraId="22BAE4C5" w14:textId="77777777" w:rsidR="007E1B8A" w:rsidRPr="007E1B8A" w:rsidRDefault="007E1B8A" w:rsidP="00924A51">
      <w:pPr>
        <w:rPr>
          <w:rFonts w:asciiTheme="minorHAnsi" w:hAnsiTheme="minorHAnsi" w:cstheme="minorHAnsi"/>
          <w:sz w:val="22"/>
          <w:szCs w:val="22"/>
        </w:rPr>
      </w:pPr>
    </w:p>
    <w:p w14:paraId="76E720BF" w14:textId="0068F4E4" w:rsidR="007E1B8A" w:rsidRDefault="007E1B8A" w:rsidP="00924A51">
      <w:pPr>
        <w:rPr>
          <w:rFonts w:asciiTheme="minorHAnsi" w:hAnsiTheme="minorHAnsi" w:cstheme="minorHAnsi"/>
          <w:bCs/>
          <w:sz w:val="22"/>
          <w:szCs w:val="22"/>
          <w:u w:val="single"/>
        </w:rPr>
      </w:pPr>
      <w:r w:rsidRPr="005E30FA">
        <w:rPr>
          <w:rFonts w:asciiTheme="minorHAnsi" w:hAnsiTheme="minorHAnsi" w:cstheme="minorHAnsi"/>
          <w:bCs/>
          <w:sz w:val="22"/>
          <w:szCs w:val="22"/>
          <w:u w:val="single"/>
        </w:rPr>
        <w:t>Transitional arrangements</w:t>
      </w:r>
    </w:p>
    <w:p w14:paraId="5587703F" w14:textId="77777777" w:rsidR="00493B95" w:rsidRPr="005E30FA" w:rsidRDefault="00493B95" w:rsidP="00924A51">
      <w:pPr>
        <w:rPr>
          <w:rFonts w:asciiTheme="minorHAnsi" w:hAnsiTheme="minorHAnsi" w:cstheme="minorHAnsi"/>
          <w:bCs/>
          <w:sz w:val="22"/>
          <w:szCs w:val="22"/>
          <w:u w:val="single"/>
        </w:rPr>
      </w:pPr>
    </w:p>
    <w:p w14:paraId="1BE02EA8" w14:textId="3637B393" w:rsidR="007E1B8A" w:rsidRPr="007E1B8A" w:rsidRDefault="007E1B8A" w:rsidP="00924A51">
      <w:pPr>
        <w:rPr>
          <w:rFonts w:asciiTheme="minorHAnsi" w:hAnsiTheme="minorHAnsi" w:cstheme="minorHAnsi"/>
          <w:sz w:val="22"/>
          <w:szCs w:val="22"/>
        </w:rPr>
      </w:pPr>
      <w:r w:rsidRPr="007E1B8A">
        <w:rPr>
          <w:rFonts w:asciiTheme="minorHAnsi" w:hAnsiTheme="minorHAnsi" w:cstheme="minorHAnsi"/>
          <w:sz w:val="22"/>
          <w:szCs w:val="22"/>
        </w:rPr>
        <w:t xml:space="preserve">A </w:t>
      </w:r>
      <w:r w:rsidRPr="001724FB">
        <w:rPr>
          <w:rFonts w:asciiTheme="minorHAnsi" w:hAnsiTheme="minorHAnsi" w:cstheme="minorHAnsi"/>
          <w:sz w:val="22"/>
          <w:szCs w:val="22"/>
        </w:rPr>
        <w:t>practice direction</w:t>
      </w:r>
      <w:r w:rsidR="00511593">
        <w:rPr>
          <w:rFonts w:asciiTheme="minorHAnsi" w:hAnsiTheme="minorHAnsi" w:cstheme="minorHAnsi"/>
          <w:sz w:val="22"/>
          <w:szCs w:val="22"/>
        </w:rPr>
        <w:t xml:space="preserve"> </w:t>
      </w:r>
      <w:r w:rsidR="00493B95">
        <w:rPr>
          <w:rFonts w:asciiTheme="minorHAnsi" w:hAnsiTheme="minorHAnsi" w:cstheme="minorHAnsi"/>
          <w:sz w:val="22"/>
          <w:szCs w:val="22"/>
        </w:rPr>
        <w:t xml:space="preserve">has been issued </w:t>
      </w:r>
      <w:r w:rsidR="00511593">
        <w:rPr>
          <w:rFonts w:asciiTheme="minorHAnsi" w:hAnsiTheme="minorHAnsi" w:cstheme="minorHAnsi"/>
          <w:sz w:val="22"/>
          <w:szCs w:val="22"/>
        </w:rPr>
        <w:t xml:space="preserve">to </w:t>
      </w:r>
      <w:r w:rsidR="00493B95">
        <w:rPr>
          <w:rFonts w:asciiTheme="minorHAnsi" w:hAnsiTheme="minorHAnsi" w:cstheme="minorHAnsi"/>
          <w:sz w:val="22"/>
          <w:szCs w:val="22"/>
        </w:rPr>
        <w:t xml:space="preserve">set out </w:t>
      </w:r>
      <w:r w:rsidRPr="007E1B8A">
        <w:rPr>
          <w:rFonts w:asciiTheme="minorHAnsi" w:hAnsiTheme="minorHAnsi" w:cstheme="minorHAnsi"/>
          <w:sz w:val="22"/>
          <w:szCs w:val="22"/>
        </w:rPr>
        <w:t>transitional arrangements, and how the rules should apply to proceedings commenced before 1 September 2021 and not yet determined. Generally speaking, the new rules apply to all new proceedings from 1 September 2021. However, the Court retains the discretion to dispense with compliance with any provision of the new rules at all times, including where application of the new rules would operate unfairly or cause injustice.</w:t>
      </w:r>
    </w:p>
    <w:p w14:paraId="026AB2D5" w14:textId="72BEE8EF" w:rsidR="007E1B8A" w:rsidRDefault="007E1B8A" w:rsidP="00924A51">
      <w:pPr>
        <w:rPr>
          <w:rFonts w:asciiTheme="minorHAnsi" w:hAnsiTheme="minorHAnsi" w:cstheme="minorHAnsi"/>
          <w:sz w:val="22"/>
          <w:szCs w:val="22"/>
        </w:rPr>
      </w:pPr>
    </w:p>
    <w:p w14:paraId="43900B01" w14:textId="57F09B76" w:rsidR="007E1B8A" w:rsidRPr="0095143A" w:rsidRDefault="007E1B8A" w:rsidP="00924A51">
      <w:pPr>
        <w:rPr>
          <w:rFonts w:asciiTheme="minorHAnsi" w:hAnsiTheme="minorHAnsi" w:cstheme="minorHAnsi"/>
          <w:sz w:val="22"/>
          <w:szCs w:val="22"/>
        </w:rPr>
      </w:pPr>
      <w:r w:rsidRPr="007E1B8A">
        <w:rPr>
          <w:rFonts w:asciiTheme="minorHAnsi" w:hAnsiTheme="minorHAnsi" w:cstheme="minorHAnsi"/>
          <w:sz w:val="22"/>
          <w:szCs w:val="22"/>
        </w:rPr>
        <w:t xml:space="preserve">All of the rule instruments </w:t>
      </w:r>
      <w:r w:rsidR="00F9090C">
        <w:rPr>
          <w:rFonts w:asciiTheme="minorHAnsi" w:hAnsiTheme="minorHAnsi" w:cstheme="minorHAnsi"/>
          <w:sz w:val="22"/>
          <w:szCs w:val="22"/>
        </w:rPr>
        <w:t xml:space="preserve">are now available on the </w:t>
      </w:r>
      <w:hyperlink r:id="rId14" w:history="1">
        <w:r w:rsidR="00F9090C" w:rsidRPr="00F9090C">
          <w:rPr>
            <w:rStyle w:val="Hyperlink"/>
            <w:rFonts w:asciiTheme="minorHAnsi" w:hAnsiTheme="minorHAnsi" w:cstheme="minorHAnsi"/>
            <w:sz w:val="22"/>
            <w:szCs w:val="22"/>
          </w:rPr>
          <w:t>Federal Register of Legislation</w:t>
        </w:r>
      </w:hyperlink>
      <w:r w:rsidR="00F9090C">
        <w:rPr>
          <w:rFonts w:asciiTheme="minorHAnsi" w:hAnsiTheme="minorHAnsi" w:cstheme="minorHAnsi"/>
          <w:sz w:val="22"/>
          <w:szCs w:val="22"/>
        </w:rPr>
        <w:t>.</w:t>
      </w:r>
    </w:p>
    <w:p w14:paraId="08A82A6D" w14:textId="153A730F" w:rsidR="00EA680E" w:rsidRDefault="00EA680E" w:rsidP="007E1B8A">
      <w:pPr>
        <w:spacing w:line="276" w:lineRule="auto"/>
        <w:jc w:val="both"/>
        <w:rPr>
          <w:rFonts w:asciiTheme="minorHAnsi" w:hAnsiTheme="minorHAnsi" w:cstheme="minorHAnsi"/>
          <w:sz w:val="22"/>
          <w:szCs w:val="22"/>
        </w:rPr>
      </w:pPr>
    </w:p>
    <w:p w14:paraId="53164D65" w14:textId="4488EEDC" w:rsidR="00511593" w:rsidRPr="008E52AE" w:rsidRDefault="00681DD3" w:rsidP="00511593">
      <w:pPr>
        <w:pStyle w:val="Heading2"/>
      </w:pPr>
      <w:r>
        <w:t>New</w:t>
      </w:r>
      <w:r w:rsidR="00F9090C">
        <w:t xml:space="preserve"> </w:t>
      </w:r>
      <w:r w:rsidR="00511593" w:rsidRPr="008E52AE">
        <w:t>practice directions</w:t>
      </w:r>
    </w:p>
    <w:p w14:paraId="19A4051E" w14:textId="43E955A9" w:rsidR="00511593" w:rsidRDefault="00F9090C" w:rsidP="00511593">
      <w:pPr>
        <w:rPr>
          <w:rFonts w:asciiTheme="minorHAnsi" w:hAnsiTheme="minorHAnsi" w:cstheme="minorHAnsi"/>
          <w:sz w:val="22"/>
          <w:szCs w:val="22"/>
        </w:rPr>
      </w:pPr>
      <w:r>
        <w:rPr>
          <w:rFonts w:asciiTheme="minorHAnsi" w:hAnsiTheme="minorHAnsi" w:cstheme="minorHAnsi"/>
          <w:sz w:val="22"/>
          <w:szCs w:val="22"/>
        </w:rPr>
        <w:t>Three</w:t>
      </w:r>
      <w:r w:rsidR="00511593" w:rsidRPr="008E52AE">
        <w:rPr>
          <w:rFonts w:asciiTheme="minorHAnsi" w:hAnsiTheme="minorHAnsi" w:cstheme="minorHAnsi"/>
          <w:sz w:val="22"/>
          <w:szCs w:val="22"/>
        </w:rPr>
        <w:t xml:space="preserve"> </w:t>
      </w:r>
      <w:r w:rsidR="00511593" w:rsidRPr="001724FB">
        <w:rPr>
          <w:rFonts w:asciiTheme="minorHAnsi" w:hAnsiTheme="minorHAnsi" w:cstheme="minorHAnsi"/>
          <w:sz w:val="22"/>
          <w:szCs w:val="22"/>
        </w:rPr>
        <w:t>Central Practice Direction</w:t>
      </w:r>
      <w:r w:rsidRPr="001724FB">
        <w:rPr>
          <w:rFonts w:asciiTheme="minorHAnsi" w:hAnsiTheme="minorHAnsi" w:cstheme="minorHAnsi"/>
          <w:sz w:val="22"/>
          <w:szCs w:val="22"/>
        </w:rPr>
        <w:t>s</w:t>
      </w:r>
      <w:r>
        <w:rPr>
          <w:rFonts w:asciiTheme="minorHAnsi" w:hAnsiTheme="minorHAnsi" w:cstheme="minorHAnsi"/>
          <w:sz w:val="22"/>
          <w:szCs w:val="22"/>
        </w:rPr>
        <w:t xml:space="preserve"> have been issued by the Chief Justice/Chief Judge which</w:t>
      </w:r>
      <w:r w:rsidR="00511593" w:rsidRPr="008E52AE">
        <w:rPr>
          <w:rFonts w:asciiTheme="minorHAnsi" w:hAnsiTheme="minorHAnsi" w:cstheme="minorHAnsi"/>
          <w:sz w:val="22"/>
          <w:szCs w:val="22"/>
        </w:rPr>
        <w:t xml:space="preserve"> </w:t>
      </w:r>
      <w:r w:rsidR="00511593">
        <w:rPr>
          <w:rFonts w:asciiTheme="minorHAnsi" w:hAnsiTheme="minorHAnsi" w:cstheme="minorHAnsi"/>
          <w:sz w:val="22"/>
          <w:szCs w:val="22"/>
        </w:rPr>
        <w:t>set</w:t>
      </w:r>
      <w:r w:rsidR="00511593" w:rsidRPr="008E52AE">
        <w:rPr>
          <w:rFonts w:asciiTheme="minorHAnsi" w:hAnsiTheme="minorHAnsi" w:cstheme="minorHAnsi"/>
          <w:sz w:val="22"/>
          <w:szCs w:val="22"/>
        </w:rPr>
        <w:t xml:space="preserve"> out the management of famil</w:t>
      </w:r>
      <w:r w:rsidR="00511593">
        <w:rPr>
          <w:rFonts w:asciiTheme="minorHAnsi" w:hAnsiTheme="minorHAnsi" w:cstheme="minorHAnsi"/>
          <w:sz w:val="22"/>
          <w:szCs w:val="22"/>
        </w:rPr>
        <w:t>y law</w:t>
      </w:r>
      <w:r>
        <w:rPr>
          <w:rFonts w:asciiTheme="minorHAnsi" w:hAnsiTheme="minorHAnsi" w:cstheme="minorHAnsi"/>
          <w:sz w:val="22"/>
          <w:szCs w:val="22"/>
        </w:rPr>
        <w:t xml:space="preserve">, migration and general federal </w:t>
      </w:r>
      <w:r w:rsidRPr="00493B95">
        <w:rPr>
          <w:rFonts w:asciiTheme="minorHAnsi" w:hAnsiTheme="minorHAnsi" w:cstheme="minorHAnsi"/>
          <w:sz w:val="22"/>
          <w:szCs w:val="22"/>
        </w:rPr>
        <w:t xml:space="preserve">law </w:t>
      </w:r>
      <w:r w:rsidR="00511593" w:rsidRPr="00493B95">
        <w:rPr>
          <w:rFonts w:asciiTheme="minorHAnsi" w:hAnsiTheme="minorHAnsi" w:cstheme="minorHAnsi"/>
          <w:sz w:val="22"/>
          <w:szCs w:val="22"/>
        </w:rPr>
        <w:t xml:space="preserve">proceedings. </w:t>
      </w:r>
      <w:r w:rsidRPr="00493B95">
        <w:rPr>
          <w:rFonts w:asciiTheme="minorHAnsi" w:hAnsiTheme="minorHAnsi" w:cstheme="minorHAnsi"/>
          <w:sz w:val="22"/>
          <w:szCs w:val="22"/>
        </w:rPr>
        <w:t>These Central Practice Directions are available here:</w:t>
      </w:r>
    </w:p>
    <w:p w14:paraId="653AC717" w14:textId="77777777" w:rsidR="00493B95" w:rsidRDefault="00493B95" w:rsidP="00511593">
      <w:pPr>
        <w:rPr>
          <w:rFonts w:ascii="Calibri Light" w:hAnsi="Calibri Light" w:cs="Calibri Light"/>
        </w:rPr>
      </w:pPr>
    </w:p>
    <w:p w14:paraId="551C36B4" w14:textId="77777777" w:rsidR="00F9090C" w:rsidRPr="00493B95" w:rsidRDefault="00F9090C" w:rsidP="00F9090C">
      <w:pPr>
        <w:rPr>
          <w:rFonts w:asciiTheme="minorHAnsi" w:hAnsiTheme="minorHAnsi" w:cstheme="minorHAnsi"/>
          <w:bCs/>
          <w:sz w:val="22"/>
        </w:rPr>
      </w:pPr>
      <w:r w:rsidRPr="00493B95">
        <w:rPr>
          <w:rFonts w:asciiTheme="minorHAnsi" w:hAnsiTheme="minorHAnsi" w:cstheme="minorHAnsi"/>
          <w:bCs/>
          <w:sz w:val="22"/>
        </w:rPr>
        <w:t>Central Practice Direction – Family Law Case Management</w:t>
      </w:r>
    </w:p>
    <w:p w14:paraId="6E67961B" w14:textId="77777777" w:rsidR="00F9090C" w:rsidRPr="00493B95" w:rsidRDefault="00F9090C" w:rsidP="00F9090C">
      <w:pPr>
        <w:rPr>
          <w:rFonts w:asciiTheme="minorHAnsi" w:hAnsiTheme="minorHAnsi" w:cstheme="minorHAnsi"/>
          <w:sz w:val="22"/>
        </w:rPr>
      </w:pPr>
      <w:r w:rsidRPr="00493B95">
        <w:rPr>
          <w:rFonts w:asciiTheme="minorHAnsi" w:hAnsiTheme="minorHAnsi" w:cstheme="minorHAnsi"/>
          <w:sz w:val="22"/>
        </w:rPr>
        <w:t>Central Practice Direction – Migration proceedings</w:t>
      </w:r>
    </w:p>
    <w:p w14:paraId="40A4FE04" w14:textId="16F68717" w:rsidR="00F9090C" w:rsidRPr="00493B95" w:rsidRDefault="00F9090C" w:rsidP="00F9090C">
      <w:pPr>
        <w:rPr>
          <w:rFonts w:asciiTheme="minorHAnsi" w:hAnsiTheme="minorHAnsi" w:cstheme="minorHAnsi"/>
          <w:sz w:val="22"/>
        </w:rPr>
      </w:pPr>
      <w:r w:rsidRPr="00493B95">
        <w:rPr>
          <w:rFonts w:asciiTheme="minorHAnsi" w:hAnsiTheme="minorHAnsi" w:cstheme="minorHAnsi"/>
          <w:sz w:val="22"/>
        </w:rPr>
        <w:t>Central Practice Direction – General Federal Law proceedings</w:t>
      </w:r>
    </w:p>
    <w:p w14:paraId="181A8370" w14:textId="0A3241BC" w:rsidR="00681DD3" w:rsidRDefault="00F9090C" w:rsidP="00511593">
      <w:pPr>
        <w:spacing w:before="240"/>
        <w:rPr>
          <w:rFonts w:asciiTheme="minorHAnsi" w:hAnsiTheme="minorHAnsi" w:cstheme="minorHAnsi"/>
          <w:sz w:val="22"/>
          <w:szCs w:val="22"/>
        </w:rPr>
      </w:pPr>
      <w:r>
        <w:rPr>
          <w:rFonts w:asciiTheme="minorHAnsi" w:hAnsiTheme="minorHAnsi" w:cstheme="minorHAnsi"/>
          <w:sz w:val="22"/>
          <w:szCs w:val="22"/>
        </w:rPr>
        <w:t>In total, t</w:t>
      </w:r>
      <w:r w:rsidR="00681DD3">
        <w:rPr>
          <w:rFonts w:asciiTheme="minorHAnsi" w:hAnsiTheme="minorHAnsi" w:cstheme="minorHAnsi"/>
          <w:sz w:val="22"/>
          <w:szCs w:val="22"/>
        </w:rPr>
        <w:t xml:space="preserve">he Court has </w:t>
      </w:r>
      <w:r>
        <w:rPr>
          <w:rFonts w:asciiTheme="minorHAnsi" w:hAnsiTheme="minorHAnsi" w:cstheme="minorHAnsi"/>
          <w:sz w:val="22"/>
          <w:szCs w:val="22"/>
        </w:rPr>
        <w:t xml:space="preserve">also </w:t>
      </w:r>
      <w:r w:rsidR="00681DD3">
        <w:rPr>
          <w:rFonts w:asciiTheme="minorHAnsi" w:hAnsiTheme="minorHAnsi" w:cstheme="minorHAnsi"/>
          <w:sz w:val="22"/>
          <w:szCs w:val="22"/>
        </w:rPr>
        <w:t xml:space="preserve">developed </w:t>
      </w:r>
      <w:r>
        <w:rPr>
          <w:rFonts w:asciiTheme="minorHAnsi" w:hAnsiTheme="minorHAnsi" w:cstheme="minorHAnsi"/>
          <w:sz w:val="22"/>
          <w:szCs w:val="22"/>
        </w:rPr>
        <w:t xml:space="preserve">25 </w:t>
      </w:r>
      <w:r w:rsidR="00511593" w:rsidRPr="001724FB">
        <w:rPr>
          <w:rFonts w:asciiTheme="minorHAnsi" w:hAnsiTheme="minorHAnsi" w:cstheme="minorHAnsi"/>
          <w:sz w:val="22"/>
          <w:szCs w:val="22"/>
        </w:rPr>
        <w:t>new practice directions</w:t>
      </w:r>
      <w:r w:rsidR="00511593" w:rsidRPr="008E52AE">
        <w:rPr>
          <w:rFonts w:asciiTheme="minorHAnsi" w:hAnsiTheme="minorHAnsi" w:cstheme="minorHAnsi"/>
          <w:sz w:val="22"/>
          <w:szCs w:val="22"/>
        </w:rPr>
        <w:t xml:space="preserve"> </w:t>
      </w:r>
      <w:r w:rsidR="00681DD3">
        <w:rPr>
          <w:rFonts w:asciiTheme="minorHAnsi" w:hAnsiTheme="minorHAnsi" w:cstheme="minorHAnsi"/>
          <w:sz w:val="22"/>
          <w:szCs w:val="22"/>
        </w:rPr>
        <w:t xml:space="preserve">to </w:t>
      </w:r>
      <w:r w:rsidR="00511593" w:rsidRPr="008E52AE">
        <w:rPr>
          <w:rFonts w:asciiTheme="minorHAnsi" w:hAnsiTheme="minorHAnsi" w:cstheme="minorHAnsi"/>
          <w:sz w:val="22"/>
          <w:szCs w:val="22"/>
        </w:rPr>
        <w:t xml:space="preserve">provide guidance for litigants and practitioners about the various practice areas within the </w:t>
      </w:r>
      <w:r w:rsidR="00681DD3">
        <w:rPr>
          <w:rFonts w:asciiTheme="minorHAnsi" w:hAnsiTheme="minorHAnsi" w:cstheme="minorHAnsi"/>
          <w:sz w:val="22"/>
          <w:szCs w:val="22"/>
        </w:rPr>
        <w:t>Court’s j</w:t>
      </w:r>
      <w:r w:rsidR="00511593" w:rsidRPr="008E52AE">
        <w:rPr>
          <w:rFonts w:asciiTheme="minorHAnsi" w:hAnsiTheme="minorHAnsi" w:cstheme="minorHAnsi"/>
          <w:sz w:val="22"/>
          <w:szCs w:val="22"/>
        </w:rPr>
        <w:t xml:space="preserve">urisdiction. </w:t>
      </w:r>
    </w:p>
    <w:p w14:paraId="46C18E3C" w14:textId="30CBDE43" w:rsidR="00681DD3" w:rsidRDefault="00511593" w:rsidP="00511593">
      <w:pPr>
        <w:spacing w:before="240"/>
        <w:rPr>
          <w:rFonts w:asciiTheme="minorHAnsi" w:hAnsiTheme="minorHAnsi" w:cstheme="minorHAnsi"/>
          <w:sz w:val="22"/>
          <w:szCs w:val="22"/>
        </w:rPr>
      </w:pPr>
      <w:r>
        <w:rPr>
          <w:rFonts w:asciiTheme="minorHAnsi" w:hAnsiTheme="minorHAnsi" w:cstheme="minorHAnsi"/>
          <w:sz w:val="22"/>
          <w:szCs w:val="22"/>
        </w:rPr>
        <w:t>The</w:t>
      </w:r>
      <w:r w:rsidR="00681DD3">
        <w:rPr>
          <w:rFonts w:asciiTheme="minorHAnsi" w:hAnsiTheme="minorHAnsi" w:cstheme="minorHAnsi"/>
          <w:sz w:val="22"/>
          <w:szCs w:val="22"/>
        </w:rPr>
        <w:t xml:space="preserve"> new practice directions are listed in the table below.</w:t>
      </w:r>
    </w:p>
    <w:p w14:paraId="7CD3EF20" w14:textId="77777777" w:rsidR="00681DD3" w:rsidRDefault="00681DD3" w:rsidP="00681DD3">
      <w:pPr>
        <w:rPr>
          <w:rFonts w:ascii="Calibri Light" w:hAnsi="Calibri Light" w:cs="Calibri Light"/>
        </w:rPr>
      </w:pPr>
    </w:p>
    <w:tbl>
      <w:tblPr>
        <w:tblW w:w="0" w:type="auto"/>
        <w:tblCellMar>
          <w:left w:w="0" w:type="dxa"/>
          <w:right w:w="0" w:type="dxa"/>
        </w:tblCellMar>
        <w:tblLook w:val="04A0" w:firstRow="1" w:lastRow="0" w:firstColumn="1" w:lastColumn="0" w:noHBand="0" w:noVBand="1"/>
      </w:tblPr>
      <w:tblGrid>
        <w:gridCol w:w="1467"/>
        <w:gridCol w:w="5426"/>
        <w:gridCol w:w="2284"/>
      </w:tblGrid>
      <w:tr w:rsidR="004451F6" w:rsidRPr="004451F6" w14:paraId="51C4213F" w14:textId="77777777" w:rsidTr="00493B95">
        <w:tc>
          <w:tcPr>
            <w:tcW w:w="1467" w:type="dxa"/>
            <w:tcBorders>
              <w:top w:val="nil"/>
              <w:left w:val="single" w:sz="8" w:space="0" w:color="BFBFBF"/>
              <w:bottom w:val="single" w:sz="8" w:space="0" w:color="BFBFBF"/>
              <w:right w:val="single" w:sz="8" w:space="0" w:color="BFBFBF"/>
            </w:tcBorders>
            <w:shd w:val="clear" w:color="auto" w:fill="D9D9D9" w:themeFill="background1" w:themeFillShade="D9"/>
            <w:tcMar>
              <w:top w:w="0" w:type="dxa"/>
              <w:left w:w="108" w:type="dxa"/>
              <w:bottom w:w="0" w:type="dxa"/>
              <w:right w:w="108" w:type="dxa"/>
            </w:tcMar>
          </w:tcPr>
          <w:p w14:paraId="65D253BB" w14:textId="51D1D36B" w:rsidR="004451F6" w:rsidRPr="004451F6" w:rsidRDefault="004451F6" w:rsidP="004451F6">
            <w:pPr>
              <w:rPr>
                <w:rFonts w:asciiTheme="minorHAnsi" w:hAnsiTheme="minorHAnsi" w:cstheme="minorHAnsi"/>
                <w:b/>
                <w:bCs/>
                <w:sz w:val="22"/>
              </w:rPr>
            </w:pPr>
            <w:r w:rsidRPr="00EA4993">
              <w:rPr>
                <w:rFonts w:asciiTheme="minorHAnsi" w:hAnsiTheme="minorHAnsi" w:cstheme="minorHAnsi"/>
                <w:b/>
                <w:bCs/>
                <w:sz w:val="22"/>
              </w:rPr>
              <w:t>Category</w:t>
            </w:r>
          </w:p>
        </w:tc>
        <w:tc>
          <w:tcPr>
            <w:tcW w:w="5426" w:type="dxa"/>
            <w:tcBorders>
              <w:top w:val="nil"/>
              <w:left w:val="nil"/>
              <w:bottom w:val="single" w:sz="8" w:space="0" w:color="BFBFBF"/>
              <w:right w:val="single" w:sz="8" w:space="0" w:color="BFBFBF"/>
            </w:tcBorders>
            <w:shd w:val="clear" w:color="auto" w:fill="D9D9D9" w:themeFill="background1" w:themeFillShade="D9"/>
            <w:tcMar>
              <w:top w:w="0" w:type="dxa"/>
              <w:left w:w="108" w:type="dxa"/>
              <w:bottom w:w="0" w:type="dxa"/>
              <w:right w:w="108" w:type="dxa"/>
            </w:tcMar>
          </w:tcPr>
          <w:p w14:paraId="50E3111D" w14:textId="79A88669" w:rsidR="004451F6" w:rsidRPr="004451F6" w:rsidRDefault="004451F6" w:rsidP="004451F6">
            <w:pPr>
              <w:rPr>
                <w:rFonts w:asciiTheme="minorHAnsi" w:hAnsiTheme="minorHAnsi" w:cstheme="minorHAnsi"/>
                <w:sz w:val="22"/>
              </w:rPr>
            </w:pPr>
            <w:r>
              <w:rPr>
                <w:rFonts w:asciiTheme="minorHAnsi" w:hAnsiTheme="minorHAnsi" w:cstheme="minorHAnsi"/>
                <w:b/>
                <w:bCs/>
                <w:sz w:val="22"/>
              </w:rPr>
              <w:t>Title</w:t>
            </w:r>
          </w:p>
        </w:tc>
        <w:tc>
          <w:tcPr>
            <w:tcW w:w="2284" w:type="dxa"/>
            <w:tcBorders>
              <w:top w:val="nil"/>
              <w:left w:val="nil"/>
              <w:bottom w:val="single" w:sz="8" w:space="0" w:color="BFBFBF"/>
              <w:right w:val="single" w:sz="8" w:space="0" w:color="BFBFBF"/>
            </w:tcBorders>
            <w:shd w:val="clear" w:color="auto" w:fill="D9D9D9" w:themeFill="background1" w:themeFillShade="D9"/>
            <w:tcMar>
              <w:top w:w="0" w:type="dxa"/>
              <w:left w:w="108" w:type="dxa"/>
              <w:bottom w:w="0" w:type="dxa"/>
              <w:right w:w="108" w:type="dxa"/>
            </w:tcMar>
          </w:tcPr>
          <w:p w14:paraId="321459C1" w14:textId="7E70F0B7" w:rsidR="004451F6" w:rsidRPr="00493B95" w:rsidRDefault="004451F6" w:rsidP="004451F6">
            <w:pPr>
              <w:rPr>
                <w:rFonts w:asciiTheme="minorHAnsi" w:hAnsiTheme="minorHAnsi" w:cstheme="minorHAnsi"/>
                <w:b/>
                <w:sz w:val="22"/>
              </w:rPr>
            </w:pPr>
            <w:r w:rsidRPr="00493B95">
              <w:rPr>
                <w:rFonts w:asciiTheme="minorHAnsi" w:hAnsiTheme="minorHAnsi" w:cstheme="minorHAnsi"/>
                <w:b/>
                <w:sz w:val="22"/>
              </w:rPr>
              <w:t>Naming Convention</w:t>
            </w:r>
          </w:p>
        </w:tc>
      </w:tr>
      <w:tr w:rsidR="004451F6" w:rsidRPr="004451F6" w14:paraId="71B9AB51" w14:textId="77777777" w:rsidTr="00493B95">
        <w:tc>
          <w:tcPr>
            <w:tcW w:w="1467" w:type="dxa"/>
            <w:vMerge w:val="restar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6A045CA6"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b/>
                <w:bCs/>
                <w:sz w:val="22"/>
              </w:rPr>
              <w:t>FCFCOA</w:t>
            </w: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2EC5FC8F"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sz w:val="22"/>
              </w:rPr>
              <w:t xml:space="preserve">FCFCOA Practice Direction – Revocation of Practice Directions and Information Notices </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7C76B98F"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PD-REVOKE</w:t>
            </w:r>
          </w:p>
        </w:tc>
      </w:tr>
      <w:tr w:rsidR="004451F6" w:rsidRPr="004451F6" w14:paraId="0AA7DB02"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7AEE32BD"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4AE9E969"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sz w:val="22"/>
              </w:rPr>
              <w:t>FCFCOA Practice Direction - Transitional Arrangements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0AAC2F86"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PD-TRANSITIONAL</w:t>
            </w:r>
          </w:p>
        </w:tc>
      </w:tr>
      <w:tr w:rsidR="004451F6" w:rsidRPr="004451F6" w14:paraId="0C16B33A"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64899F76"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2A0B22FA"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sz w:val="22"/>
              </w:rPr>
              <w:t xml:space="preserve">FCFCOA Practice Direction – COVID-19 Special Measures </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0849A39F"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PD-COVID</w:t>
            </w:r>
          </w:p>
        </w:tc>
      </w:tr>
      <w:tr w:rsidR="004451F6" w:rsidRPr="004451F6" w14:paraId="79DF5419" w14:textId="77777777" w:rsidTr="00493B95">
        <w:tc>
          <w:tcPr>
            <w:tcW w:w="1467" w:type="dxa"/>
            <w:vMerge w:val="restar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5DE66ED7"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b/>
                <w:bCs/>
                <w:sz w:val="22"/>
              </w:rPr>
              <w:t>Family Law</w:t>
            </w: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1AB38CFD"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b/>
                <w:bCs/>
                <w:sz w:val="22"/>
              </w:rPr>
              <w:t>Central Practice Direction – Family Law Case Management</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75347E54"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b/>
                <w:bCs/>
                <w:sz w:val="22"/>
              </w:rPr>
              <w:t>FAM-CPD</w:t>
            </w:r>
          </w:p>
        </w:tc>
      </w:tr>
      <w:tr w:rsidR="004451F6" w:rsidRPr="004451F6" w14:paraId="73A82D4F"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07AA3F64"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485CA3BF"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 xml:space="preserve">Family Law Practice Direction – Financial proceedings </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2502B360"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FAM-FINANCIAL</w:t>
            </w:r>
          </w:p>
        </w:tc>
      </w:tr>
      <w:tr w:rsidR="004451F6" w:rsidRPr="004451F6" w14:paraId="731B3499"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15DF1BD3"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1713B96C"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 xml:space="preserve">Family Law Practice Direction  – Parenting proceedings </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6ABD16A9"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FAM-PARENTING</w:t>
            </w:r>
          </w:p>
        </w:tc>
      </w:tr>
      <w:tr w:rsidR="004451F6" w:rsidRPr="004451F6" w14:paraId="4B8C70F3"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75BDBE4D"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5E35FD10"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Divorce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583A3191"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FAM-DIVORCE</w:t>
            </w:r>
          </w:p>
        </w:tc>
      </w:tr>
      <w:tr w:rsidR="004451F6" w:rsidRPr="004451F6" w14:paraId="73F102EF"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65D5FBFB"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334ECCF3"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Child support and child maintenance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71195579"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FAM-CHILDSUPPORT</w:t>
            </w:r>
          </w:p>
        </w:tc>
      </w:tr>
      <w:tr w:rsidR="004451F6" w:rsidRPr="004451F6" w14:paraId="6CD0ADE8"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000A6DF5"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614342AA"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Appeals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6C615397"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FAM-APPEALS</w:t>
            </w:r>
          </w:p>
        </w:tc>
      </w:tr>
      <w:tr w:rsidR="004451F6" w:rsidRPr="004451F6" w14:paraId="13E6F77D"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1CAC8668"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087038C9"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National COVID-19 List</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543F1A76"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FAM-COVID</w:t>
            </w:r>
          </w:p>
        </w:tc>
      </w:tr>
      <w:tr w:rsidR="004451F6" w:rsidRPr="004451F6" w14:paraId="1D27BD99"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1EB128FD"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3EEB106B"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National Contravention List</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5AE1A299"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FAM-CONTRAVENTION</w:t>
            </w:r>
          </w:p>
        </w:tc>
      </w:tr>
      <w:tr w:rsidR="004451F6" w:rsidRPr="004451F6" w14:paraId="6F31FACF"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18A14D48"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52298EF3"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Arbitration</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1F5DDE9D"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FAM-ARBITRATION</w:t>
            </w:r>
          </w:p>
        </w:tc>
      </w:tr>
      <w:tr w:rsidR="004451F6" w:rsidRPr="004451F6" w14:paraId="013B788A"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6B6FC5DE"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2F2ACD47"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Lighthouse Project and Evatt List</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1811E2EE"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FAM-LHP</w:t>
            </w:r>
          </w:p>
        </w:tc>
      </w:tr>
      <w:tr w:rsidR="004451F6" w:rsidRPr="004451F6" w14:paraId="4DE59EB7"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618C02D3"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073CA061"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Priority Property Pools under $500,000</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3BE150CD"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FAM-PPP500</w:t>
            </w:r>
          </w:p>
        </w:tc>
      </w:tr>
      <w:tr w:rsidR="004451F6" w:rsidRPr="004451F6" w14:paraId="1B9FD774"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7D06AEF0"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2C18DD82"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 xml:space="preserve">Family Law Practice Direction – Passport proceedings </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50F6802B"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FAM-PASSPORT</w:t>
            </w:r>
          </w:p>
        </w:tc>
      </w:tr>
      <w:tr w:rsidR="004451F6" w:rsidRPr="004451F6" w14:paraId="49D3CA47"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5E192AD8"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0134855A"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Medical procedure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56EC7F12"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FAM-MEDICAL</w:t>
            </w:r>
          </w:p>
        </w:tc>
      </w:tr>
      <w:tr w:rsidR="004451F6" w:rsidRPr="004451F6" w14:paraId="7D9718AC"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5D03EAF2"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4960328F"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Nullity and validity of marriage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0A807863"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FAM-NULLITY</w:t>
            </w:r>
          </w:p>
        </w:tc>
      </w:tr>
      <w:tr w:rsidR="004451F6" w:rsidRPr="004451F6" w14:paraId="7732A2C4"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289A6CDB"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368662F4"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Surrogacy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5C8F0EAB"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FAM-SURROGACY</w:t>
            </w:r>
          </w:p>
        </w:tc>
      </w:tr>
      <w:tr w:rsidR="004451F6" w:rsidRPr="004451F6" w14:paraId="15EE375C"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6C9B2193"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1639BE3F"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 xml:space="preserve">Family Law Practice Direction – Trans-Tasman Proceedings Act proceedings </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404443EA"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FAM-TRANSTASMAN</w:t>
            </w:r>
          </w:p>
        </w:tc>
      </w:tr>
      <w:tr w:rsidR="004451F6" w:rsidRPr="004451F6" w14:paraId="542219E3"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6ECE859B"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0B653088"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Bankruptcy Act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44037812"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FAM-BANKRUPTCY</w:t>
            </w:r>
          </w:p>
        </w:tc>
      </w:tr>
      <w:tr w:rsidR="004451F6" w:rsidRPr="004451F6" w14:paraId="16B047E8"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3B480104"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617ADD1B"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Family Law Practice Direction – Corporations Act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4181413B"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FAM-CORPS</w:t>
            </w:r>
          </w:p>
        </w:tc>
      </w:tr>
      <w:tr w:rsidR="004451F6" w:rsidRPr="004451F6" w14:paraId="47B27CA2" w14:textId="77777777" w:rsidTr="00493B95">
        <w:tc>
          <w:tcPr>
            <w:tcW w:w="1467" w:type="dxa"/>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03C35019"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b/>
                <w:bCs/>
                <w:sz w:val="22"/>
              </w:rPr>
              <w:t xml:space="preserve">Migration </w:t>
            </w: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3820D1BC"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b/>
                <w:bCs/>
                <w:sz w:val="22"/>
              </w:rPr>
              <w:t>Central Practice Direction – Migration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5E1ADD8E"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b/>
                <w:bCs/>
                <w:sz w:val="22"/>
              </w:rPr>
              <w:t>MIG-CPD</w:t>
            </w:r>
          </w:p>
        </w:tc>
      </w:tr>
      <w:tr w:rsidR="004451F6" w:rsidRPr="004451F6" w14:paraId="7FD80A2D" w14:textId="77777777" w:rsidTr="00493B95">
        <w:tc>
          <w:tcPr>
            <w:tcW w:w="1467" w:type="dxa"/>
            <w:vMerge w:val="restart"/>
            <w:tcBorders>
              <w:top w:val="nil"/>
              <w:left w:val="single" w:sz="8" w:space="0" w:color="BFBFBF"/>
              <w:bottom w:val="single" w:sz="8" w:space="0" w:color="BFBFBF"/>
              <w:right w:val="single" w:sz="8" w:space="0" w:color="BFBFBF"/>
            </w:tcBorders>
            <w:tcMar>
              <w:top w:w="0" w:type="dxa"/>
              <w:left w:w="108" w:type="dxa"/>
              <w:bottom w:w="0" w:type="dxa"/>
              <w:right w:w="108" w:type="dxa"/>
            </w:tcMar>
            <w:hideMark/>
          </w:tcPr>
          <w:p w14:paraId="256429D8"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b/>
                <w:bCs/>
                <w:sz w:val="22"/>
              </w:rPr>
              <w:t>General Federal Law</w:t>
            </w: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15159901"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b/>
                <w:bCs/>
                <w:sz w:val="22"/>
              </w:rPr>
              <w:t>Central Practice Direction – General Federal Law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789B7B59" w14:textId="77777777" w:rsidR="004451F6" w:rsidRPr="00493B95" w:rsidRDefault="004451F6" w:rsidP="004451F6">
            <w:pPr>
              <w:rPr>
                <w:rFonts w:asciiTheme="minorHAnsi" w:hAnsiTheme="minorHAnsi" w:cstheme="minorHAnsi"/>
                <w:b/>
                <w:bCs/>
                <w:sz w:val="22"/>
              </w:rPr>
            </w:pPr>
            <w:r w:rsidRPr="00493B95">
              <w:rPr>
                <w:rFonts w:asciiTheme="minorHAnsi" w:hAnsiTheme="minorHAnsi" w:cstheme="minorHAnsi"/>
                <w:b/>
                <w:bCs/>
                <w:sz w:val="22"/>
              </w:rPr>
              <w:t>GENFED-CPD</w:t>
            </w:r>
          </w:p>
        </w:tc>
      </w:tr>
      <w:tr w:rsidR="004451F6" w:rsidRPr="004451F6" w14:paraId="7B390C9B"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1E0B6280"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5068159C"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General Federal Law Practice Direction – Intellectual Property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4411D584"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GENFED-IP</w:t>
            </w:r>
          </w:p>
        </w:tc>
      </w:tr>
      <w:tr w:rsidR="004451F6" w:rsidRPr="004451F6" w14:paraId="4FCB2BE2" w14:textId="77777777" w:rsidTr="00493B95">
        <w:tc>
          <w:tcPr>
            <w:tcW w:w="0" w:type="auto"/>
            <w:vMerge/>
            <w:tcBorders>
              <w:top w:val="nil"/>
              <w:left w:val="single" w:sz="8" w:space="0" w:color="BFBFBF"/>
              <w:bottom w:val="single" w:sz="8" w:space="0" w:color="BFBFBF"/>
              <w:right w:val="single" w:sz="8" w:space="0" w:color="BFBFBF"/>
            </w:tcBorders>
            <w:vAlign w:val="center"/>
            <w:hideMark/>
          </w:tcPr>
          <w:p w14:paraId="56A5867A" w14:textId="77777777" w:rsidR="004451F6" w:rsidRPr="00493B95" w:rsidRDefault="004451F6" w:rsidP="004451F6">
            <w:pPr>
              <w:rPr>
                <w:rFonts w:asciiTheme="minorHAnsi" w:eastAsiaTheme="minorHAnsi" w:hAnsiTheme="minorHAnsi" w:cstheme="minorHAnsi"/>
                <w:b/>
                <w:bCs/>
                <w:sz w:val="22"/>
                <w:szCs w:val="22"/>
                <w:lang w:eastAsia="en-US"/>
              </w:rPr>
            </w:pPr>
          </w:p>
        </w:tc>
        <w:tc>
          <w:tcPr>
            <w:tcW w:w="5426" w:type="dxa"/>
            <w:tcBorders>
              <w:top w:val="nil"/>
              <w:left w:val="nil"/>
              <w:bottom w:val="single" w:sz="8" w:space="0" w:color="BFBFBF"/>
              <w:right w:val="single" w:sz="8" w:space="0" w:color="BFBFBF"/>
            </w:tcBorders>
            <w:tcMar>
              <w:top w:w="0" w:type="dxa"/>
              <w:left w:w="108" w:type="dxa"/>
              <w:bottom w:w="0" w:type="dxa"/>
              <w:right w:w="108" w:type="dxa"/>
            </w:tcMar>
            <w:hideMark/>
          </w:tcPr>
          <w:p w14:paraId="49D9CBFF"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General Federal Law Practice Direction – Admiralty and maritime proceedings</w:t>
            </w:r>
          </w:p>
        </w:tc>
        <w:tc>
          <w:tcPr>
            <w:tcW w:w="2284" w:type="dxa"/>
            <w:tcBorders>
              <w:top w:val="nil"/>
              <w:left w:val="nil"/>
              <w:bottom w:val="single" w:sz="8" w:space="0" w:color="BFBFBF"/>
              <w:right w:val="single" w:sz="8" w:space="0" w:color="BFBFBF"/>
            </w:tcBorders>
            <w:tcMar>
              <w:top w:w="0" w:type="dxa"/>
              <w:left w:w="108" w:type="dxa"/>
              <w:bottom w:w="0" w:type="dxa"/>
              <w:right w:w="108" w:type="dxa"/>
            </w:tcMar>
            <w:hideMark/>
          </w:tcPr>
          <w:p w14:paraId="4373E2A8" w14:textId="77777777" w:rsidR="004451F6" w:rsidRPr="00493B95" w:rsidRDefault="004451F6" w:rsidP="004451F6">
            <w:pPr>
              <w:rPr>
                <w:rFonts w:asciiTheme="minorHAnsi" w:hAnsiTheme="minorHAnsi" w:cstheme="minorHAnsi"/>
                <w:sz w:val="22"/>
              </w:rPr>
            </w:pPr>
            <w:r w:rsidRPr="00493B95">
              <w:rPr>
                <w:rFonts w:asciiTheme="minorHAnsi" w:hAnsiTheme="minorHAnsi" w:cstheme="minorHAnsi"/>
                <w:sz w:val="22"/>
              </w:rPr>
              <w:t>GENFED-ADMIRALTY</w:t>
            </w:r>
          </w:p>
        </w:tc>
      </w:tr>
    </w:tbl>
    <w:p w14:paraId="3EB52700" w14:textId="418F7009" w:rsidR="00961F34" w:rsidRDefault="00961F34" w:rsidP="00681DD3">
      <w:pPr>
        <w:rPr>
          <w:rFonts w:ascii="Calibri Light" w:eastAsiaTheme="minorHAnsi" w:hAnsi="Calibri Light" w:cs="Calibri Light"/>
          <w:sz w:val="22"/>
          <w:szCs w:val="22"/>
          <w:lang w:eastAsia="en-US"/>
        </w:rPr>
      </w:pPr>
    </w:p>
    <w:p w14:paraId="7E0ACA36" w14:textId="22871BA7" w:rsidR="00961F34" w:rsidRPr="008E52AE" w:rsidRDefault="00961F34" w:rsidP="00961F34">
      <w:pPr>
        <w:pStyle w:val="Heading2"/>
      </w:pPr>
      <w:r>
        <w:t>New information notices</w:t>
      </w:r>
      <w:r w:rsidRPr="008E52AE">
        <w:t xml:space="preserve"> </w:t>
      </w:r>
    </w:p>
    <w:p w14:paraId="470B0E0F" w14:textId="435F6ED4" w:rsidR="00961F34" w:rsidRDefault="00961F34" w:rsidP="00EA4993">
      <w:pPr>
        <w:spacing w:before="240"/>
        <w:rPr>
          <w:rFonts w:asciiTheme="minorHAnsi" w:hAnsiTheme="minorHAnsi" w:cstheme="minorHAnsi"/>
          <w:sz w:val="22"/>
          <w:szCs w:val="22"/>
        </w:rPr>
      </w:pPr>
      <w:r>
        <w:rPr>
          <w:rFonts w:asciiTheme="minorHAnsi" w:hAnsiTheme="minorHAnsi" w:cstheme="minorHAnsi"/>
          <w:sz w:val="22"/>
          <w:szCs w:val="22"/>
        </w:rPr>
        <w:t xml:space="preserve">In total, the Court has also developed 3 </w:t>
      </w:r>
      <w:r w:rsidRPr="001724FB">
        <w:rPr>
          <w:rFonts w:asciiTheme="minorHAnsi" w:hAnsiTheme="minorHAnsi" w:cstheme="minorHAnsi"/>
          <w:sz w:val="22"/>
          <w:szCs w:val="22"/>
        </w:rPr>
        <w:t>new information</w:t>
      </w:r>
      <w:r>
        <w:rPr>
          <w:rFonts w:asciiTheme="minorHAnsi" w:hAnsiTheme="minorHAnsi" w:cstheme="minorHAnsi"/>
          <w:sz w:val="22"/>
          <w:szCs w:val="22"/>
        </w:rPr>
        <w:t xml:space="preserve"> notices relevant to specific aspects of the Court’s work, including special arrangements in light of COVID-19. </w:t>
      </w:r>
    </w:p>
    <w:p w14:paraId="0E273B0E" w14:textId="2AB722D2" w:rsidR="00961F34" w:rsidRDefault="00961F34" w:rsidP="00961F34">
      <w:pPr>
        <w:spacing w:before="240"/>
        <w:rPr>
          <w:rFonts w:asciiTheme="minorHAnsi" w:hAnsiTheme="minorHAnsi" w:cstheme="minorHAnsi"/>
          <w:sz w:val="22"/>
          <w:szCs w:val="22"/>
        </w:rPr>
      </w:pPr>
      <w:r>
        <w:rPr>
          <w:rFonts w:asciiTheme="minorHAnsi" w:hAnsiTheme="minorHAnsi" w:cstheme="minorHAnsi"/>
          <w:sz w:val="22"/>
          <w:szCs w:val="22"/>
        </w:rPr>
        <w:t>The new information notices are listed in the table below.</w:t>
      </w:r>
    </w:p>
    <w:p w14:paraId="4EBF9E57" w14:textId="77777777" w:rsidR="00961F34" w:rsidRDefault="00961F34" w:rsidP="00961F34">
      <w:pPr>
        <w:spacing w:before="240"/>
        <w:rPr>
          <w:rFonts w:asciiTheme="minorHAnsi" w:hAnsiTheme="minorHAnsi" w:cstheme="minorHAnsi"/>
          <w:sz w:val="22"/>
          <w:szCs w:val="22"/>
        </w:rPr>
      </w:pPr>
    </w:p>
    <w:tbl>
      <w:tblPr>
        <w:tblW w:w="0" w:type="auto"/>
        <w:tblCellMar>
          <w:left w:w="0" w:type="dxa"/>
          <w:right w:w="0" w:type="dxa"/>
        </w:tblCellMar>
        <w:tblLook w:val="04A0" w:firstRow="1" w:lastRow="0" w:firstColumn="1" w:lastColumn="0" w:noHBand="0" w:noVBand="1"/>
      </w:tblPr>
      <w:tblGrid>
        <w:gridCol w:w="1448"/>
        <w:gridCol w:w="5479"/>
        <w:gridCol w:w="2266"/>
      </w:tblGrid>
      <w:tr w:rsidR="00961F34" w14:paraId="553EFC65" w14:textId="77777777" w:rsidTr="00493B95">
        <w:tc>
          <w:tcPr>
            <w:tcW w:w="1448" w:type="dxa"/>
            <w:vMerge w:val="restart"/>
            <w:tcBorders>
              <w:top w:val="single" w:sz="8" w:space="0" w:color="BFBFBF"/>
              <w:left w:val="single" w:sz="8" w:space="0" w:color="BFBFBF"/>
              <w:bottom w:val="single" w:sz="8" w:space="0" w:color="BFBFBF"/>
              <w:right w:val="single" w:sz="8" w:space="0" w:color="BFBFBF"/>
            </w:tcBorders>
            <w:tcMar>
              <w:top w:w="0" w:type="dxa"/>
              <w:left w:w="108" w:type="dxa"/>
              <w:bottom w:w="0" w:type="dxa"/>
              <w:right w:w="108" w:type="dxa"/>
            </w:tcMar>
            <w:hideMark/>
          </w:tcPr>
          <w:p w14:paraId="077225C4" w14:textId="77777777" w:rsidR="00961F34" w:rsidRPr="00493B95" w:rsidRDefault="00961F34">
            <w:pPr>
              <w:rPr>
                <w:rFonts w:asciiTheme="minorHAnsi" w:hAnsiTheme="minorHAnsi" w:cstheme="minorHAnsi"/>
                <w:b/>
                <w:bCs/>
                <w:sz w:val="22"/>
              </w:rPr>
            </w:pPr>
            <w:r w:rsidRPr="00493B95">
              <w:rPr>
                <w:rFonts w:asciiTheme="minorHAnsi" w:hAnsiTheme="minorHAnsi" w:cstheme="minorHAnsi"/>
                <w:b/>
                <w:bCs/>
                <w:sz w:val="22"/>
              </w:rPr>
              <w:t>FCFCOA</w:t>
            </w:r>
          </w:p>
        </w:tc>
        <w:tc>
          <w:tcPr>
            <w:tcW w:w="5479" w:type="dxa"/>
            <w:tcBorders>
              <w:top w:val="single" w:sz="8" w:space="0" w:color="BFBFBF"/>
              <w:left w:val="nil"/>
              <w:bottom w:val="single" w:sz="8" w:space="0" w:color="BFBFBF"/>
              <w:right w:val="single" w:sz="8" w:space="0" w:color="BFBFBF"/>
            </w:tcBorders>
            <w:tcMar>
              <w:top w:w="0" w:type="dxa"/>
              <w:left w:w="108" w:type="dxa"/>
              <w:bottom w:w="0" w:type="dxa"/>
              <w:right w:w="108" w:type="dxa"/>
            </w:tcMar>
            <w:hideMark/>
          </w:tcPr>
          <w:p w14:paraId="71D792B3" w14:textId="77777777" w:rsidR="00961F34" w:rsidRPr="00493B95" w:rsidRDefault="00961F34">
            <w:pPr>
              <w:rPr>
                <w:rFonts w:asciiTheme="minorHAnsi" w:hAnsiTheme="minorHAnsi" w:cstheme="minorHAnsi"/>
                <w:sz w:val="22"/>
              </w:rPr>
            </w:pPr>
            <w:r w:rsidRPr="00493B95">
              <w:rPr>
                <w:rFonts w:asciiTheme="minorHAnsi" w:hAnsiTheme="minorHAnsi" w:cstheme="minorHAnsi"/>
                <w:sz w:val="22"/>
              </w:rPr>
              <w:t>FCFCOA Special Measures Information Notice – COVID-19 Electronic Subpoena Inspection</w:t>
            </w:r>
          </w:p>
        </w:tc>
        <w:tc>
          <w:tcPr>
            <w:tcW w:w="2266" w:type="dxa"/>
            <w:tcBorders>
              <w:top w:val="single" w:sz="8" w:space="0" w:color="BFBFBF"/>
              <w:left w:val="nil"/>
              <w:bottom w:val="single" w:sz="8" w:space="0" w:color="BFBFBF"/>
              <w:right w:val="single" w:sz="8" w:space="0" w:color="BFBFBF"/>
            </w:tcBorders>
            <w:tcMar>
              <w:top w:w="0" w:type="dxa"/>
              <w:left w:w="108" w:type="dxa"/>
              <w:bottom w:w="0" w:type="dxa"/>
              <w:right w:w="108" w:type="dxa"/>
            </w:tcMar>
            <w:hideMark/>
          </w:tcPr>
          <w:p w14:paraId="7623C4BA" w14:textId="77777777" w:rsidR="00961F34" w:rsidRPr="00493B95" w:rsidRDefault="00961F34">
            <w:pPr>
              <w:rPr>
                <w:rFonts w:asciiTheme="minorHAnsi" w:hAnsiTheme="minorHAnsi" w:cstheme="minorHAnsi"/>
                <w:sz w:val="22"/>
              </w:rPr>
            </w:pPr>
            <w:r w:rsidRPr="00493B95">
              <w:rPr>
                <w:rFonts w:asciiTheme="minorHAnsi" w:hAnsiTheme="minorHAnsi" w:cstheme="minorHAnsi"/>
                <w:sz w:val="22"/>
              </w:rPr>
              <w:t>SMIN-COVID</w:t>
            </w:r>
          </w:p>
        </w:tc>
      </w:tr>
      <w:tr w:rsidR="00961F34" w14:paraId="7866CBA6" w14:textId="77777777" w:rsidTr="00493B95">
        <w:tc>
          <w:tcPr>
            <w:tcW w:w="0" w:type="auto"/>
            <w:vMerge/>
            <w:tcBorders>
              <w:top w:val="single" w:sz="8" w:space="0" w:color="BFBFBF"/>
              <w:left w:val="single" w:sz="8" w:space="0" w:color="BFBFBF"/>
              <w:bottom w:val="single" w:sz="8" w:space="0" w:color="BFBFBF"/>
              <w:right w:val="single" w:sz="8" w:space="0" w:color="BFBFBF"/>
            </w:tcBorders>
            <w:vAlign w:val="center"/>
            <w:hideMark/>
          </w:tcPr>
          <w:p w14:paraId="6C658D06" w14:textId="77777777" w:rsidR="00961F34" w:rsidRPr="00493B95" w:rsidRDefault="00961F34">
            <w:pPr>
              <w:rPr>
                <w:rFonts w:asciiTheme="minorHAnsi" w:eastAsiaTheme="minorHAnsi" w:hAnsiTheme="minorHAnsi" w:cstheme="minorHAnsi"/>
                <w:b/>
                <w:bCs/>
                <w:sz w:val="22"/>
                <w:szCs w:val="22"/>
                <w:lang w:eastAsia="en-US"/>
              </w:rPr>
            </w:pPr>
          </w:p>
        </w:tc>
        <w:tc>
          <w:tcPr>
            <w:tcW w:w="5479" w:type="dxa"/>
            <w:tcBorders>
              <w:top w:val="nil"/>
              <w:left w:val="nil"/>
              <w:bottom w:val="single" w:sz="8" w:space="0" w:color="BFBFBF"/>
              <w:right w:val="single" w:sz="8" w:space="0" w:color="BFBFBF"/>
            </w:tcBorders>
            <w:tcMar>
              <w:top w:w="0" w:type="dxa"/>
              <w:left w:w="108" w:type="dxa"/>
              <w:bottom w:w="0" w:type="dxa"/>
              <w:right w:w="108" w:type="dxa"/>
            </w:tcMar>
            <w:hideMark/>
          </w:tcPr>
          <w:p w14:paraId="4551F93F" w14:textId="77777777" w:rsidR="00961F34" w:rsidRPr="00493B95" w:rsidRDefault="00961F34">
            <w:pPr>
              <w:rPr>
                <w:rFonts w:asciiTheme="minorHAnsi" w:hAnsiTheme="minorHAnsi" w:cstheme="minorHAnsi"/>
                <w:sz w:val="22"/>
              </w:rPr>
            </w:pPr>
            <w:r w:rsidRPr="00493B95">
              <w:rPr>
                <w:rFonts w:asciiTheme="minorHAnsi" w:hAnsiTheme="minorHAnsi" w:cstheme="minorHAnsi"/>
                <w:sz w:val="22"/>
              </w:rPr>
              <w:t>FCFCOA Information Notice – Court Record</w:t>
            </w:r>
          </w:p>
        </w:tc>
        <w:tc>
          <w:tcPr>
            <w:tcW w:w="2266" w:type="dxa"/>
            <w:tcBorders>
              <w:top w:val="nil"/>
              <w:left w:val="nil"/>
              <w:bottom w:val="single" w:sz="8" w:space="0" w:color="BFBFBF"/>
              <w:right w:val="single" w:sz="8" w:space="0" w:color="BFBFBF"/>
            </w:tcBorders>
            <w:tcMar>
              <w:top w:w="0" w:type="dxa"/>
              <w:left w:w="108" w:type="dxa"/>
              <w:bottom w:w="0" w:type="dxa"/>
              <w:right w:w="108" w:type="dxa"/>
            </w:tcMar>
            <w:hideMark/>
          </w:tcPr>
          <w:p w14:paraId="74D3B229" w14:textId="77777777" w:rsidR="00961F34" w:rsidRPr="00493B95" w:rsidRDefault="00961F34">
            <w:pPr>
              <w:rPr>
                <w:rFonts w:asciiTheme="minorHAnsi" w:hAnsiTheme="minorHAnsi" w:cstheme="minorHAnsi"/>
                <w:sz w:val="22"/>
              </w:rPr>
            </w:pPr>
            <w:r w:rsidRPr="00493B95">
              <w:rPr>
                <w:rFonts w:asciiTheme="minorHAnsi" w:hAnsiTheme="minorHAnsi" w:cstheme="minorHAnsi"/>
                <w:sz w:val="22"/>
              </w:rPr>
              <w:t>IN-COURTRECORD</w:t>
            </w:r>
          </w:p>
        </w:tc>
      </w:tr>
      <w:tr w:rsidR="00961F34" w14:paraId="782B2D06" w14:textId="77777777" w:rsidTr="00493B95">
        <w:tc>
          <w:tcPr>
            <w:tcW w:w="0" w:type="auto"/>
            <w:vMerge/>
            <w:tcBorders>
              <w:top w:val="single" w:sz="8" w:space="0" w:color="BFBFBF"/>
              <w:left w:val="single" w:sz="8" w:space="0" w:color="BFBFBF"/>
              <w:bottom w:val="single" w:sz="8" w:space="0" w:color="BFBFBF"/>
              <w:right w:val="single" w:sz="8" w:space="0" w:color="BFBFBF"/>
            </w:tcBorders>
            <w:vAlign w:val="center"/>
            <w:hideMark/>
          </w:tcPr>
          <w:p w14:paraId="1A9F89C8" w14:textId="77777777" w:rsidR="00961F34" w:rsidRPr="00493B95" w:rsidRDefault="00961F34">
            <w:pPr>
              <w:rPr>
                <w:rFonts w:asciiTheme="minorHAnsi" w:eastAsiaTheme="minorHAnsi" w:hAnsiTheme="minorHAnsi" w:cstheme="minorHAnsi"/>
                <w:b/>
                <w:bCs/>
                <w:sz w:val="22"/>
                <w:szCs w:val="22"/>
                <w:lang w:eastAsia="en-US"/>
              </w:rPr>
            </w:pPr>
          </w:p>
        </w:tc>
        <w:tc>
          <w:tcPr>
            <w:tcW w:w="5479" w:type="dxa"/>
            <w:tcBorders>
              <w:top w:val="nil"/>
              <w:left w:val="nil"/>
              <w:bottom w:val="single" w:sz="8" w:space="0" w:color="BFBFBF"/>
              <w:right w:val="single" w:sz="8" w:space="0" w:color="BFBFBF"/>
            </w:tcBorders>
            <w:tcMar>
              <w:top w:w="0" w:type="dxa"/>
              <w:left w:w="108" w:type="dxa"/>
              <w:bottom w:w="0" w:type="dxa"/>
              <w:right w:w="108" w:type="dxa"/>
            </w:tcMar>
            <w:hideMark/>
          </w:tcPr>
          <w:p w14:paraId="3628AF86" w14:textId="77777777" w:rsidR="00961F34" w:rsidRPr="00493B95" w:rsidRDefault="00961F34">
            <w:pPr>
              <w:rPr>
                <w:rFonts w:asciiTheme="minorHAnsi" w:hAnsiTheme="minorHAnsi" w:cstheme="minorHAnsi"/>
                <w:sz w:val="22"/>
              </w:rPr>
            </w:pPr>
            <w:r w:rsidRPr="00493B95">
              <w:rPr>
                <w:rFonts w:asciiTheme="minorHAnsi" w:hAnsiTheme="minorHAnsi" w:cstheme="minorHAnsi"/>
                <w:sz w:val="22"/>
              </w:rPr>
              <w:t>FCFCOA Information Notice – Subpoenas and the Department of Fairness, Families and Housing, Victoria</w:t>
            </w:r>
          </w:p>
        </w:tc>
        <w:tc>
          <w:tcPr>
            <w:tcW w:w="2266" w:type="dxa"/>
            <w:tcBorders>
              <w:top w:val="nil"/>
              <w:left w:val="nil"/>
              <w:bottom w:val="single" w:sz="8" w:space="0" w:color="BFBFBF"/>
              <w:right w:val="single" w:sz="8" w:space="0" w:color="BFBFBF"/>
            </w:tcBorders>
            <w:tcMar>
              <w:top w:w="0" w:type="dxa"/>
              <w:left w:w="108" w:type="dxa"/>
              <w:bottom w:w="0" w:type="dxa"/>
              <w:right w:w="108" w:type="dxa"/>
            </w:tcMar>
            <w:hideMark/>
          </w:tcPr>
          <w:p w14:paraId="51E2783A" w14:textId="77777777" w:rsidR="00961F34" w:rsidRPr="00493B95" w:rsidRDefault="00961F34">
            <w:pPr>
              <w:rPr>
                <w:rFonts w:asciiTheme="minorHAnsi" w:hAnsiTheme="minorHAnsi" w:cstheme="minorHAnsi"/>
                <w:sz w:val="22"/>
              </w:rPr>
            </w:pPr>
            <w:r w:rsidRPr="00493B95">
              <w:rPr>
                <w:rFonts w:asciiTheme="minorHAnsi" w:hAnsiTheme="minorHAnsi" w:cstheme="minorHAnsi"/>
                <w:sz w:val="22"/>
              </w:rPr>
              <w:t>IN-DFFH</w:t>
            </w:r>
          </w:p>
        </w:tc>
      </w:tr>
    </w:tbl>
    <w:p w14:paraId="2B6B24DC" w14:textId="52A4D737" w:rsidR="00681DD3" w:rsidRPr="00493B95" w:rsidRDefault="00681DD3" w:rsidP="00681DD3">
      <w:pPr>
        <w:rPr>
          <w:rFonts w:asciiTheme="minorHAnsi" w:eastAsiaTheme="minorHAnsi" w:hAnsiTheme="minorHAnsi" w:cstheme="minorHAnsi"/>
          <w:sz w:val="22"/>
          <w:szCs w:val="22"/>
          <w:lang w:eastAsia="en-US"/>
        </w:rPr>
      </w:pPr>
    </w:p>
    <w:p w14:paraId="18E14987" w14:textId="0234860B" w:rsidR="00961F34" w:rsidRDefault="00961F34" w:rsidP="00681DD3">
      <w:pPr>
        <w:rPr>
          <w:rFonts w:asciiTheme="minorHAnsi" w:eastAsiaTheme="minorHAnsi" w:hAnsiTheme="minorHAnsi" w:cstheme="minorHAnsi"/>
          <w:sz w:val="22"/>
          <w:szCs w:val="22"/>
          <w:lang w:eastAsia="en-US"/>
        </w:rPr>
      </w:pPr>
      <w:r w:rsidRPr="00493B95">
        <w:rPr>
          <w:rFonts w:asciiTheme="minorHAnsi" w:eastAsiaTheme="minorHAnsi" w:hAnsiTheme="minorHAnsi" w:cstheme="minorHAnsi"/>
          <w:sz w:val="22"/>
          <w:szCs w:val="22"/>
          <w:lang w:eastAsia="en-US"/>
        </w:rPr>
        <w:t xml:space="preserve">A number of existing Practice Directions and Information Notices have been revoked as of 1 September 2021. These are listed in the </w:t>
      </w:r>
      <w:r w:rsidRPr="00493B95">
        <w:rPr>
          <w:rFonts w:asciiTheme="minorHAnsi" w:eastAsiaTheme="minorHAnsi" w:hAnsiTheme="minorHAnsi" w:cstheme="minorHAnsi"/>
          <w:i/>
          <w:sz w:val="22"/>
          <w:szCs w:val="22"/>
          <w:lang w:eastAsia="en-US"/>
        </w:rPr>
        <w:t>FCFCOA Practice Direction – Revocation of Practice Directions and Information Notices</w:t>
      </w:r>
      <w:r w:rsidR="0020733F">
        <w:rPr>
          <w:rFonts w:asciiTheme="minorHAnsi" w:eastAsiaTheme="minorHAnsi" w:hAnsiTheme="minorHAnsi" w:cstheme="minorHAnsi"/>
          <w:sz w:val="22"/>
          <w:szCs w:val="22"/>
          <w:lang w:eastAsia="en-US"/>
        </w:rPr>
        <w:t xml:space="preserve"> and can be accessed from these links:</w:t>
      </w:r>
    </w:p>
    <w:p w14:paraId="3406FC02" w14:textId="22ED7463" w:rsidR="0020733F" w:rsidRDefault="0020733F" w:rsidP="0020733F">
      <w:pPr>
        <w:pStyle w:val="ListParagraph"/>
        <w:numPr>
          <w:ilvl w:val="0"/>
          <w:numId w:val="21"/>
        </w:numPr>
        <w:rPr>
          <w:rFonts w:asciiTheme="minorHAnsi" w:hAnsiTheme="minorHAnsi" w:cstheme="minorHAnsi"/>
        </w:rPr>
      </w:pPr>
      <w:hyperlink r:id="rId15" w:history="1">
        <w:r w:rsidRPr="0020733F">
          <w:rPr>
            <w:rStyle w:val="Hyperlink"/>
            <w:rFonts w:asciiTheme="minorHAnsi" w:hAnsiTheme="minorHAnsi" w:cstheme="minorHAnsi"/>
          </w:rPr>
          <w:t>Revoked Practice Directions</w:t>
        </w:r>
      </w:hyperlink>
    </w:p>
    <w:p w14:paraId="4E01ACDC" w14:textId="1B8250DD" w:rsidR="0020733F" w:rsidRPr="0020733F" w:rsidRDefault="0020733F" w:rsidP="0020733F">
      <w:pPr>
        <w:pStyle w:val="ListParagraph"/>
        <w:numPr>
          <w:ilvl w:val="0"/>
          <w:numId w:val="21"/>
        </w:numPr>
        <w:rPr>
          <w:rFonts w:asciiTheme="minorHAnsi" w:hAnsiTheme="minorHAnsi" w:cstheme="minorHAnsi"/>
        </w:rPr>
      </w:pPr>
      <w:hyperlink r:id="rId16" w:history="1">
        <w:r w:rsidRPr="0020733F">
          <w:rPr>
            <w:rStyle w:val="Hyperlink"/>
            <w:rFonts w:asciiTheme="minorHAnsi" w:hAnsiTheme="minorHAnsi" w:cstheme="minorHAnsi"/>
          </w:rPr>
          <w:t>Revoked Information Notices</w:t>
        </w:r>
      </w:hyperlink>
      <w:bookmarkStart w:id="0" w:name="_GoBack"/>
      <w:bookmarkEnd w:id="0"/>
    </w:p>
    <w:p w14:paraId="75A35B8A" w14:textId="71B4EE59" w:rsidR="00681DD3" w:rsidRPr="008E52AE" w:rsidRDefault="00681DD3" w:rsidP="00681DD3">
      <w:pPr>
        <w:pStyle w:val="Heading2"/>
      </w:pPr>
      <w:r w:rsidRPr="008E52AE">
        <w:t>F</w:t>
      </w:r>
      <w:r>
        <w:t>o</w:t>
      </w:r>
      <w:r w:rsidRPr="008E52AE">
        <w:t xml:space="preserve">rms </w:t>
      </w:r>
    </w:p>
    <w:p w14:paraId="16FBC2E2" w14:textId="5D241535" w:rsidR="00681DD3" w:rsidRDefault="00681DD3" w:rsidP="00681DD3">
      <w:pPr>
        <w:rPr>
          <w:rFonts w:asciiTheme="minorHAnsi" w:hAnsiTheme="minorHAnsi" w:cstheme="minorHAnsi"/>
          <w:sz w:val="22"/>
          <w:szCs w:val="22"/>
        </w:rPr>
      </w:pPr>
      <w:r w:rsidRPr="008E52AE">
        <w:rPr>
          <w:rFonts w:asciiTheme="minorHAnsi" w:hAnsiTheme="minorHAnsi" w:cstheme="minorHAnsi"/>
          <w:sz w:val="22"/>
          <w:szCs w:val="22"/>
        </w:rPr>
        <w:t xml:space="preserve">A comprehensive review of all </w:t>
      </w:r>
      <w:r>
        <w:rPr>
          <w:rFonts w:asciiTheme="minorHAnsi" w:hAnsiTheme="minorHAnsi" w:cstheme="minorHAnsi"/>
          <w:sz w:val="22"/>
          <w:szCs w:val="22"/>
        </w:rPr>
        <w:t>existing family law and general federal law</w:t>
      </w:r>
      <w:r w:rsidR="00961F34">
        <w:rPr>
          <w:rFonts w:asciiTheme="minorHAnsi" w:hAnsiTheme="minorHAnsi" w:cstheme="minorHAnsi"/>
          <w:sz w:val="22"/>
          <w:szCs w:val="22"/>
        </w:rPr>
        <w:t xml:space="preserve"> forms</w:t>
      </w:r>
      <w:r w:rsidRPr="008E52AE">
        <w:rPr>
          <w:rFonts w:asciiTheme="minorHAnsi" w:hAnsiTheme="minorHAnsi" w:cstheme="minorHAnsi"/>
          <w:sz w:val="22"/>
          <w:szCs w:val="22"/>
        </w:rPr>
        <w:t xml:space="preserve"> </w:t>
      </w:r>
      <w:r w:rsidR="00961F34">
        <w:rPr>
          <w:rFonts w:asciiTheme="minorHAnsi" w:hAnsiTheme="minorHAnsi" w:cstheme="minorHAnsi"/>
          <w:sz w:val="22"/>
          <w:szCs w:val="22"/>
        </w:rPr>
        <w:t xml:space="preserve">has been </w:t>
      </w:r>
      <w:r>
        <w:rPr>
          <w:rFonts w:asciiTheme="minorHAnsi" w:hAnsiTheme="minorHAnsi" w:cstheme="minorHAnsi"/>
          <w:sz w:val="22"/>
          <w:szCs w:val="22"/>
        </w:rPr>
        <w:t>undertaken</w:t>
      </w:r>
      <w:r w:rsidRPr="008E52AE">
        <w:rPr>
          <w:rFonts w:asciiTheme="minorHAnsi" w:hAnsiTheme="minorHAnsi" w:cstheme="minorHAnsi"/>
          <w:sz w:val="22"/>
          <w:szCs w:val="22"/>
        </w:rPr>
        <w:t xml:space="preserve">. Most form changes </w:t>
      </w:r>
      <w:r>
        <w:rPr>
          <w:rFonts w:asciiTheme="minorHAnsi" w:hAnsiTheme="minorHAnsi" w:cstheme="minorHAnsi"/>
          <w:sz w:val="22"/>
          <w:szCs w:val="22"/>
        </w:rPr>
        <w:t xml:space="preserve">have involved </w:t>
      </w:r>
      <w:r w:rsidRPr="008E52AE">
        <w:rPr>
          <w:rFonts w:asciiTheme="minorHAnsi" w:hAnsiTheme="minorHAnsi" w:cstheme="minorHAnsi"/>
          <w:sz w:val="22"/>
          <w:szCs w:val="22"/>
        </w:rPr>
        <w:t xml:space="preserve">updating references to legislation, names and terms where required. In addition, where possible, some forms </w:t>
      </w:r>
      <w:r>
        <w:rPr>
          <w:rFonts w:asciiTheme="minorHAnsi" w:hAnsiTheme="minorHAnsi" w:cstheme="minorHAnsi"/>
          <w:sz w:val="22"/>
          <w:szCs w:val="22"/>
        </w:rPr>
        <w:t xml:space="preserve">have undergone </w:t>
      </w:r>
      <w:r w:rsidRPr="008E52AE">
        <w:rPr>
          <w:rFonts w:asciiTheme="minorHAnsi" w:hAnsiTheme="minorHAnsi" w:cstheme="minorHAnsi"/>
          <w:sz w:val="22"/>
          <w:szCs w:val="22"/>
        </w:rPr>
        <w:t xml:space="preserve">more substantive changes to improve functionality and usability. </w:t>
      </w:r>
    </w:p>
    <w:p w14:paraId="5370146B" w14:textId="0A4FD968" w:rsidR="00681DD3" w:rsidRPr="002A112A" w:rsidRDefault="00681DD3" w:rsidP="00681DD3">
      <w:pPr>
        <w:spacing w:before="240"/>
        <w:rPr>
          <w:rFonts w:asciiTheme="minorHAnsi" w:hAnsiTheme="minorHAnsi" w:cstheme="minorHAnsi"/>
          <w:sz w:val="22"/>
          <w:szCs w:val="22"/>
        </w:rPr>
      </w:pPr>
      <w:r w:rsidRPr="00275FAF">
        <w:rPr>
          <w:rFonts w:asciiTheme="minorHAnsi" w:hAnsiTheme="minorHAnsi" w:cstheme="minorHAnsi"/>
          <w:sz w:val="22"/>
          <w:szCs w:val="22"/>
        </w:rPr>
        <w:lastRenderedPageBreak/>
        <w:t xml:space="preserve">Practitioners are advised that </w:t>
      </w:r>
      <w:r>
        <w:rPr>
          <w:rFonts w:asciiTheme="minorHAnsi" w:hAnsiTheme="minorHAnsi" w:cstheme="minorHAnsi"/>
          <w:sz w:val="22"/>
          <w:szCs w:val="22"/>
        </w:rPr>
        <w:t xml:space="preserve">the name of the form for an </w:t>
      </w:r>
      <w:r w:rsidRPr="00945993">
        <w:rPr>
          <w:rFonts w:asciiTheme="minorHAnsi" w:hAnsiTheme="minorHAnsi" w:cstheme="minorHAnsi"/>
          <w:i/>
          <w:sz w:val="22"/>
          <w:szCs w:val="22"/>
        </w:rPr>
        <w:t>Application in a Case</w:t>
      </w:r>
      <w:r w:rsidRPr="00945993">
        <w:rPr>
          <w:rFonts w:asciiTheme="minorHAnsi" w:hAnsiTheme="minorHAnsi" w:cstheme="minorHAnsi"/>
          <w:sz w:val="22"/>
          <w:szCs w:val="22"/>
        </w:rPr>
        <w:t xml:space="preserve"> </w:t>
      </w:r>
      <w:r>
        <w:rPr>
          <w:rFonts w:asciiTheme="minorHAnsi" w:hAnsiTheme="minorHAnsi" w:cstheme="minorHAnsi"/>
          <w:sz w:val="22"/>
          <w:szCs w:val="22"/>
        </w:rPr>
        <w:t xml:space="preserve">has changed </w:t>
      </w:r>
      <w:r w:rsidRPr="001724FB">
        <w:rPr>
          <w:rFonts w:asciiTheme="minorHAnsi" w:hAnsiTheme="minorHAnsi" w:cstheme="minorHAnsi"/>
          <w:sz w:val="22"/>
          <w:szCs w:val="22"/>
        </w:rPr>
        <w:t xml:space="preserve">to </w:t>
      </w:r>
      <w:r w:rsidRPr="001724FB">
        <w:rPr>
          <w:rFonts w:asciiTheme="minorHAnsi" w:hAnsiTheme="minorHAnsi" w:cstheme="minorHAnsi"/>
          <w:i/>
          <w:sz w:val="22"/>
          <w:szCs w:val="22"/>
        </w:rPr>
        <w:t>Application in a Proceeding</w:t>
      </w:r>
      <w:r w:rsidRPr="00945993">
        <w:rPr>
          <w:rFonts w:asciiTheme="minorHAnsi" w:hAnsiTheme="minorHAnsi" w:cstheme="minorHAnsi"/>
          <w:sz w:val="22"/>
          <w:szCs w:val="22"/>
        </w:rPr>
        <w:t>.</w:t>
      </w:r>
      <w:r w:rsidR="00DC0EBE">
        <w:rPr>
          <w:rFonts w:asciiTheme="minorHAnsi" w:hAnsiTheme="minorHAnsi" w:cstheme="minorHAnsi"/>
          <w:sz w:val="22"/>
          <w:szCs w:val="22"/>
        </w:rPr>
        <w:t xml:space="preserve"> </w:t>
      </w:r>
      <w:r w:rsidR="00493B95">
        <w:rPr>
          <w:rFonts w:asciiTheme="minorHAnsi" w:hAnsiTheme="minorHAnsi" w:cstheme="minorHAnsi"/>
          <w:sz w:val="22"/>
          <w:szCs w:val="22"/>
        </w:rPr>
        <w:t>T</w:t>
      </w:r>
      <w:r w:rsidR="00961F34">
        <w:rPr>
          <w:rFonts w:asciiTheme="minorHAnsi" w:hAnsiTheme="minorHAnsi" w:cstheme="minorHAnsi"/>
          <w:sz w:val="22"/>
          <w:szCs w:val="22"/>
        </w:rPr>
        <w:t xml:space="preserve">he name of a </w:t>
      </w:r>
      <w:r w:rsidR="00961F34" w:rsidRPr="00493B95">
        <w:rPr>
          <w:rFonts w:asciiTheme="minorHAnsi" w:hAnsiTheme="minorHAnsi" w:cstheme="minorHAnsi"/>
          <w:i/>
          <w:sz w:val="22"/>
          <w:szCs w:val="22"/>
        </w:rPr>
        <w:t>Response to an Application in a Case</w:t>
      </w:r>
      <w:r w:rsidR="00961F34">
        <w:rPr>
          <w:rFonts w:asciiTheme="minorHAnsi" w:hAnsiTheme="minorHAnsi" w:cstheme="minorHAnsi"/>
          <w:sz w:val="22"/>
          <w:szCs w:val="22"/>
        </w:rPr>
        <w:t xml:space="preserve"> has </w:t>
      </w:r>
      <w:r w:rsidR="00493B95">
        <w:rPr>
          <w:rFonts w:asciiTheme="minorHAnsi" w:hAnsiTheme="minorHAnsi" w:cstheme="minorHAnsi"/>
          <w:sz w:val="22"/>
          <w:szCs w:val="22"/>
        </w:rPr>
        <w:t xml:space="preserve">also </w:t>
      </w:r>
      <w:r w:rsidR="00961F34">
        <w:rPr>
          <w:rFonts w:asciiTheme="minorHAnsi" w:hAnsiTheme="minorHAnsi" w:cstheme="minorHAnsi"/>
          <w:sz w:val="22"/>
          <w:szCs w:val="22"/>
        </w:rPr>
        <w:t xml:space="preserve">changed to </w:t>
      </w:r>
      <w:r w:rsidR="00961F34" w:rsidRPr="00493B95">
        <w:rPr>
          <w:rFonts w:asciiTheme="minorHAnsi" w:hAnsiTheme="minorHAnsi" w:cstheme="minorHAnsi"/>
          <w:i/>
          <w:sz w:val="22"/>
          <w:szCs w:val="22"/>
        </w:rPr>
        <w:t>Response to an Application in a Proceeding</w:t>
      </w:r>
      <w:r w:rsidR="00961F34">
        <w:rPr>
          <w:rFonts w:asciiTheme="minorHAnsi" w:hAnsiTheme="minorHAnsi" w:cstheme="minorHAnsi"/>
          <w:sz w:val="22"/>
          <w:szCs w:val="22"/>
        </w:rPr>
        <w:t xml:space="preserve">. </w:t>
      </w:r>
    </w:p>
    <w:p w14:paraId="65EA7393" w14:textId="6012CE2B" w:rsidR="00681DD3" w:rsidRDefault="00681DD3" w:rsidP="00493B95">
      <w:pPr>
        <w:spacing w:before="240"/>
        <w:rPr>
          <w:rFonts w:asciiTheme="minorHAnsi" w:hAnsiTheme="minorHAnsi" w:cstheme="minorHAnsi"/>
          <w:sz w:val="22"/>
          <w:szCs w:val="22"/>
        </w:rPr>
      </w:pPr>
      <w:r>
        <w:rPr>
          <w:rFonts w:asciiTheme="minorHAnsi" w:hAnsiTheme="minorHAnsi" w:cstheme="minorHAnsi"/>
          <w:sz w:val="22"/>
          <w:szCs w:val="22"/>
        </w:rPr>
        <w:t xml:space="preserve">Importantly, the Court </w:t>
      </w:r>
      <w:r w:rsidR="00961F34">
        <w:rPr>
          <w:rFonts w:asciiTheme="minorHAnsi" w:hAnsiTheme="minorHAnsi" w:cstheme="minorHAnsi"/>
          <w:sz w:val="22"/>
          <w:szCs w:val="22"/>
        </w:rPr>
        <w:t>will accept old forms until 29 November 2021. A</w:t>
      </w:r>
      <w:r w:rsidRPr="00681DD3">
        <w:rPr>
          <w:rFonts w:asciiTheme="minorHAnsi" w:hAnsiTheme="minorHAnsi" w:cstheme="minorHAnsi"/>
          <w:sz w:val="22"/>
          <w:szCs w:val="22"/>
        </w:rPr>
        <w:t xml:space="preserve">fter this </w:t>
      </w:r>
      <w:r w:rsidR="00961F34">
        <w:rPr>
          <w:rFonts w:asciiTheme="minorHAnsi" w:hAnsiTheme="minorHAnsi" w:cstheme="minorHAnsi"/>
          <w:sz w:val="22"/>
          <w:szCs w:val="22"/>
        </w:rPr>
        <w:t>date</w:t>
      </w:r>
      <w:r w:rsidRPr="00681DD3">
        <w:rPr>
          <w:rFonts w:asciiTheme="minorHAnsi" w:hAnsiTheme="minorHAnsi" w:cstheme="minorHAnsi"/>
          <w:sz w:val="22"/>
          <w:szCs w:val="22"/>
        </w:rPr>
        <w:t>, they will no longer be accepted by the Court.</w:t>
      </w:r>
    </w:p>
    <w:p w14:paraId="4465192E" w14:textId="3B0A7BBF" w:rsidR="00511593" w:rsidRPr="002A112A" w:rsidRDefault="00511593" w:rsidP="00511593">
      <w:pPr>
        <w:spacing w:before="240"/>
        <w:rPr>
          <w:rFonts w:asciiTheme="minorHAnsi" w:hAnsiTheme="minorHAnsi" w:cstheme="minorHAnsi"/>
          <w:sz w:val="22"/>
          <w:szCs w:val="22"/>
        </w:rPr>
      </w:pPr>
    </w:p>
    <w:p w14:paraId="7FE519D5" w14:textId="77777777" w:rsidR="00511593" w:rsidRDefault="00511593" w:rsidP="007E1B8A">
      <w:pPr>
        <w:spacing w:line="276" w:lineRule="auto"/>
        <w:jc w:val="both"/>
        <w:rPr>
          <w:rFonts w:asciiTheme="minorHAnsi" w:hAnsiTheme="minorHAnsi" w:cstheme="minorHAnsi"/>
          <w:sz w:val="22"/>
          <w:szCs w:val="22"/>
        </w:rPr>
      </w:pPr>
    </w:p>
    <w:p w14:paraId="5976D51A" w14:textId="54E14D11" w:rsidR="00D50A7F" w:rsidRPr="005C0EBF" w:rsidRDefault="00D50A7F" w:rsidP="007E1B8A">
      <w:pPr>
        <w:spacing w:line="276" w:lineRule="auto"/>
        <w:jc w:val="both"/>
        <w:rPr>
          <w:rFonts w:asciiTheme="minorHAnsi" w:hAnsiTheme="minorHAnsi" w:cstheme="minorHAnsi"/>
          <w:bCs/>
          <w:lang w:eastAsia="zh-CN"/>
        </w:rPr>
      </w:pPr>
    </w:p>
    <w:sectPr w:rsidR="00D50A7F" w:rsidRPr="005C0EBF" w:rsidSect="009901DC">
      <w:headerReference w:type="default" r:id="rId17"/>
      <w:footerReference w:type="default" r:id="rId18"/>
      <w:pgSz w:w="11906" w:h="16838"/>
      <w:pgMar w:top="1134" w:right="1133"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59D43E" w14:textId="77777777" w:rsidR="00724F18" w:rsidRDefault="00724F18">
      <w:r>
        <w:separator/>
      </w:r>
    </w:p>
  </w:endnote>
  <w:endnote w:type="continuationSeparator" w:id="0">
    <w:p w14:paraId="7415F79B" w14:textId="77777777" w:rsidR="00724F18" w:rsidRDefault="00724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panose1 w:val="00000000000000000000"/>
    <w:charset w:val="00"/>
    <w:family w:val="swiss"/>
    <w:notTrueType/>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1475902656"/>
      <w:docPartObj>
        <w:docPartGallery w:val="Page Numbers (Bottom of Page)"/>
        <w:docPartUnique/>
      </w:docPartObj>
    </w:sdtPr>
    <w:sdtEndPr>
      <w:rPr>
        <w:color w:val="7F7F7F" w:themeColor="background1" w:themeShade="7F"/>
        <w:spacing w:val="60"/>
      </w:rPr>
    </w:sdtEndPr>
    <w:sdtContent>
      <w:p w14:paraId="1C1BECD7" w14:textId="7801F059" w:rsidR="006853FE" w:rsidRPr="006853FE" w:rsidRDefault="006853FE" w:rsidP="006853FE">
        <w:pPr>
          <w:pStyle w:val="Footer"/>
          <w:pBdr>
            <w:top w:val="single" w:sz="4" w:space="1" w:color="D9D9D9" w:themeColor="background1" w:themeShade="D9"/>
          </w:pBdr>
          <w:jc w:val="right"/>
          <w:rPr>
            <w:b/>
            <w:bCs/>
            <w:sz w:val="16"/>
            <w:szCs w:val="16"/>
          </w:rPr>
        </w:pPr>
        <w:r w:rsidRPr="006853FE">
          <w:rPr>
            <w:sz w:val="16"/>
            <w:szCs w:val="16"/>
          </w:rPr>
          <w:fldChar w:fldCharType="begin"/>
        </w:r>
        <w:r w:rsidRPr="006853FE">
          <w:rPr>
            <w:sz w:val="16"/>
            <w:szCs w:val="16"/>
          </w:rPr>
          <w:instrText xml:space="preserve"> PAGE   \* MERGEFORMAT </w:instrText>
        </w:r>
        <w:r w:rsidRPr="006853FE">
          <w:rPr>
            <w:sz w:val="16"/>
            <w:szCs w:val="16"/>
          </w:rPr>
          <w:fldChar w:fldCharType="separate"/>
        </w:r>
        <w:r w:rsidR="0020733F" w:rsidRPr="0020733F">
          <w:rPr>
            <w:b/>
            <w:bCs/>
            <w:noProof/>
            <w:sz w:val="16"/>
            <w:szCs w:val="16"/>
          </w:rPr>
          <w:t>4</w:t>
        </w:r>
        <w:r w:rsidRPr="006853FE">
          <w:rPr>
            <w:b/>
            <w:bCs/>
            <w:noProof/>
            <w:sz w:val="16"/>
            <w:szCs w:val="16"/>
          </w:rPr>
          <w:fldChar w:fldCharType="end"/>
        </w:r>
        <w:r w:rsidRPr="006853FE">
          <w:rPr>
            <w:b/>
            <w:bCs/>
            <w:sz w:val="16"/>
            <w:szCs w:val="16"/>
          </w:rPr>
          <w:t xml:space="preserve"> | </w:t>
        </w:r>
        <w:r w:rsidRPr="006853FE">
          <w:rPr>
            <w:color w:val="7F7F7F" w:themeColor="background1" w:themeShade="7F"/>
            <w:spacing w:val="60"/>
            <w:sz w:val="16"/>
            <w:szCs w:val="16"/>
          </w:rPr>
          <w:t>Page</w:t>
        </w:r>
      </w:p>
    </w:sdtContent>
  </w:sdt>
  <w:p w14:paraId="6E7C664E" w14:textId="77777777" w:rsidR="00D055AD" w:rsidRDefault="00D055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142254" w14:textId="77777777" w:rsidR="00724F18" w:rsidRDefault="00724F18">
      <w:r>
        <w:separator/>
      </w:r>
    </w:p>
  </w:footnote>
  <w:footnote w:type="continuationSeparator" w:id="0">
    <w:p w14:paraId="35464BC1" w14:textId="77777777" w:rsidR="00724F18" w:rsidRDefault="00724F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5419C" w14:textId="0105B922" w:rsidR="00037ADB" w:rsidRDefault="0020733F" w:rsidP="008E0DA5">
    <w:pPr>
      <w:pStyle w:val="Footer"/>
    </w:pPr>
  </w:p>
  <w:p w14:paraId="3F22D06E" w14:textId="77777777" w:rsidR="00643FCF" w:rsidRPr="00643FCF" w:rsidRDefault="00AE34E6" w:rsidP="007F5F48">
    <w:pPr>
      <w:keepNext/>
      <w:spacing w:before="80"/>
      <w:outlineLvl w:val="0"/>
      <w:rPr>
        <w:rFonts w:ascii="Arial" w:hAnsi="Arial" w:cs="Arial"/>
        <w:sz w:val="20"/>
        <w:lang w:eastAsia="en-US"/>
      </w:rPr>
    </w:pPr>
    <w:r>
      <w:rPr>
        <w:noProof/>
      </w:rPr>
      <mc:AlternateContent>
        <mc:Choice Requires="wps">
          <w:drawing>
            <wp:anchor distT="0" distB="0" distL="114300" distR="114300" simplePos="0" relativeHeight="251657216" behindDoc="0" locked="0" layoutInCell="1" allowOverlap="1" wp14:anchorId="55C55450" wp14:editId="0E40774D">
              <wp:simplePos x="0" y="0"/>
              <wp:positionH relativeFrom="margin">
                <wp:posOffset>727446</wp:posOffset>
              </wp:positionH>
              <wp:positionV relativeFrom="paragraph">
                <wp:posOffset>10160</wp:posOffset>
              </wp:positionV>
              <wp:extent cx="5162400" cy="0"/>
              <wp:effectExtent l="0" t="0" r="1968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62400" cy="0"/>
                      </a:xfrm>
                      <a:prstGeom prst="line">
                        <a:avLst/>
                      </a:prstGeom>
                      <a:noFill/>
                      <a:ln w="24765">
                        <a:solidFill>
                          <a:schemeClr val="bg1">
                            <a:lumMod val="8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6B08FA5F"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7.3pt,.8pt" to="463.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IyOLwIAAFoEAAAOAAAAZHJzL2Uyb0RvYy54bWysVE2P0zAQvSPxHyzfu0lK2u1GTVcoabks&#10;UKnLD3Btp7FwbMt2m1aI/87YaQOFC0JcHH+M37x585zl87mT6MStE1qVOHtIMeKKaibUocRfXjeT&#10;BUbOE8WI1IqX+MIdfl69fbPsTcGnutWScYsARLmiNyVuvTdFkjja8o64B224gsNG2454WNpDwizp&#10;Ab2TyTRN50mvLTNWU+4c7NbDIV5F/Kbh1H9uGsc9kiUGbj6ONo77MCarJSkOlphW0CsN8g8sOiIU&#10;JB2hauIJOlrxB1QnqNVON/6B6i7RTSMojzVANVn6WzW7lhgeawFxnBllcv8Pln46bS0SrMQ5Rop0&#10;0KKdt0QcWo8qrRQIqC3Kg069cQWEV2prQ6X0rHbmRdOvDildtUQdeOT7ejEAkoUbyd2VsHAGsu37&#10;j5pBDDl6HUU7N7YLkCAHOsfeXMbe8LNHFDZn2Xyap9BCejtLSHG7aKzzH7juUJiUWAoVZCMFOb04&#10;H4iQ4hYStpXeCClj66VCfYmn+eN8Fm84LQULpyEuupBX0qITAf/sD1mMkccOChj2FrMUSA0pxvCY&#10;8A7J6qNiMWHLCVtf554IOcyBoFQhJZQLlK+zwUHfntKn9WK9yCf5dL6e5GldT95vqnwy32SPs/pd&#10;XVV19j0wy/KiFYxxFQq4uTnL/84t13c1+HD08yhVco8eSwSyt28kHfsdWjyYZa/ZZWuDNqH1YOAY&#10;fH1s4YX8uo5RP38Jqx8AAAD//wMAUEsDBBQABgAIAAAAIQCBGuLo2QAAAAcBAAAPAAAAZHJzL2Rv&#10;d25yZXYueG1sTI69TsQwEIR7JN7BWiQ6zkl0CiTEOR1IUCEhDho6J978iHgdbF8uvD0LDVQ7oxnN&#10;ftVutZNY0IfRkYJ0k4BAap0ZqVfw9vpwdQMiRE1GT45QwRcG2NXnZ5UujTvRCy6H2AseoVBqBUOM&#10;cyllaAe0OmzcjMRZ57zVka3vpfH6xON2klmS5NLqkfjDoGe8H7D9OBytgqfPtfGdKfZ3748xp6x7&#10;TovtotTlxbq/BRFxjX9l+MFndKiZqXFHMkFM7NNtzlUWfDgvsmsWza+XdSX/89ffAAAA//8DAFBL&#10;AQItABQABgAIAAAAIQC2gziS/gAAAOEBAAATAAAAAAAAAAAAAAAAAAAAAABbQ29udGVudF9UeXBl&#10;c10ueG1sUEsBAi0AFAAGAAgAAAAhADj9If/WAAAAlAEAAAsAAAAAAAAAAAAAAAAALwEAAF9yZWxz&#10;Ly5yZWxzUEsBAi0AFAAGAAgAAAAhAJtojI4vAgAAWgQAAA4AAAAAAAAAAAAAAAAALgIAAGRycy9l&#10;Mm9Eb2MueG1sUEsBAi0AFAAGAAgAAAAhAIEa4ujZAAAABwEAAA8AAAAAAAAAAAAAAAAAiQQAAGRy&#10;cy9kb3ducmV2LnhtbFBLBQYAAAAABAAEAPMAAACPBQAAAAA=&#10;" strokecolor="#d8d8d8 [2732]" strokeweight="1.95pt">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525D9"/>
    <w:multiLevelType w:val="hybridMultilevel"/>
    <w:tmpl w:val="825CA7FC"/>
    <w:lvl w:ilvl="0" w:tplc="0196494E">
      <w:start w:val="5600"/>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92856E0"/>
    <w:multiLevelType w:val="hybridMultilevel"/>
    <w:tmpl w:val="22DCC508"/>
    <w:lvl w:ilvl="0" w:tplc="5FC0A7AE">
      <w:start w:val="1"/>
      <w:numFmt w:val="decimal"/>
      <w:lvlText w:val="%1)"/>
      <w:lvlJc w:val="left"/>
      <w:pPr>
        <w:ind w:left="720" w:hanging="360"/>
      </w:pPr>
      <w:rPr>
        <w:b/>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19922571"/>
    <w:multiLevelType w:val="hybridMultilevel"/>
    <w:tmpl w:val="99F83C96"/>
    <w:lvl w:ilvl="0" w:tplc="CF6CED0C">
      <w:start w:val="1"/>
      <w:numFmt w:val="lowerLetter"/>
      <w:lvlText w:val="(%1)"/>
      <w:lvlJc w:val="left"/>
      <w:pPr>
        <w:ind w:left="720" w:hanging="360"/>
      </w:pPr>
      <w:rPr>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2A110833"/>
    <w:multiLevelType w:val="multilevel"/>
    <w:tmpl w:val="7306311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2CA74146"/>
    <w:multiLevelType w:val="hybridMultilevel"/>
    <w:tmpl w:val="9F32BE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A731059"/>
    <w:multiLevelType w:val="hybridMultilevel"/>
    <w:tmpl w:val="9C34DE8A"/>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6" w15:restartNumberingAfterBreak="0">
    <w:nsid w:val="41324B0C"/>
    <w:multiLevelType w:val="hybridMultilevel"/>
    <w:tmpl w:val="A3E28C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075677C"/>
    <w:multiLevelType w:val="hybridMultilevel"/>
    <w:tmpl w:val="AC547E36"/>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8" w15:restartNumberingAfterBreak="0">
    <w:nsid w:val="536C0C60"/>
    <w:multiLevelType w:val="hybridMultilevel"/>
    <w:tmpl w:val="DEAC0BD8"/>
    <w:lvl w:ilvl="0" w:tplc="A21EEB20">
      <w:start w:val="1"/>
      <w:numFmt w:val="bullet"/>
      <w:lvlText w:val="•"/>
      <w:lvlJc w:val="left"/>
      <w:pPr>
        <w:tabs>
          <w:tab w:val="num" w:pos="720"/>
        </w:tabs>
        <w:ind w:left="720" w:hanging="360"/>
      </w:pPr>
      <w:rPr>
        <w:rFonts w:ascii="Arial" w:hAnsi="Arial" w:cs="Times New Roman" w:hint="default"/>
      </w:rPr>
    </w:lvl>
    <w:lvl w:ilvl="1" w:tplc="D2CED0D6">
      <w:start w:val="558"/>
      <w:numFmt w:val="bullet"/>
      <w:lvlText w:val="•"/>
      <w:lvlJc w:val="left"/>
      <w:pPr>
        <w:tabs>
          <w:tab w:val="num" w:pos="1440"/>
        </w:tabs>
        <w:ind w:left="1440" w:hanging="360"/>
      </w:pPr>
      <w:rPr>
        <w:rFonts w:ascii="Arial" w:hAnsi="Arial" w:cs="Times New Roman" w:hint="default"/>
      </w:rPr>
    </w:lvl>
    <w:lvl w:ilvl="2" w:tplc="5014751C">
      <w:start w:val="1"/>
      <w:numFmt w:val="bullet"/>
      <w:lvlText w:val="•"/>
      <w:lvlJc w:val="left"/>
      <w:pPr>
        <w:tabs>
          <w:tab w:val="num" w:pos="2160"/>
        </w:tabs>
        <w:ind w:left="2160" w:hanging="360"/>
      </w:pPr>
      <w:rPr>
        <w:rFonts w:ascii="Arial" w:hAnsi="Arial" w:cs="Times New Roman" w:hint="default"/>
      </w:rPr>
    </w:lvl>
    <w:lvl w:ilvl="3" w:tplc="3D58D534">
      <w:start w:val="1"/>
      <w:numFmt w:val="bullet"/>
      <w:lvlText w:val="•"/>
      <w:lvlJc w:val="left"/>
      <w:pPr>
        <w:tabs>
          <w:tab w:val="num" w:pos="2880"/>
        </w:tabs>
        <w:ind w:left="2880" w:hanging="360"/>
      </w:pPr>
      <w:rPr>
        <w:rFonts w:ascii="Arial" w:hAnsi="Arial" w:cs="Times New Roman" w:hint="default"/>
      </w:rPr>
    </w:lvl>
    <w:lvl w:ilvl="4" w:tplc="ACC0D1B0">
      <w:start w:val="1"/>
      <w:numFmt w:val="bullet"/>
      <w:lvlText w:val="•"/>
      <w:lvlJc w:val="left"/>
      <w:pPr>
        <w:tabs>
          <w:tab w:val="num" w:pos="3600"/>
        </w:tabs>
        <w:ind w:left="3600" w:hanging="360"/>
      </w:pPr>
      <w:rPr>
        <w:rFonts w:ascii="Arial" w:hAnsi="Arial" w:cs="Times New Roman" w:hint="default"/>
      </w:rPr>
    </w:lvl>
    <w:lvl w:ilvl="5" w:tplc="02FAA194">
      <w:start w:val="1"/>
      <w:numFmt w:val="bullet"/>
      <w:lvlText w:val="•"/>
      <w:lvlJc w:val="left"/>
      <w:pPr>
        <w:tabs>
          <w:tab w:val="num" w:pos="4320"/>
        </w:tabs>
        <w:ind w:left="4320" w:hanging="360"/>
      </w:pPr>
      <w:rPr>
        <w:rFonts w:ascii="Arial" w:hAnsi="Arial" w:cs="Times New Roman" w:hint="default"/>
      </w:rPr>
    </w:lvl>
    <w:lvl w:ilvl="6" w:tplc="4238C64E">
      <w:start w:val="1"/>
      <w:numFmt w:val="bullet"/>
      <w:lvlText w:val="•"/>
      <w:lvlJc w:val="left"/>
      <w:pPr>
        <w:tabs>
          <w:tab w:val="num" w:pos="5040"/>
        </w:tabs>
        <w:ind w:left="5040" w:hanging="360"/>
      </w:pPr>
      <w:rPr>
        <w:rFonts w:ascii="Arial" w:hAnsi="Arial" w:cs="Times New Roman" w:hint="default"/>
      </w:rPr>
    </w:lvl>
    <w:lvl w:ilvl="7" w:tplc="4A12E0D8">
      <w:start w:val="1"/>
      <w:numFmt w:val="bullet"/>
      <w:lvlText w:val="•"/>
      <w:lvlJc w:val="left"/>
      <w:pPr>
        <w:tabs>
          <w:tab w:val="num" w:pos="5760"/>
        </w:tabs>
        <w:ind w:left="5760" w:hanging="360"/>
      </w:pPr>
      <w:rPr>
        <w:rFonts w:ascii="Arial" w:hAnsi="Arial" w:cs="Times New Roman" w:hint="default"/>
      </w:rPr>
    </w:lvl>
    <w:lvl w:ilvl="8" w:tplc="6B9E119A">
      <w:start w:val="1"/>
      <w:numFmt w:val="bullet"/>
      <w:lvlText w:val="•"/>
      <w:lvlJc w:val="left"/>
      <w:pPr>
        <w:tabs>
          <w:tab w:val="num" w:pos="6480"/>
        </w:tabs>
        <w:ind w:left="6480" w:hanging="360"/>
      </w:pPr>
      <w:rPr>
        <w:rFonts w:ascii="Arial" w:hAnsi="Arial" w:cs="Times New Roman" w:hint="default"/>
      </w:rPr>
    </w:lvl>
  </w:abstractNum>
  <w:abstractNum w:abstractNumId="9" w15:restartNumberingAfterBreak="0">
    <w:nsid w:val="67B438BE"/>
    <w:multiLevelType w:val="hybridMultilevel"/>
    <w:tmpl w:val="10CE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A7C6A3A"/>
    <w:multiLevelType w:val="hybridMultilevel"/>
    <w:tmpl w:val="C3A8761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70FD7BC6"/>
    <w:multiLevelType w:val="hybridMultilevel"/>
    <w:tmpl w:val="7298C6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D476FAA"/>
    <w:multiLevelType w:val="hybridMultilevel"/>
    <w:tmpl w:val="3A7ACE8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7E4A312F"/>
    <w:multiLevelType w:val="hybridMultilevel"/>
    <w:tmpl w:val="4726CF6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9"/>
  </w:num>
  <w:num w:numId="4">
    <w:abstractNumId w:val="0"/>
  </w:num>
  <w:num w:numId="5">
    <w:abstractNumId w:val="1"/>
  </w:num>
  <w:num w:numId="6">
    <w:abstractNumId w:val="3"/>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4"/>
  </w:num>
  <w:num w:numId="13">
    <w:abstractNumId w:val="0"/>
  </w:num>
  <w:num w:numId="14">
    <w:abstractNumId w:val="8"/>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12"/>
  </w:num>
  <w:num w:numId="18">
    <w:abstractNumId w:val="0"/>
  </w:num>
  <w:num w:numId="19">
    <w:abstractNumId w:val="6"/>
  </w:num>
  <w:num w:numId="20">
    <w:abstractNumId w:val="5"/>
  </w:num>
  <w:num w:numId="21">
    <w:abstractNumId w:val="1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4E6"/>
    <w:rsid w:val="00002E4A"/>
    <w:rsid w:val="000044A4"/>
    <w:rsid w:val="000047AA"/>
    <w:rsid w:val="000175DA"/>
    <w:rsid w:val="00020523"/>
    <w:rsid w:val="0002483E"/>
    <w:rsid w:val="00025663"/>
    <w:rsid w:val="000310AB"/>
    <w:rsid w:val="0003201B"/>
    <w:rsid w:val="00032494"/>
    <w:rsid w:val="000451E7"/>
    <w:rsid w:val="00047782"/>
    <w:rsid w:val="00050023"/>
    <w:rsid w:val="0005139C"/>
    <w:rsid w:val="0005311A"/>
    <w:rsid w:val="00057FCA"/>
    <w:rsid w:val="00063B72"/>
    <w:rsid w:val="00063F91"/>
    <w:rsid w:val="00066209"/>
    <w:rsid w:val="00067A83"/>
    <w:rsid w:val="00071B48"/>
    <w:rsid w:val="000726AF"/>
    <w:rsid w:val="00073EEE"/>
    <w:rsid w:val="00077BC4"/>
    <w:rsid w:val="000857BD"/>
    <w:rsid w:val="000917EA"/>
    <w:rsid w:val="00091AEA"/>
    <w:rsid w:val="00094A2D"/>
    <w:rsid w:val="00095D9B"/>
    <w:rsid w:val="00097873"/>
    <w:rsid w:val="000A3339"/>
    <w:rsid w:val="000A4215"/>
    <w:rsid w:val="000B30F9"/>
    <w:rsid w:val="000B4FDD"/>
    <w:rsid w:val="000B5B20"/>
    <w:rsid w:val="000B7BC8"/>
    <w:rsid w:val="000D2131"/>
    <w:rsid w:val="000D377A"/>
    <w:rsid w:val="000D4A68"/>
    <w:rsid w:val="000D7C15"/>
    <w:rsid w:val="000E163D"/>
    <w:rsid w:val="000F6A9F"/>
    <w:rsid w:val="000F704C"/>
    <w:rsid w:val="000F75AA"/>
    <w:rsid w:val="00110ABD"/>
    <w:rsid w:val="00111321"/>
    <w:rsid w:val="00111B11"/>
    <w:rsid w:val="00115698"/>
    <w:rsid w:val="00115CED"/>
    <w:rsid w:val="001178B1"/>
    <w:rsid w:val="00122402"/>
    <w:rsid w:val="00122A30"/>
    <w:rsid w:val="00130971"/>
    <w:rsid w:val="00130DB5"/>
    <w:rsid w:val="001418A7"/>
    <w:rsid w:val="00142415"/>
    <w:rsid w:val="001426D1"/>
    <w:rsid w:val="00143E33"/>
    <w:rsid w:val="00147DC2"/>
    <w:rsid w:val="00152C4E"/>
    <w:rsid w:val="0015697C"/>
    <w:rsid w:val="0016107E"/>
    <w:rsid w:val="00161AFE"/>
    <w:rsid w:val="00161E28"/>
    <w:rsid w:val="00167D4E"/>
    <w:rsid w:val="001722C0"/>
    <w:rsid w:val="001724FB"/>
    <w:rsid w:val="001812F8"/>
    <w:rsid w:val="0018277D"/>
    <w:rsid w:val="00184CAC"/>
    <w:rsid w:val="00190678"/>
    <w:rsid w:val="00193C43"/>
    <w:rsid w:val="00193EDE"/>
    <w:rsid w:val="0019619D"/>
    <w:rsid w:val="00197EEE"/>
    <w:rsid w:val="001A004C"/>
    <w:rsid w:val="001A3C7E"/>
    <w:rsid w:val="001A4EBF"/>
    <w:rsid w:val="001B5CD6"/>
    <w:rsid w:val="001C21F7"/>
    <w:rsid w:val="001C3D24"/>
    <w:rsid w:val="001E0B76"/>
    <w:rsid w:val="001E4C5F"/>
    <w:rsid w:val="001E7C64"/>
    <w:rsid w:val="00201267"/>
    <w:rsid w:val="00203F9D"/>
    <w:rsid w:val="0020733F"/>
    <w:rsid w:val="00210CB4"/>
    <w:rsid w:val="00211D90"/>
    <w:rsid w:val="002130F3"/>
    <w:rsid w:val="00224B94"/>
    <w:rsid w:val="00225C5C"/>
    <w:rsid w:val="00225D79"/>
    <w:rsid w:val="002361A6"/>
    <w:rsid w:val="002522B6"/>
    <w:rsid w:val="002546A9"/>
    <w:rsid w:val="00256489"/>
    <w:rsid w:val="00264DCF"/>
    <w:rsid w:val="0026629E"/>
    <w:rsid w:val="00272566"/>
    <w:rsid w:val="00275FAF"/>
    <w:rsid w:val="00282C31"/>
    <w:rsid w:val="00286FB9"/>
    <w:rsid w:val="00287FA8"/>
    <w:rsid w:val="002A04EB"/>
    <w:rsid w:val="002A112A"/>
    <w:rsid w:val="002A1798"/>
    <w:rsid w:val="002D0038"/>
    <w:rsid w:val="002E006A"/>
    <w:rsid w:val="002E0207"/>
    <w:rsid w:val="002E0843"/>
    <w:rsid w:val="002E347D"/>
    <w:rsid w:val="002E4EC1"/>
    <w:rsid w:val="002E71F9"/>
    <w:rsid w:val="002F5C84"/>
    <w:rsid w:val="002F5CD8"/>
    <w:rsid w:val="002F73C5"/>
    <w:rsid w:val="0030227F"/>
    <w:rsid w:val="003047E9"/>
    <w:rsid w:val="003053CE"/>
    <w:rsid w:val="0030689E"/>
    <w:rsid w:val="0031295D"/>
    <w:rsid w:val="00317400"/>
    <w:rsid w:val="00317A22"/>
    <w:rsid w:val="00322E77"/>
    <w:rsid w:val="00326F16"/>
    <w:rsid w:val="003302AF"/>
    <w:rsid w:val="00330BF9"/>
    <w:rsid w:val="00331792"/>
    <w:rsid w:val="00331855"/>
    <w:rsid w:val="003328DC"/>
    <w:rsid w:val="00340861"/>
    <w:rsid w:val="0034498E"/>
    <w:rsid w:val="003461EC"/>
    <w:rsid w:val="003506F5"/>
    <w:rsid w:val="00353339"/>
    <w:rsid w:val="00361190"/>
    <w:rsid w:val="003619E5"/>
    <w:rsid w:val="0036627A"/>
    <w:rsid w:val="00367C23"/>
    <w:rsid w:val="00370039"/>
    <w:rsid w:val="00371B83"/>
    <w:rsid w:val="00375533"/>
    <w:rsid w:val="003760A2"/>
    <w:rsid w:val="00382666"/>
    <w:rsid w:val="00385CD8"/>
    <w:rsid w:val="003871D1"/>
    <w:rsid w:val="00390A78"/>
    <w:rsid w:val="00390EB6"/>
    <w:rsid w:val="00391908"/>
    <w:rsid w:val="003A0900"/>
    <w:rsid w:val="003A0E0A"/>
    <w:rsid w:val="003A3639"/>
    <w:rsid w:val="003B0856"/>
    <w:rsid w:val="003B25E4"/>
    <w:rsid w:val="003C1CAE"/>
    <w:rsid w:val="003C2319"/>
    <w:rsid w:val="003D3209"/>
    <w:rsid w:val="003D58BA"/>
    <w:rsid w:val="003E24BD"/>
    <w:rsid w:val="003E2517"/>
    <w:rsid w:val="003E4F9E"/>
    <w:rsid w:val="003E7C8A"/>
    <w:rsid w:val="003F0D25"/>
    <w:rsid w:val="003F20EF"/>
    <w:rsid w:val="003F42CD"/>
    <w:rsid w:val="00404E7C"/>
    <w:rsid w:val="004053D0"/>
    <w:rsid w:val="00410658"/>
    <w:rsid w:val="004156B1"/>
    <w:rsid w:val="00424813"/>
    <w:rsid w:val="00430EE0"/>
    <w:rsid w:val="00431149"/>
    <w:rsid w:val="00436F4D"/>
    <w:rsid w:val="00437202"/>
    <w:rsid w:val="00442AA1"/>
    <w:rsid w:val="00442D13"/>
    <w:rsid w:val="0044451E"/>
    <w:rsid w:val="004451F6"/>
    <w:rsid w:val="004504DA"/>
    <w:rsid w:val="004517D5"/>
    <w:rsid w:val="004543E3"/>
    <w:rsid w:val="0046024F"/>
    <w:rsid w:val="00463D85"/>
    <w:rsid w:val="00465380"/>
    <w:rsid w:val="004660B2"/>
    <w:rsid w:val="00467410"/>
    <w:rsid w:val="00474EBE"/>
    <w:rsid w:val="00476E4E"/>
    <w:rsid w:val="0047773B"/>
    <w:rsid w:val="00483A51"/>
    <w:rsid w:val="00486FB3"/>
    <w:rsid w:val="00493B95"/>
    <w:rsid w:val="004957B4"/>
    <w:rsid w:val="004A0245"/>
    <w:rsid w:val="004A3948"/>
    <w:rsid w:val="004A6925"/>
    <w:rsid w:val="004A6E07"/>
    <w:rsid w:val="004B0E57"/>
    <w:rsid w:val="004B2770"/>
    <w:rsid w:val="004B6254"/>
    <w:rsid w:val="004C1F2A"/>
    <w:rsid w:val="004C5CB4"/>
    <w:rsid w:val="004D0238"/>
    <w:rsid w:val="004E0831"/>
    <w:rsid w:val="004E422F"/>
    <w:rsid w:val="004F4582"/>
    <w:rsid w:val="005004B1"/>
    <w:rsid w:val="00502805"/>
    <w:rsid w:val="005037F8"/>
    <w:rsid w:val="005038D9"/>
    <w:rsid w:val="00504A78"/>
    <w:rsid w:val="005061A7"/>
    <w:rsid w:val="00506C0E"/>
    <w:rsid w:val="00511593"/>
    <w:rsid w:val="00512D5C"/>
    <w:rsid w:val="00513842"/>
    <w:rsid w:val="00513B94"/>
    <w:rsid w:val="00521785"/>
    <w:rsid w:val="005255A8"/>
    <w:rsid w:val="00530616"/>
    <w:rsid w:val="00534E37"/>
    <w:rsid w:val="00534FBB"/>
    <w:rsid w:val="00536F07"/>
    <w:rsid w:val="00550375"/>
    <w:rsid w:val="00550AC0"/>
    <w:rsid w:val="00561307"/>
    <w:rsid w:val="00564E14"/>
    <w:rsid w:val="0057433A"/>
    <w:rsid w:val="0057682F"/>
    <w:rsid w:val="00577AD9"/>
    <w:rsid w:val="00580F3C"/>
    <w:rsid w:val="00587A62"/>
    <w:rsid w:val="00591FB9"/>
    <w:rsid w:val="005A3986"/>
    <w:rsid w:val="005A4AA1"/>
    <w:rsid w:val="005A5FC2"/>
    <w:rsid w:val="005B6C08"/>
    <w:rsid w:val="005C0EBF"/>
    <w:rsid w:val="005C5449"/>
    <w:rsid w:val="005C5DA0"/>
    <w:rsid w:val="005D1027"/>
    <w:rsid w:val="005D2D86"/>
    <w:rsid w:val="005D550F"/>
    <w:rsid w:val="005D6DB0"/>
    <w:rsid w:val="005E18C8"/>
    <w:rsid w:val="005E30FA"/>
    <w:rsid w:val="005E32BF"/>
    <w:rsid w:val="005F56CC"/>
    <w:rsid w:val="00604360"/>
    <w:rsid w:val="006070D9"/>
    <w:rsid w:val="00611C53"/>
    <w:rsid w:val="00616C3C"/>
    <w:rsid w:val="00617062"/>
    <w:rsid w:val="006171D4"/>
    <w:rsid w:val="0062047D"/>
    <w:rsid w:val="00621925"/>
    <w:rsid w:val="00622617"/>
    <w:rsid w:val="00623AFB"/>
    <w:rsid w:val="00633F2D"/>
    <w:rsid w:val="0063495D"/>
    <w:rsid w:val="00635017"/>
    <w:rsid w:val="00636360"/>
    <w:rsid w:val="00636A37"/>
    <w:rsid w:val="00637A1D"/>
    <w:rsid w:val="0064018A"/>
    <w:rsid w:val="00640F80"/>
    <w:rsid w:val="00641869"/>
    <w:rsid w:val="00642005"/>
    <w:rsid w:val="00647436"/>
    <w:rsid w:val="00653B9F"/>
    <w:rsid w:val="00654C6F"/>
    <w:rsid w:val="00661E00"/>
    <w:rsid w:val="0066241D"/>
    <w:rsid w:val="00664B4E"/>
    <w:rsid w:val="00676E73"/>
    <w:rsid w:val="006802E5"/>
    <w:rsid w:val="00681DD3"/>
    <w:rsid w:val="006853FE"/>
    <w:rsid w:val="00695641"/>
    <w:rsid w:val="006A15F7"/>
    <w:rsid w:val="006A3527"/>
    <w:rsid w:val="006A45AC"/>
    <w:rsid w:val="006B2C22"/>
    <w:rsid w:val="006C142A"/>
    <w:rsid w:val="006C64D7"/>
    <w:rsid w:val="006D6F85"/>
    <w:rsid w:val="006D78FA"/>
    <w:rsid w:val="006E06B1"/>
    <w:rsid w:val="006E41BF"/>
    <w:rsid w:val="006F0274"/>
    <w:rsid w:val="006F2301"/>
    <w:rsid w:val="006F6A04"/>
    <w:rsid w:val="00704F29"/>
    <w:rsid w:val="0071071D"/>
    <w:rsid w:val="0071225F"/>
    <w:rsid w:val="00712610"/>
    <w:rsid w:val="00712686"/>
    <w:rsid w:val="00713317"/>
    <w:rsid w:val="00722B4F"/>
    <w:rsid w:val="0072403E"/>
    <w:rsid w:val="00724F18"/>
    <w:rsid w:val="0073112F"/>
    <w:rsid w:val="00732CC8"/>
    <w:rsid w:val="00733662"/>
    <w:rsid w:val="0073585B"/>
    <w:rsid w:val="00736032"/>
    <w:rsid w:val="00737E48"/>
    <w:rsid w:val="00743470"/>
    <w:rsid w:val="00744031"/>
    <w:rsid w:val="00744BFE"/>
    <w:rsid w:val="00751196"/>
    <w:rsid w:val="00754653"/>
    <w:rsid w:val="0075585A"/>
    <w:rsid w:val="0076242F"/>
    <w:rsid w:val="007631D6"/>
    <w:rsid w:val="00765BDC"/>
    <w:rsid w:val="007726AA"/>
    <w:rsid w:val="007743D6"/>
    <w:rsid w:val="00782AFD"/>
    <w:rsid w:val="00790AFA"/>
    <w:rsid w:val="00793114"/>
    <w:rsid w:val="007939A2"/>
    <w:rsid w:val="00794041"/>
    <w:rsid w:val="007A138B"/>
    <w:rsid w:val="007A15D5"/>
    <w:rsid w:val="007A3FA6"/>
    <w:rsid w:val="007A55C6"/>
    <w:rsid w:val="007A5B2D"/>
    <w:rsid w:val="007B0DD0"/>
    <w:rsid w:val="007B1FCC"/>
    <w:rsid w:val="007C088F"/>
    <w:rsid w:val="007C4FF0"/>
    <w:rsid w:val="007C5781"/>
    <w:rsid w:val="007D13E8"/>
    <w:rsid w:val="007D19D4"/>
    <w:rsid w:val="007D56C9"/>
    <w:rsid w:val="007D7BC4"/>
    <w:rsid w:val="007E1B8A"/>
    <w:rsid w:val="007E2824"/>
    <w:rsid w:val="007E3157"/>
    <w:rsid w:val="007F2645"/>
    <w:rsid w:val="007F2E19"/>
    <w:rsid w:val="007F37AE"/>
    <w:rsid w:val="007F3F05"/>
    <w:rsid w:val="007F730D"/>
    <w:rsid w:val="007F75C8"/>
    <w:rsid w:val="00812D7B"/>
    <w:rsid w:val="0082413C"/>
    <w:rsid w:val="008257C1"/>
    <w:rsid w:val="00825C4E"/>
    <w:rsid w:val="00831CC7"/>
    <w:rsid w:val="00832E50"/>
    <w:rsid w:val="00833724"/>
    <w:rsid w:val="00834728"/>
    <w:rsid w:val="00835336"/>
    <w:rsid w:val="0083601E"/>
    <w:rsid w:val="008406CC"/>
    <w:rsid w:val="008412FA"/>
    <w:rsid w:val="00841A83"/>
    <w:rsid w:val="008517D8"/>
    <w:rsid w:val="00851ECA"/>
    <w:rsid w:val="00852A52"/>
    <w:rsid w:val="00857F5D"/>
    <w:rsid w:val="0086067F"/>
    <w:rsid w:val="00870CBF"/>
    <w:rsid w:val="00874688"/>
    <w:rsid w:val="00877360"/>
    <w:rsid w:val="00882A88"/>
    <w:rsid w:val="008832E4"/>
    <w:rsid w:val="00883C54"/>
    <w:rsid w:val="00886FA3"/>
    <w:rsid w:val="00893524"/>
    <w:rsid w:val="00893A0D"/>
    <w:rsid w:val="00896DE1"/>
    <w:rsid w:val="008A4B6A"/>
    <w:rsid w:val="008A67C9"/>
    <w:rsid w:val="008A68DA"/>
    <w:rsid w:val="008B12D7"/>
    <w:rsid w:val="008B2BD2"/>
    <w:rsid w:val="008B434B"/>
    <w:rsid w:val="008C1DAE"/>
    <w:rsid w:val="008D0B71"/>
    <w:rsid w:val="008D1D83"/>
    <w:rsid w:val="008D3E29"/>
    <w:rsid w:val="008D468A"/>
    <w:rsid w:val="008D4E4E"/>
    <w:rsid w:val="008E124D"/>
    <w:rsid w:val="008E52AE"/>
    <w:rsid w:val="008F0241"/>
    <w:rsid w:val="008F1034"/>
    <w:rsid w:val="008F4B04"/>
    <w:rsid w:val="008F5305"/>
    <w:rsid w:val="008F638E"/>
    <w:rsid w:val="0090270E"/>
    <w:rsid w:val="00903C2A"/>
    <w:rsid w:val="0090620C"/>
    <w:rsid w:val="0090716E"/>
    <w:rsid w:val="009155F8"/>
    <w:rsid w:val="00924A51"/>
    <w:rsid w:val="00924B4B"/>
    <w:rsid w:val="009276C3"/>
    <w:rsid w:val="00932622"/>
    <w:rsid w:val="00933420"/>
    <w:rsid w:val="00935015"/>
    <w:rsid w:val="00936161"/>
    <w:rsid w:val="0093783A"/>
    <w:rsid w:val="009421C6"/>
    <w:rsid w:val="009448B3"/>
    <w:rsid w:val="00945993"/>
    <w:rsid w:val="0094652E"/>
    <w:rsid w:val="0095143A"/>
    <w:rsid w:val="009526A5"/>
    <w:rsid w:val="00953633"/>
    <w:rsid w:val="00955CAC"/>
    <w:rsid w:val="00956102"/>
    <w:rsid w:val="00956BB3"/>
    <w:rsid w:val="00956E03"/>
    <w:rsid w:val="00961917"/>
    <w:rsid w:val="00961C4D"/>
    <w:rsid w:val="00961F34"/>
    <w:rsid w:val="00965264"/>
    <w:rsid w:val="00972A14"/>
    <w:rsid w:val="00974647"/>
    <w:rsid w:val="0098762C"/>
    <w:rsid w:val="009901DC"/>
    <w:rsid w:val="00996444"/>
    <w:rsid w:val="009969E1"/>
    <w:rsid w:val="00996CEA"/>
    <w:rsid w:val="009A6AA2"/>
    <w:rsid w:val="009B5C19"/>
    <w:rsid w:val="009B6C43"/>
    <w:rsid w:val="009C0342"/>
    <w:rsid w:val="009C0D53"/>
    <w:rsid w:val="009C1FE6"/>
    <w:rsid w:val="009C3162"/>
    <w:rsid w:val="009C5FB5"/>
    <w:rsid w:val="009D0CB0"/>
    <w:rsid w:val="009D168F"/>
    <w:rsid w:val="009D1733"/>
    <w:rsid w:val="009D57B9"/>
    <w:rsid w:val="009D7A91"/>
    <w:rsid w:val="00A00DF2"/>
    <w:rsid w:val="00A125B7"/>
    <w:rsid w:val="00A144B5"/>
    <w:rsid w:val="00A15E20"/>
    <w:rsid w:val="00A2342A"/>
    <w:rsid w:val="00A23E00"/>
    <w:rsid w:val="00A24696"/>
    <w:rsid w:val="00A25ABC"/>
    <w:rsid w:val="00A26491"/>
    <w:rsid w:val="00A26D12"/>
    <w:rsid w:val="00A36D4A"/>
    <w:rsid w:val="00A45603"/>
    <w:rsid w:val="00A521A3"/>
    <w:rsid w:val="00A53854"/>
    <w:rsid w:val="00A60331"/>
    <w:rsid w:val="00A6068D"/>
    <w:rsid w:val="00A64E0D"/>
    <w:rsid w:val="00A6566E"/>
    <w:rsid w:val="00A65EB1"/>
    <w:rsid w:val="00A67E79"/>
    <w:rsid w:val="00A700A7"/>
    <w:rsid w:val="00A7166E"/>
    <w:rsid w:val="00A779B9"/>
    <w:rsid w:val="00A80091"/>
    <w:rsid w:val="00A80DA4"/>
    <w:rsid w:val="00A86BF7"/>
    <w:rsid w:val="00A870C2"/>
    <w:rsid w:val="00A92FC4"/>
    <w:rsid w:val="00A9477C"/>
    <w:rsid w:val="00A9531A"/>
    <w:rsid w:val="00A96F01"/>
    <w:rsid w:val="00AA0874"/>
    <w:rsid w:val="00AA5B27"/>
    <w:rsid w:val="00AA6477"/>
    <w:rsid w:val="00AB0E68"/>
    <w:rsid w:val="00AB213B"/>
    <w:rsid w:val="00AB4269"/>
    <w:rsid w:val="00AB7BFC"/>
    <w:rsid w:val="00AC1EE2"/>
    <w:rsid w:val="00AC2198"/>
    <w:rsid w:val="00AD00FA"/>
    <w:rsid w:val="00AD024B"/>
    <w:rsid w:val="00AD0B8C"/>
    <w:rsid w:val="00AD0D82"/>
    <w:rsid w:val="00AD2A7B"/>
    <w:rsid w:val="00AD4134"/>
    <w:rsid w:val="00AD58F3"/>
    <w:rsid w:val="00AD74A3"/>
    <w:rsid w:val="00AE1DFA"/>
    <w:rsid w:val="00AE2AC6"/>
    <w:rsid w:val="00AE2D7E"/>
    <w:rsid w:val="00AE34E6"/>
    <w:rsid w:val="00AE6317"/>
    <w:rsid w:val="00AF3C40"/>
    <w:rsid w:val="00AF5C42"/>
    <w:rsid w:val="00B02645"/>
    <w:rsid w:val="00B05FEE"/>
    <w:rsid w:val="00B07C37"/>
    <w:rsid w:val="00B1052F"/>
    <w:rsid w:val="00B14937"/>
    <w:rsid w:val="00B2417B"/>
    <w:rsid w:val="00B2423A"/>
    <w:rsid w:val="00B24A19"/>
    <w:rsid w:val="00B2641A"/>
    <w:rsid w:val="00B27746"/>
    <w:rsid w:val="00B43CA3"/>
    <w:rsid w:val="00B44E8C"/>
    <w:rsid w:val="00B47337"/>
    <w:rsid w:val="00B52487"/>
    <w:rsid w:val="00B53A35"/>
    <w:rsid w:val="00B54252"/>
    <w:rsid w:val="00B6370B"/>
    <w:rsid w:val="00B63ACD"/>
    <w:rsid w:val="00B71688"/>
    <w:rsid w:val="00B73790"/>
    <w:rsid w:val="00B73CFE"/>
    <w:rsid w:val="00B74497"/>
    <w:rsid w:val="00B90851"/>
    <w:rsid w:val="00B90C43"/>
    <w:rsid w:val="00B972DB"/>
    <w:rsid w:val="00BA10A9"/>
    <w:rsid w:val="00BA4AC8"/>
    <w:rsid w:val="00BB07C9"/>
    <w:rsid w:val="00BB5D69"/>
    <w:rsid w:val="00BC24B2"/>
    <w:rsid w:val="00BC52AF"/>
    <w:rsid w:val="00BC6BB7"/>
    <w:rsid w:val="00BD1C74"/>
    <w:rsid w:val="00BD1E33"/>
    <w:rsid w:val="00BD36B7"/>
    <w:rsid w:val="00BD3C12"/>
    <w:rsid w:val="00BD4F8D"/>
    <w:rsid w:val="00BD58AD"/>
    <w:rsid w:val="00BD7B59"/>
    <w:rsid w:val="00BE2B9B"/>
    <w:rsid w:val="00BE4391"/>
    <w:rsid w:val="00C00EC1"/>
    <w:rsid w:val="00C053BE"/>
    <w:rsid w:val="00C06603"/>
    <w:rsid w:val="00C10F66"/>
    <w:rsid w:val="00C15310"/>
    <w:rsid w:val="00C16D49"/>
    <w:rsid w:val="00C23266"/>
    <w:rsid w:val="00C2713F"/>
    <w:rsid w:val="00C3397C"/>
    <w:rsid w:val="00C340A5"/>
    <w:rsid w:val="00C37918"/>
    <w:rsid w:val="00C4092C"/>
    <w:rsid w:val="00C44F66"/>
    <w:rsid w:val="00C51D5E"/>
    <w:rsid w:val="00C532C2"/>
    <w:rsid w:val="00C5459A"/>
    <w:rsid w:val="00C71BD4"/>
    <w:rsid w:val="00C71F42"/>
    <w:rsid w:val="00C72435"/>
    <w:rsid w:val="00C7321E"/>
    <w:rsid w:val="00C74449"/>
    <w:rsid w:val="00C777C1"/>
    <w:rsid w:val="00C77CAC"/>
    <w:rsid w:val="00C82827"/>
    <w:rsid w:val="00C861C9"/>
    <w:rsid w:val="00C9452B"/>
    <w:rsid w:val="00C97D4D"/>
    <w:rsid w:val="00CA5101"/>
    <w:rsid w:val="00CA52F8"/>
    <w:rsid w:val="00CB31B1"/>
    <w:rsid w:val="00CB4906"/>
    <w:rsid w:val="00CC011C"/>
    <w:rsid w:val="00CC0EEE"/>
    <w:rsid w:val="00CC334C"/>
    <w:rsid w:val="00CC77A0"/>
    <w:rsid w:val="00CD5D7F"/>
    <w:rsid w:val="00CE120B"/>
    <w:rsid w:val="00CE15F7"/>
    <w:rsid w:val="00CE3D17"/>
    <w:rsid w:val="00CE7C6C"/>
    <w:rsid w:val="00CF0A36"/>
    <w:rsid w:val="00CF1913"/>
    <w:rsid w:val="00CF3812"/>
    <w:rsid w:val="00CF71E9"/>
    <w:rsid w:val="00D04152"/>
    <w:rsid w:val="00D055AD"/>
    <w:rsid w:val="00D12D12"/>
    <w:rsid w:val="00D1350C"/>
    <w:rsid w:val="00D15FE5"/>
    <w:rsid w:val="00D17BD3"/>
    <w:rsid w:val="00D211E7"/>
    <w:rsid w:val="00D32B8C"/>
    <w:rsid w:val="00D36651"/>
    <w:rsid w:val="00D43B79"/>
    <w:rsid w:val="00D45EDF"/>
    <w:rsid w:val="00D471E2"/>
    <w:rsid w:val="00D5000A"/>
    <w:rsid w:val="00D504A8"/>
    <w:rsid w:val="00D505FA"/>
    <w:rsid w:val="00D50723"/>
    <w:rsid w:val="00D50A7F"/>
    <w:rsid w:val="00D62995"/>
    <w:rsid w:val="00D63021"/>
    <w:rsid w:val="00D70D4C"/>
    <w:rsid w:val="00D71FFB"/>
    <w:rsid w:val="00D735E7"/>
    <w:rsid w:val="00D753F1"/>
    <w:rsid w:val="00D76CCB"/>
    <w:rsid w:val="00D77150"/>
    <w:rsid w:val="00D771F0"/>
    <w:rsid w:val="00D823DB"/>
    <w:rsid w:val="00D8287F"/>
    <w:rsid w:val="00D92ACC"/>
    <w:rsid w:val="00D93012"/>
    <w:rsid w:val="00D93905"/>
    <w:rsid w:val="00D94232"/>
    <w:rsid w:val="00DA5535"/>
    <w:rsid w:val="00DB0D8A"/>
    <w:rsid w:val="00DB3FDA"/>
    <w:rsid w:val="00DC0EBE"/>
    <w:rsid w:val="00DC1195"/>
    <w:rsid w:val="00DC394B"/>
    <w:rsid w:val="00DC3B61"/>
    <w:rsid w:val="00DC42EF"/>
    <w:rsid w:val="00DC6D1D"/>
    <w:rsid w:val="00DD6DBF"/>
    <w:rsid w:val="00DE1592"/>
    <w:rsid w:val="00DE2DE8"/>
    <w:rsid w:val="00DE2DED"/>
    <w:rsid w:val="00DE4866"/>
    <w:rsid w:val="00DE56FC"/>
    <w:rsid w:val="00DF4CDB"/>
    <w:rsid w:val="00E002A8"/>
    <w:rsid w:val="00E01416"/>
    <w:rsid w:val="00E0325A"/>
    <w:rsid w:val="00E03716"/>
    <w:rsid w:val="00E056B2"/>
    <w:rsid w:val="00E073B8"/>
    <w:rsid w:val="00E11EB8"/>
    <w:rsid w:val="00E12977"/>
    <w:rsid w:val="00E14336"/>
    <w:rsid w:val="00E21B99"/>
    <w:rsid w:val="00E243B1"/>
    <w:rsid w:val="00E32AD7"/>
    <w:rsid w:val="00E430F1"/>
    <w:rsid w:val="00E4419B"/>
    <w:rsid w:val="00E47B1B"/>
    <w:rsid w:val="00E56D5A"/>
    <w:rsid w:val="00E573EB"/>
    <w:rsid w:val="00E646EE"/>
    <w:rsid w:val="00E70B87"/>
    <w:rsid w:val="00E72046"/>
    <w:rsid w:val="00E72B53"/>
    <w:rsid w:val="00E73A7A"/>
    <w:rsid w:val="00E74D1F"/>
    <w:rsid w:val="00E751BF"/>
    <w:rsid w:val="00E75B13"/>
    <w:rsid w:val="00E853CF"/>
    <w:rsid w:val="00E87EA4"/>
    <w:rsid w:val="00E905E8"/>
    <w:rsid w:val="00E90E24"/>
    <w:rsid w:val="00E912CC"/>
    <w:rsid w:val="00E9616F"/>
    <w:rsid w:val="00E97055"/>
    <w:rsid w:val="00EA0C9D"/>
    <w:rsid w:val="00EA65A5"/>
    <w:rsid w:val="00EA680E"/>
    <w:rsid w:val="00EA76AA"/>
    <w:rsid w:val="00EB2A7A"/>
    <w:rsid w:val="00EB4106"/>
    <w:rsid w:val="00EB501F"/>
    <w:rsid w:val="00EB6204"/>
    <w:rsid w:val="00EC1A56"/>
    <w:rsid w:val="00EC4404"/>
    <w:rsid w:val="00EC4BF0"/>
    <w:rsid w:val="00EC5075"/>
    <w:rsid w:val="00EC540F"/>
    <w:rsid w:val="00ED3D43"/>
    <w:rsid w:val="00ED517E"/>
    <w:rsid w:val="00ED6121"/>
    <w:rsid w:val="00ED7930"/>
    <w:rsid w:val="00ED7B8F"/>
    <w:rsid w:val="00EE7B99"/>
    <w:rsid w:val="00EF0326"/>
    <w:rsid w:val="00EF107B"/>
    <w:rsid w:val="00EF15B1"/>
    <w:rsid w:val="00EF3FA9"/>
    <w:rsid w:val="00EF4FBB"/>
    <w:rsid w:val="00EF547B"/>
    <w:rsid w:val="00EF5DEA"/>
    <w:rsid w:val="00F04077"/>
    <w:rsid w:val="00F06CE6"/>
    <w:rsid w:val="00F12300"/>
    <w:rsid w:val="00F15819"/>
    <w:rsid w:val="00F23EFC"/>
    <w:rsid w:val="00F24EED"/>
    <w:rsid w:val="00F33378"/>
    <w:rsid w:val="00F335B8"/>
    <w:rsid w:val="00F513C8"/>
    <w:rsid w:val="00F560B2"/>
    <w:rsid w:val="00F57C02"/>
    <w:rsid w:val="00F6000B"/>
    <w:rsid w:val="00F62EFC"/>
    <w:rsid w:val="00F63881"/>
    <w:rsid w:val="00F64CED"/>
    <w:rsid w:val="00F664C7"/>
    <w:rsid w:val="00F7030E"/>
    <w:rsid w:val="00F722E8"/>
    <w:rsid w:val="00F732AC"/>
    <w:rsid w:val="00F747B3"/>
    <w:rsid w:val="00F750A2"/>
    <w:rsid w:val="00F85C40"/>
    <w:rsid w:val="00F9090C"/>
    <w:rsid w:val="00F90C95"/>
    <w:rsid w:val="00F92F60"/>
    <w:rsid w:val="00F94095"/>
    <w:rsid w:val="00F9477A"/>
    <w:rsid w:val="00F97641"/>
    <w:rsid w:val="00FA0226"/>
    <w:rsid w:val="00FA21B9"/>
    <w:rsid w:val="00FA6CD2"/>
    <w:rsid w:val="00FA7053"/>
    <w:rsid w:val="00FB0F15"/>
    <w:rsid w:val="00FB422E"/>
    <w:rsid w:val="00FB61CA"/>
    <w:rsid w:val="00FC0FF3"/>
    <w:rsid w:val="00FC3BC6"/>
    <w:rsid w:val="00FD7D5E"/>
    <w:rsid w:val="00FE141C"/>
    <w:rsid w:val="00FE23F4"/>
    <w:rsid w:val="00FE31FB"/>
    <w:rsid w:val="00FE576A"/>
    <w:rsid w:val="00FE7DAA"/>
    <w:rsid w:val="00FF1F12"/>
    <w:rsid w:val="00FF38EB"/>
    <w:rsid w:val="00FF39FE"/>
    <w:rsid w:val="00FF4D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118CE66"/>
  <w15:chartTrackingRefBased/>
  <w15:docId w15:val="{40DFC7A7-C8EF-4295-BA09-D24A46F92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34E6"/>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qFormat/>
    <w:rsid w:val="001A4EBF"/>
    <w:pPr>
      <w:ind w:left="142" w:right="425"/>
      <w:jc w:val="center"/>
      <w:outlineLvl w:val="0"/>
    </w:pPr>
    <w:rPr>
      <w:rFonts w:asciiTheme="minorHAnsi" w:eastAsiaTheme="majorEastAsia" w:hAnsiTheme="minorHAnsi" w:cstheme="minorHAnsi"/>
      <w:b/>
      <w:bCs/>
      <w:color w:val="2E74B5" w:themeColor="accent1" w:themeShade="BF"/>
      <w:sz w:val="28"/>
      <w:szCs w:val="28"/>
    </w:rPr>
  </w:style>
  <w:style w:type="paragraph" w:styleId="Heading2">
    <w:name w:val="heading 2"/>
    <w:basedOn w:val="Normal"/>
    <w:next w:val="Normal"/>
    <w:link w:val="Heading2Char"/>
    <w:uiPriority w:val="9"/>
    <w:unhideWhenUsed/>
    <w:qFormat/>
    <w:rsid w:val="00B27746"/>
    <w:pPr>
      <w:keepNext/>
      <w:spacing w:before="240" w:after="120"/>
      <w:outlineLvl w:val="1"/>
    </w:pPr>
    <w:rPr>
      <w:rFonts w:asciiTheme="minorHAnsi" w:eastAsia="Calibri" w:hAnsiTheme="minorHAnsi" w:cstheme="minorHAnsi"/>
      <w:b/>
      <w:bCs/>
      <w:i/>
      <w:sz w:val="28"/>
      <w:szCs w:val="28"/>
    </w:rPr>
  </w:style>
  <w:style w:type="paragraph" w:styleId="Heading3">
    <w:name w:val="heading 3"/>
    <w:basedOn w:val="Normal"/>
    <w:next w:val="Normal"/>
    <w:link w:val="Heading3Char"/>
    <w:uiPriority w:val="9"/>
    <w:semiHidden/>
    <w:unhideWhenUsed/>
    <w:qFormat/>
    <w:rsid w:val="00CF3812"/>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iPriority w:val="9"/>
    <w:semiHidden/>
    <w:unhideWhenUsed/>
    <w:qFormat/>
    <w:rsid w:val="00712686"/>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E34E6"/>
    <w:rPr>
      <w:color w:val="0563C1" w:themeColor="hyperlink"/>
      <w:u w:val="single"/>
    </w:rPr>
  </w:style>
  <w:style w:type="character" w:customStyle="1" w:styleId="apple-converted-space">
    <w:name w:val="apple-converted-space"/>
    <w:basedOn w:val="DefaultParagraphFont"/>
    <w:rsid w:val="00AE34E6"/>
  </w:style>
  <w:style w:type="paragraph" w:styleId="Header">
    <w:name w:val="header"/>
    <w:basedOn w:val="Normal"/>
    <w:link w:val="HeaderChar"/>
    <w:rsid w:val="00AE34E6"/>
    <w:pPr>
      <w:tabs>
        <w:tab w:val="center" w:pos="4513"/>
        <w:tab w:val="right" w:pos="9026"/>
      </w:tabs>
    </w:pPr>
  </w:style>
  <w:style w:type="character" w:customStyle="1" w:styleId="HeaderChar">
    <w:name w:val="Header Char"/>
    <w:basedOn w:val="DefaultParagraphFont"/>
    <w:link w:val="Header"/>
    <w:rsid w:val="00AE34E6"/>
    <w:rPr>
      <w:rFonts w:ascii="Times New Roman" w:eastAsia="Times New Roman" w:hAnsi="Times New Roman" w:cs="Times New Roman"/>
      <w:sz w:val="24"/>
      <w:szCs w:val="24"/>
      <w:lang w:eastAsia="en-AU"/>
    </w:rPr>
  </w:style>
  <w:style w:type="paragraph" w:styleId="Footer">
    <w:name w:val="footer"/>
    <w:basedOn w:val="Normal"/>
    <w:link w:val="FooterChar"/>
    <w:uiPriority w:val="99"/>
    <w:rsid w:val="00AE34E6"/>
    <w:pPr>
      <w:tabs>
        <w:tab w:val="center" w:pos="4513"/>
        <w:tab w:val="right" w:pos="9026"/>
      </w:tabs>
    </w:pPr>
  </w:style>
  <w:style w:type="character" w:customStyle="1" w:styleId="FooterChar">
    <w:name w:val="Footer Char"/>
    <w:basedOn w:val="DefaultParagraphFont"/>
    <w:link w:val="Footer"/>
    <w:uiPriority w:val="99"/>
    <w:rsid w:val="00AE34E6"/>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rsid w:val="001A4EBF"/>
    <w:rPr>
      <w:rFonts w:eastAsiaTheme="majorEastAsia" w:cstheme="minorHAnsi"/>
      <w:b/>
      <w:bCs/>
      <w:color w:val="2E74B5" w:themeColor="accent1" w:themeShade="BF"/>
      <w:sz w:val="28"/>
      <w:szCs w:val="28"/>
      <w:lang w:eastAsia="en-AU"/>
    </w:rPr>
  </w:style>
  <w:style w:type="paragraph" w:styleId="BalloonText">
    <w:name w:val="Balloon Text"/>
    <w:basedOn w:val="Normal"/>
    <w:link w:val="BalloonTextChar"/>
    <w:uiPriority w:val="99"/>
    <w:semiHidden/>
    <w:unhideWhenUsed/>
    <w:rsid w:val="00D92A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ACC"/>
    <w:rPr>
      <w:rFonts w:ascii="Segoe UI" w:eastAsia="Times New Roman" w:hAnsi="Segoe UI" w:cs="Segoe UI"/>
      <w:sz w:val="18"/>
      <w:szCs w:val="18"/>
      <w:lang w:eastAsia="en-AU"/>
    </w:rPr>
  </w:style>
  <w:style w:type="paragraph" w:styleId="CommentText">
    <w:name w:val="annotation text"/>
    <w:basedOn w:val="Normal"/>
    <w:link w:val="CommentTextChar"/>
    <w:uiPriority w:val="99"/>
    <w:unhideWhenUsed/>
    <w:rsid w:val="005A5FC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5A5FC2"/>
    <w:rPr>
      <w:sz w:val="20"/>
      <w:szCs w:val="20"/>
    </w:rPr>
  </w:style>
  <w:style w:type="paragraph" w:customStyle="1" w:styleId="CM13">
    <w:name w:val="CM13"/>
    <w:basedOn w:val="Normal"/>
    <w:next w:val="Normal"/>
    <w:uiPriority w:val="99"/>
    <w:rsid w:val="00E002A8"/>
    <w:pPr>
      <w:autoSpaceDE w:val="0"/>
      <w:autoSpaceDN w:val="0"/>
      <w:adjustRightInd w:val="0"/>
    </w:pPr>
    <w:rPr>
      <w:rFonts w:ascii="Open Sans Light" w:eastAsiaTheme="minorHAnsi" w:hAnsi="Open Sans Light" w:cstheme="minorBidi"/>
      <w:lang w:eastAsia="en-US"/>
    </w:rPr>
  </w:style>
  <w:style w:type="paragraph" w:styleId="PlainText">
    <w:name w:val="Plain Text"/>
    <w:basedOn w:val="Normal"/>
    <w:link w:val="PlainTextChar"/>
    <w:uiPriority w:val="99"/>
    <w:unhideWhenUsed/>
    <w:rsid w:val="009276C3"/>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9276C3"/>
    <w:rPr>
      <w:rFonts w:ascii="Calibri" w:hAnsi="Calibri" w:cs="Calibri"/>
    </w:rPr>
  </w:style>
  <w:style w:type="paragraph" w:customStyle="1" w:styleId="Default">
    <w:name w:val="Default"/>
    <w:basedOn w:val="Normal"/>
    <w:rsid w:val="009276C3"/>
    <w:pPr>
      <w:autoSpaceDE w:val="0"/>
      <w:autoSpaceDN w:val="0"/>
    </w:pPr>
    <w:rPr>
      <w:rFonts w:eastAsiaTheme="minorHAnsi"/>
      <w:color w:val="000000"/>
      <w:lang w:eastAsia="en-US"/>
    </w:rPr>
  </w:style>
  <w:style w:type="character" w:styleId="CommentReference">
    <w:name w:val="annotation reference"/>
    <w:basedOn w:val="DefaultParagraphFont"/>
    <w:uiPriority w:val="99"/>
    <w:semiHidden/>
    <w:unhideWhenUsed/>
    <w:rsid w:val="00FA6CD2"/>
    <w:rPr>
      <w:sz w:val="16"/>
      <w:szCs w:val="16"/>
    </w:rPr>
  </w:style>
  <w:style w:type="paragraph" w:styleId="CommentSubject">
    <w:name w:val="annotation subject"/>
    <w:basedOn w:val="CommentText"/>
    <w:next w:val="CommentText"/>
    <w:link w:val="CommentSubjectChar"/>
    <w:uiPriority w:val="99"/>
    <w:semiHidden/>
    <w:unhideWhenUsed/>
    <w:rsid w:val="00FA6CD2"/>
    <w:pPr>
      <w:spacing w:after="0"/>
    </w:pPr>
    <w:rPr>
      <w:rFonts w:ascii="Times New Roman" w:eastAsia="Times New Roman" w:hAnsi="Times New Roman" w:cs="Times New Roman"/>
      <w:b/>
      <w:bCs/>
      <w:lang w:eastAsia="en-AU"/>
    </w:rPr>
  </w:style>
  <w:style w:type="character" w:customStyle="1" w:styleId="CommentSubjectChar">
    <w:name w:val="Comment Subject Char"/>
    <w:basedOn w:val="CommentTextChar"/>
    <w:link w:val="CommentSubject"/>
    <w:uiPriority w:val="99"/>
    <w:semiHidden/>
    <w:rsid w:val="00FA6CD2"/>
    <w:rPr>
      <w:rFonts w:ascii="Times New Roman" w:eastAsia="Times New Roman" w:hAnsi="Times New Roman" w:cs="Times New Roman"/>
      <w:b/>
      <w:bCs/>
      <w:sz w:val="20"/>
      <w:szCs w:val="20"/>
      <w:lang w:eastAsia="en-AU"/>
    </w:rPr>
  </w:style>
  <w:style w:type="character" w:customStyle="1" w:styleId="Heading2Char">
    <w:name w:val="Heading 2 Char"/>
    <w:basedOn w:val="DefaultParagraphFont"/>
    <w:link w:val="Heading2"/>
    <w:uiPriority w:val="9"/>
    <w:rsid w:val="00B27746"/>
    <w:rPr>
      <w:rFonts w:eastAsia="Calibri" w:cstheme="minorHAnsi"/>
      <w:b/>
      <w:bCs/>
      <w:i/>
      <w:sz w:val="28"/>
      <w:szCs w:val="28"/>
      <w:lang w:eastAsia="en-AU"/>
    </w:rPr>
  </w:style>
  <w:style w:type="paragraph" w:styleId="NormalWeb">
    <w:name w:val="Normal (Web)"/>
    <w:basedOn w:val="Normal"/>
    <w:uiPriority w:val="99"/>
    <w:unhideWhenUsed/>
    <w:rsid w:val="007A55C6"/>
    <w:pPr>
      <w:spacing w:before="100" w:beforeAutospacing="1" w:after="100" w:afterAutospacing="1"/>
    </w:p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604360"/>
    <w:pPr>
      <w:spacing w:after="200" w:line="276" w:lineRule="auto"/>
      <w:ind w:left="720"/>
      <w:contextualSpacing/>
    </w:pPr>
    <w:rPr>
      <w:rFonts w:ascii="Calibri" w:eastAsiaTheme="minorHAnsi" w:hAnsi="Calibri" w:cs="Calibri"/>
      <w:sz w:val="22"/>
      <w:szCs w:val="22"/>
      <w:lang w:eastAsia="en-US"/>
    </w:rPr>
  </w:style>
  <w:style w:type="character" w:customStyle="1" w:styleId="Heading3Char">
    <w:name w:val="Heading 3 Char"/>
    <w:basedOn w:val="DefaultParagraphFont"/>
    <w:link w:val="Heading3"/>
    <w:uiPriority w:val="9"/>
    <w:semiHidden/>
    <w:rsid w:val="00CF3812"/>
    <w:rPr>
      <w:rFonts w:asciiTheme="majorHAnsi" w:eastAsiaTheme="majorEastAsia" w:hAnsiTheme="majorHAnsi" w:cstheme="majorBidi"/>
      <w:color w:val="1F4D78" w:themeColor="accent1" w:themeShade="7F"/>
      <w:sz w:val="24"/>
      <w:szCs w:val="24"/>
      <w:lang w:eastAsia="en-AU"/>
    </w:rPr>
  </w:style>
  <w:style w:type="paragraph" w:styleId="NoSpacing">
    <w:name w:val="No Spacing"/>
    <w:link w:val="NoSpacingChar"/>
    <w:uiPriority w:val="1"/>
    <w:qFormat/>
    <w:rsid w:val="00CF381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F3812"/>
    <w:rPr>
      <w:rFonts w:eastAsiaTheme="minorEastAsia"/>
      <w:lang w:val="en-US"/>
    </w:rPr>
  </w:style>
  <w:style w:type="table" w:styleId="TableGrid">
    <w:name w:val="Table Grid"/>
    <w:basedOn w:val="TableNormal"/>
    <w:uiPriority w:val="39"/>
    <w:rsid w:val="00CB3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CB31B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1Light-Accent1">
    <w:name w:val="List Table 1 Light Accent 1"/>
    <w:basedOn w:val="TableNormal"/>
    <w:uiPriority w:val="46"/>
    <w:rsid w:val="00CB31B1"/>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1">
    <w:name w:val="List Table 2 Accent 1"/>
    <w:basedOn w:val="TableNormal"/>
    <w:uiPriority w:val="47"/>
    <w:rsid w:val="00CB31B1"/>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odyText">
    <w:name w:val="Body Text"/>
    <w:basedOn w:val="Normal"/>
    <w:link w:val="BodyTextChar"/>
    <w:rsid w:val="00BC6BB7"/>
    <w:pPr>
      <w:spacing w:after="120"/>
    </w:pPr>
    <w:rPr>
      <w:sz w:val="20"/>
      <w:szCs w:val="20"/>
      <w:lang w:eastAsia="zh-CN"/>
    </w:rPr>
  </w:style>
  <w:style w:type="character" w:customStyle="1" w:styleId="BodyTextChar">
    <w:name w:val="Body Text Char"/>
    <w:basedOn w:val="DefaultParagraphFont"/>
    <w:link w:val="BodyText"/>
    <w:rsid w:val="00BC6BB7"/>
    <w:rPr>
      <w:rFonts w:ascii="Times New Roman" w:eastAsia="Times New Roman" w:hAnsi="Times New Roman" w:cs="Times New Roman"/>
      <w:sz w:val="20"/>
      <w:szCs w:val="20"/>
      <w:lang w:eastAsia="zh-CN"/>
    </w:rPr>
  </w:style>
  <w:style w:type="paragraph" w:customStyle="1" w:styleId="m-b-0">
    <w:name w:val="m-b-0"/>
    <w:basedOn w:val="Normal"/>
    <w:rsid w:val="00521785"/>
    <w:pPr>
      <w:spacing w:before="100" w:beforeAutospacing="1" w:after="100" w:afterAutospacing="1"/>
    </w:pPr>
  </w:style>
  <w:style w:type="character" w:styleId="FollowedHyperlink">
    <w:name w:val="FollowedHyperlink"/>
    <w:basedOn w:val="DefaultParagraphFont"/>
    <w:uiPriority w:val="99"/>
    <w:semiHidden/>
    <w:unhideWhenUsed/>
    <w:rsid w:val="0026629E"/>
    <w:rPr>
      <w:color w:val="954F72" w:themeColor="followedHyperlink"/>
      <w:u w:val="single"/>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1EB8"/>
    <w:rPr>
      <w:rFonts w:ascii="Calibri" w:hAnsi="Calibri" w:cs="Calibri"/>
    </w:rPr>
  </w:style>
  <w:style w:type="character" w:customStyle="1" w:styleId="Heading4Char">
    <w:name w:val="Heading 4 Char"/>
    <w:basedOn w:val="DefaultParagraphFont"/>
    <w:link w:val="Heading4"/>
    <w:uiPriority w:val="9"/>
    <w:semiHidden/>
    <w:rsid w:val="00712686"/>
    <w:rPr>
      <w:rFonts w:asciiTheme="majorHAnsi" w:eastAsiaTheme="majorEastAsia" w:hAnsiTheme="majorHAnsi" w:cstheme="majorBidi"/>
      <w:i/>
      <w:iCs/>
      <w:color w:val="2E74B5" w:themeColor="accent1" w:themeShade="BF"/>
      <w:sz w:val="24"/>
      <w:szCs w:val="24"/>
      <w:lang w:eastAsia="en-AU"/>
    </w:rPr>
  </w:style>
  <w:style w:type="character" w:styleId="Strong">
    <w:name w:val="Strong"/>
    <w:basedOn w:val="DefaultParagraphFont"/>
    <w:uiPriority w:val="22"/>
    <w:qFormat/>
    <w:rsid w:val="007E2824"/>
    <w:rPr>
      <w:b/>
      <w:bCs/>
    </w:rPr>
  </w:style>
  <w:style w:type="paragraph" w:styleId="Revision">
    <w:name w:val="Revision"/>
    <w:hidden/>
    <w:uiPriority w:val="99"/>
    <w:semiHidden/>
    <w:rsid w:val="00057FCA"/>
    <w:pPr>
      <w:spacing w:after="0" w:line="240" w:lineRule="auto"/>
    </w:pPr>
    <w:rPr>
      <w:rFonts w:ascii="Times New Roman" w:eastAsia="Times New Roman" w:hAnsi="Times New Roman" w:cs="Times New Roman"/>
      <w:sz w:val="24"/>
      <w:szCs w:val="24"/>
      <w:lang w:eastAsia="en-AU"/>
    </w:rPr>
  </w:style>
  <w:style w:type="paragraph" w:customStyle="1" w:styleId="ShortT">
    <w:name w:val="ShortT"/>
    <w:basedOn w:val="Normal"/>
    <w:uiPriority w:val="99"/>
    <w:rsid w:val="009D7A91"/>
    <w:rPr>
      <w:rFonts w:eastAsiaTheme="minorHAnsi"/>
      <w:b/>
      <w:bCs/>
      <w:sz w:val="40"/>
      <w:szCs w:val="40"/>
    </w:rPr>
  </w:style>
  <w:style w:type="paragraph" w:customStyle="1" w:styleId="xxmsonormal">
    <w:name w:val="x_xmsonormal"/>
    <w:basedOn w:val="Normal"/>
    <w:rsid w:val="00404E7C"/>
    <w:rPr>
      <w:rFonts w:ascii="Calibri" w:eastAsiaTheme="minorHAnsi" w:hAnsi="Calibri" w:cs="Calibri"/>
      <w:sz w:val="22"/>
      <w:szCs w:val="22"/>
    </w:rPr>
  </w:style>
  <w:style w:type="character" w:styleId="Emphasis">
    <w:name w:val="Emphasis"/>
    <w:basedOn w:val="DefaultParagraphFont"/>
    <w:uiPriority w:val="20"/>
    <w:qFormat/>
    <w:rsid w:val="005E30FA"/>
    <w:rPr>
      <w:i/>
      <w:iCs/>
    </w:rPr>
  </w:style>
  <w:style w:type="paragraph" w:customStyle="1" w:styleId="paragraph">
    <w:name w:val="paragraph"/>
    <w:basedOn w:val="Normal"/>
    <w:rsid w:val="009B5C19"/>
  </w:style>
  <w:style w:type="character" w:customStyle="1" w:styleId="eop">
    <w:name w:val="eop"/>
    <w:basedOn w:val="DefaultParagraphFont"/>
    <w:rsid w:val="009B5C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295029">
      <w:bodyDiv w:val="1"/>
      <w:marLeft w:val="0"/>
      <w:marRight w:val="0"/>
      <w:marTop w:val="0"/>
      <w:marBottom w:val="0"/>
      <w:divBdr>
        <w:top w:val="none" w:sz="0" w:space="0" w:color="auto"/>
        <w:left w:val="none" w:sz="0" w:space="0" w:color="auto"/>
        <w:bottom w:val="none" w:sz="0" w:space="0" w:color="auto"/>
        <w:right w:val="none" w:sz="0" w:space="0" w:color="auto"/>
      </w:divBdr>
    </w:div>
    <w:div w:id="97255717">
      <w:bodyDiv w:val="1"/>
      <w:marLeft w:val="0"/>
      <w:marRight w:val="0"/>
      <w:marTop w:val="0"/>
      <w:marBottom w:val="0"/>
      <w:divBdr>
        <w:top w:val="none" w:sz="0" w:space="0" w:color="auto"/>
        <w:left w:val="none" w:sz="0" w:space="0" w:color="auto"/>
        <w:bottom w:val="none" w:sz="0" w:space="0" w:color="auto"/>
        <w:right w:val="none" w:sz="0" w:space="0" w:color="auto"/>
      </w:divBdr>
    </w:div>
    <w:div w:id="230042686">
      <w:bodyDiv w:val="1"/>
      <w:marLeft w:val="0"/>
      <w:marRight w:val="0"/>
      <w:marTop w:val="0"/>
      <w:marBottom w:val="0"/>
      <w:divBdr>
        <w:top w:val="none" w:sz="0" w:space="0" w:color="auto"/>
        <w:left w:val="none" w:sz="0" w:space="0" w:color="auto"/>
        <w:bottom w:val="none" w:sz="0" w:space="0" w:color="auto"/>
        <w:right w:val="none" w:sz="0" w:space="0" w:color="auto"/>
      </w:divBdr>
    </w:div>
    <w:div w:id="241525303">
      <w:bodyDiv w:val="1"/>
      <w:marLeft w:val="0"/>
      <w:marRight w:val="0"/>
      <w:marTop w:val="0"/>
      <w:marBottom w:val="0"/>
      <w:divBdr>
        <w:top w:val="none" w:sz="0" w:space="0" w:color="auto"/>
        <w:left w:val="none" w:sz="0" w:space="0" w:color="auto"/>
        <w:bottom w:val="none" w:sz="0" w:space="0" w:color="auto"/>
        <w:right w:val="none" w:sz="0" w:space="0" w:color="auto"/>
      </w:divBdr>
    </w:div>
    <w:div w:id="250966581">
      <w:bodyDiv w:val="1"/>
      <w:marLeft w:val="0"/>
      <w:marRight w:val="0"/>
      <w:marTop w:val="0"/>
      <w:marBottom w:val="0"/>
      <w:divBdr>
        <w:top w:val="none" w:sz="0" w:space="0" w:color="auto"/>
        <w:left w:val="none" w:sz="0" w:space="0" w:color="auto"/>
        <w:bottom w:val="none" w:sz="0" w:space="0" w:color="auto"/>
        <w:right w:val="none" w:sz="0" w:space="0" w:color="auto"/>
      </w:divBdr>
    </w:div>
    <w:div w:id="258217417">
      <w:bodyDiv w:val="1"/>
      <w:marLeft w:val="0"/>
      <w:marRight w:val="0"/>
      <w:marTop w:val="0"/>
      <w:marBottom w:val="0"/>
      <w:divBdr>
        <w:top w:val="none" w:sz="0" w:space="0" w:color="auto"/>
        <w:left w:val="none" w:sz="0" w:space="0" w:color="auto"/>
        <w:bottom w:val="none" w:sz="0" w:space="0" w:color="auto"/>
        <w:right w:val="none" w:sz="0" w:space="0" w:color="auto"/>
      </w:divBdr>
    </w:div>
    <w:div w:id="259224748">
      <w:bodyDiv w:val="1"/>
      <w:marLeft w:val="0"/>
      <w:marRight w:val="0"/>
      <w:marTop w:val="0"/>
      <w:marBottom w:val="0"/>
      <w:divBdr>
        <w:top w:val="none" w:sz="0" w:space="0" w:color="auto"/>
        <w:left w:val="none" w:sz="0" w:space="0" w:color="auto"/>
        <w:bottom w:val="none" w:sz="0" w:space="0" w:color="auto"/>
        <w:right w:val="none" w:sz="0" w:space="0" w:color="auto"/>
      </w:divBdr>
    </w:div>
    <w:div w:id="264462616">
      <w:bodyDiv w:val="1"/>
      <w:marLeft w:val="0"/>
      <w:marRight w:val="0"/>
      <w:marTop w:val="0"/>
      <w:marBottom w:val="0"/>
      <w:divBdr>
        <w:top w:val="none" w:sz="0" w:space="0" w:color="auto"/>
        <w:left w:val="none" w:sz="0" w:space="0" w:color="auto"/>
        <w:bottom w:val="none" w:sz="0" w:space="0" w:color="auto"/>
        <w:right w:val="none" w:sz="0" w:space="0" w:color="auto"/>
      </w:divBdr>
    </w:div>
    <w:div w:id="264921996">
      <w:bodyDiv w:val="1"/>
      <w:marLeft w:val="0"/>
      <w:marRight w:val="0"/>
      <w:marTop w:val="0"/>
      <w:marBottom w:val="0"/>
      <w:divBdr>
        <w:top w:val="none" w:sz="0" w:space="0" w:color="auto"/>
        <w:left w:val="none" w:sz="0" w:space="0" w:color="auto"/>
        <w:bottom w:val="none" w:sz="0" w:space="0" w:color="auto"/>
        <w:right w:val="none" w:sz="0" w:space="0" w:color="auto"/>
      </w:divBdr>
    </w:div>
    <w:div w:id="271322845">
      <w:bodyDiv w:val="1"/>
      <w:marLeft w:val="0"/>
      <w:marRight w:val="0"/>
      <w:marTop w:val="0"/>
      <w:marBottom w:val="0"/>
      <w:divBdr>
        <w:top w:val="none" w:sz="0" w:space="0" w:color="auto"/>
        <w:left w:val="none" w:sz="0" w:space="0" w:color="auto"/>
        <w:bottom w:val="none" w:sz="0" w:space="0" w:color="auto"/>
        <w:right w:val="none" w:sz="0" w:space="0" w:color="auto"/>
      </w:divBdr>
    </w:div>
    <w:div w:id="312376516">
      <w:bodyDiv w:val="1"/>
      <w:marLeft w:val="0"/>
      <w:marRight w:val="0"/>
      <w:marTop w:val="0"/>
      <w:marBottom w:val="0"/>
      <w:divBdr>
        <w:top w:val="none" w:sz="0" w:space="0" w:color="auto"/>
        <w:left w:val="none" w:sz="0" w:space="0" w:color="auto"/>
        <w:bottom w:val="none" w:sz="0" w:space="0" w:color="auto"/>
        <w:right w:val="none" w:sz="0" w:space="0" w:color="auto"/>
      </w:divBdr>
    </w:div>
    <w:div w:id="331488840">
      <w:bodyDiv w:val="1"/>
      <w:marLeft w:val="0"/>
      <w:marRight w:val="0"/>
      <w:marTop w:val="0"/>
      <w:marBottom w:val="0"/>
      <w:divBdr>
        <w:top w:val="none" w:sz="0" w:space="0" w:color="auto"/>
        <w:left w:val="none" w:sz="0" w:space="0" w:color="auto"/>
        <w:bottom w:val="none" w:sz="0" w:space="0" w:color="auto"/>
        <w:right w:val="none" w:sz="0" w:space="0" w:color="auto"/>
      </w:divBdr>
    </w:div>
    <w:div w:id="437995046">
      <w:bodyDiv w:val="1"/>
      <w:marLeft w:val="0"/>
      <w:marRight w:val="0"/>
      <w:marTop w:val="0"/>
      <w:marBottom w:val="0"/>
      <w:divBdr>
        <w:top w:val="none" w:sz="0" w:space="0" w:color="auto"/>
        <w:left w:val="none" w:sz="0" w:space="0" w:color="auto"/>
        <w:bottom w:val="none" w:sz="0" w:space="0" w:color="auto"/>
        <w:right w:val="none" w:sz="0" w:space="0" w:color="auto"/>
      </w:divBdr>
      <w:divsChild>
        <w:div w:id="1809856123">
          <w:marLeft w:val="0"/>
          <w:marRight w:val="0"/>
          <w:marTop w:val="0"/>
          <w:marBottom w:val="0"/>
          <w:divBdr>
            <w:top w:val="none" w:sz="0" w:space="0" w:color="auto"/>
            <w:left w:val="none" w:sz="0" w:space="0" w:color="auto"/>
            <w:bottom w:val="none" w:sz="0" w:space="0" w:color="auto"/>
            <w:right w:val="none" w:sz="0" w:space="0" w:color="auto"/>
          </w:divBdr>
        </w:div>
      </w:divsChild>
    </w:div>
    <w:div w:id="446890872">
      <w:bodyDiv w:val="1"/>
      <w:marLeft w:val="0"/>
      <w:marRight w:val="0"/>
      <w:marTop w:val="0"/>
      <w:marBottom w:val="0"/>
      <w:divBdr>
        <w:top w:val="none" w:sz="0" w:space="0" w:color="auto"/>
        <w:left w:val="none" w:sz="0" w:space="0" w:color="auto"/>
        <w:bottom w:val="none" w:sz="0" w:space="0" w:color="auto"/>
        <w:right w:val="none" w:sz="0" w:space="0" w:color="auto"/>
      </w:divBdr>
    </w:div>
    <w:div w:id="474418340">
      <w:bodyDiv w:val="1"/>
      <w:marLeft w:val="0"/>
      <w:marRight w:val="0"/>
      <w:marTop w:val="0"/>
      <w:marBottom w:val="0"/>
      <w:divBdr>
        <w:top w:val="none" w:sz="0" w:space="0" w:color="auto"/>
        <w:left w:val="none" w:sz="0" w:space="0" w:color="auto"/>
        <w:bottom w:val="none" w:sz="0" w:space="0" w:color="auto"/>
        <w:right w:val="none" w:sz="0" w:space="0" w:color="auto"/>
      </w:divBdr>
    </w:div>
    <w:div w:id="496193940">
      <w:bodyDiv w:val="1"/>
      <w:marLeft w:val="0"/>
      <w:marRight w:val="0"/>
      <w:marTop w:val="0"/>
      <w:marBottom w:val="0"/>
      <w:divBdr>
        <w:top w:val="none" w:sz="0" w:space="0" w:color="auto"/>
        <w:left w:val="none" w:sz="0" w:space="0" w:color="auto"/>
        <w:bottom w:val="none" w:sz="0" w:space="0" w:color="auto"/>
        <w:right w:val="none" w:sz="0" w:space="0" w:color="auto"/>
      </w:divBdr>
    </w:div>
    <w:div w:id="504516663">
      <w:bodyDiv w:val="1"/>
      <w:marLeft w:val="0"/>
      <w:marRight w:val="0"/>
      <w:marTop w:val="0"/>
      <w:marBottom w:val="0"/>
      <w:divBdr>
        <w:top w:val="none" w:sz="0" w:space="0" w:color="auto"/>
        <w:left w:val="none" w:sz="0" w:space="0" w:color="auto"/>
        <w:bottom w:val="none" w:sz="0" w:space="0" w:color="auto"/>
        <w:right w:val="none" w:sz="0" w:space="0" w:color="auto"/>
      </w:divBdr>
    </w:div>
    <w:div w:id="512955634">
      <w:bodyDiv w:val="1"/>
      <w:marLeft w:val="0"/>
      <w:marRight w:val="0"/>
      <w:marTop w:val="0"/>
      <w:marBottom w:val="0"/>
      <w:divBdr>
        <w:top w:val="none" w:sz="0" w:space="0" w:color="auto"/>
        <w:left w:val="none" w:sz="0" w:space="0" w:color="auto"/>
        <w:bottom w:val="none" w:sz="0" w:space="0" w:color="auto"/>
        <w:right w:val="none" w:sz="0" w:space="0" w:color="auto"/>
      </w:divBdr>
    </w:div>
    <w:div w:id="521435959">
      <w:bodyDiv w:val="1"/>
      <w:marLeft w:val="0"/>
      <w:marRight w:val="0"/>
      <w:marTop w:val="0"/>
      <w:marBottom w:val="0"/>
      <w:divBdr>
        <w:top w:val="none" w:sz="0" w:space="0" w:color="auto"/>
        <w:left w:val="none" w:sz="0" w:space="0" w:color="auto"/>
        <w:bottom w:val="none" w:sz="0" w:space="0" w:color="auto"/>
        <w:right w:val="none" w:sz="0" w:space="0" w:color="auto"/>
      </w:divBdr>
    </w:div>
    <w:div w:id="542448427">
      <w:bodyDiv w:val="1"/>
      <w:marLeft w:val="0"/>
      <w:marRight w:val="0"/>
      <w:marTop w:val="0"/>
      <w:marBottom w:val="0"/>
      <w:divBdr>
        <w:top w:val="none" w:sz="0" w:space="0" w:color="auto"/>
        <w:left w:val="none" w:sz="0" w:space="0" w:color="auto"/>
        <w:bottom w:val="none" w:sz="0" w:space="0" w:color="auto"/>
        <w:right w:val="none" w:sz="0" w:space="0" w:color="auto"/>
      </w:divBdr>
    </w:div>
    <w:div w:id="573975214">
      <w:bodyDiv w:val="1"/>
      <w:marLeft w:val="0"/>
      <w:marRight w:val="0"/>
      <w:marTop w:val="0"/>
      <w:marBottom w:val="0"/>
      <w:divBdr>
        <w:top w:val="none" w:sz="0" w:space="0" w:color="auto"/>
        <w:left w:val="none" w:sz="0" w:space="0" w:color="auto"/>
        <w:bottom w:val="none" w:sz="0" w:space="0" w:color="auto"/>
        <w:right w:val="none" w:sz="0" w:space="0" w:color="auto"/>
      </w:divBdr>
    </w:div>
    <w:div w:id="587345644">
      <w:bodyDiv w:val="1"/>
      <w:marLeft w:val="0"/>
      <w:marRight w:val="0"/>
      <w:marTop w:val="0"/>
      <w:marBottom w:val="0"/>
      <w:divBdr>
        <w:top w:val="none" w:sz="0" w:space="0" w:color="auto"/>
        <w:left w:val="none" w:sz="0" w:space="0" w:color="auto"/>
        <w:bottom w:val="none" w:sz="0" w:space="0" w:color="auto"/>
        <w:right w:val="none" w:sz="0" w:space="0" w:color="auto"/>
      </w:divBdr>
      <w:divsChild>
        <w:div w:id="985623045">
          <w:marLeft w:val="0"/>
          <w:marRight w:val="0"/>
          <w:marTop w:val="225"/>
          <w:marBottom w:val="0"/>
          <w:divBdr>
            <w:top w:val="none" w:sz="0" w:space="0" w:color="auto"/>
            <w:left w:val="none" w:sz="0" w:space="0" w:color="auto"/>
            <w:bottom w:val="none" w:sz="0" w:space="0" w:color="auto"/>
            <w:right w:val="none" w:sz="0" w:space="0" w:color="auto"/>
          </w:divBdr>
          <w:divsChild>
            <w:div w:id="2117403228">
              <w:marLeft w:val="0"/>
              <w:marRight w:val="0"/>
              <w:marTop w:val="0"/>
              <w:marBottom w:val="0"/>
              <w:divBdr>
                <w:top w:val="none" w:sz="0" w:space="0" w:color="auto"/>
                <w:left w:val="none" w:sz="0" w:space="0" w:color="auto"/>
                <w:bottom w:val="none" w:sz="0" w:space="0" w:color="auto"/>
                <w:right w:val="none" w:sz="0" w:space="0" w:color="auto"/>
              </w:divBdr>
            </w:div>
            <w:div w:id="172569935">
              <w:marLeft w:val="0"/>
              <w:marRight w:val="0"/>
              <w:marTop w:val="0"/>
              <w:marBottom w:val="0"/>
              <w:divBdr>
                <w:top w:val="none" w:sz="0" w:space="0" w:color="auto"/>
                <w:left w:val="none" w:sz="0" w:space="0" w:color="auto"/>
                <w:bottom w:val="none" w:sz="0" w:space="0" w:color="auto"/>
                <w:right w:val="none" w:sz="0" w:space="0" w:color="auto"/>
              </w:divBdr>
            </w:div>
          </w:divsChild>
        </w:div>
        <w:div w:id="363411800">
          <w:marLeft w:val="0"/>
          <w:marRight w:val="0"/>
          <w:marTop w:val="225"/>
          <w:marBottom w:val="0"/>
          <w:divBdr>
            <w:top w:val="none" w:sz="0" w:space="0" w:color="auto"/>
            <w:left w:val="none" w:sz="0" w:space="0" w:color="auto"/>
            <w:bottom w:val="none" w:sz="0" w:space="0" w:color="auto"/>
            <w:right w:val="none" w:sz="0" w:space="0" w:color="auto"/>
          </w:divBdr>
          <w:divsChild>
            <w:div w:id="1677154716">
              <w:marLeft w:val="0"/>
              <w:marRight w:val="0"/>
              <w:marTop w:val="0"/>
              <w:marBottom w:val="0"/>
              <w:divBdr>
                <w:top w:val="none" w:sz="0" w:space="0" w:color="auto"/>
                <w:left w:val="none" w:sz="0" w:space="0" w:color="auto"/>
                <w:bottom w:val="none" w:sz="0" w:space="0" w:color="auto"/>
                <w:right w:val="none" w:sz="0" w:space="0" w:color="auto"/>
              </w:divBdr>
            </w:div>
            <w:div w:id="1549100737">
              <w:marLeft w:val="0"/>
              <w:marRight w:val="0"/>
              <w:marTop w:val="0"/>
              <w:marBottom w:val="0"/>
              <w:divBdr>
                <w:top w:val="none" w:sz="0" w:space="0" w:color="auto"/>
                <w:left w:val="none" w:sz="0" w:space="0" w:color="auto"/>
                <w:bottom w:val="none" w:sz="0" w:space="0" w:color="auto"/>
                <w:right w:val="none" w:sz="0" w:space="0" w:color="auto"/>
              </w:divBdr>
            </w:div>
          </w:divsChild>
        </w:div>
        <w:div w:id="1324360265">
          <w:marLeft w:val="0"/>
          <w:marRight w:val="0"/>
          <w:marTop w:val="225"/>
          <w:marBottom w:val="0"/>
          <w:divBdr>
            <w:top w:val="none" w:sz="0" w:space="0" w:color="auto"/>
            <w:left w:val="none" w:sz="0" w:space="0" w:color="auto"/>
            <w:bottom w:val="none" w:sz="0" w:space="0" w:color="auto"/>
            <w:right w:val="none" w:sz="0" w:space="0" w:color="auto"/>
          </w:divBdr>
          <w:divsChild>
            <w:div w:id="2084328724">
              <w:marLeft w:val="0"/>
              <w:marRight w:val="0"/>
              <w:marTop w:val="0"/>
              <w:marBottom w:val="0"/>
              <w:divBdr>
                <w:top w:val="none" w:sz="0" w:space="0" w:color="auto"/>
                <w:left w:val="none" w:sz="0" w:space="0" w:color="auto"/>
                <w:bottom w:val="none" w:sz="0" w:space="0" w:color="auto"/>
                <w:right w:val="none" w:sz="0" w:space="0" w:color="auto"/>
              </w:divBdr>
            </w:div>
            <w:div w:id="2105765511">
              <w:marLeft w:val="0"/>
              <w:marRight w:val="0"/>
              <w:marTop w:val="0"/>
              <w:marBottom w:val="0"/>
              <w:divBdr>
                <w:top w:val="none" w:sz="0" w:space="0" w:color="auto"/>
                <w:left w:val="none" w:sz="0" w:space="0" w:color="auto"/>
                <w:bottom w:val="none" w:sz="0" w:space="0" w:color="auto"/>
                <w:right w:val="none" w:sz="0" w:space="0" w:color="auto"/>
              </w:divBdr>
            </w:div>
          </w:divsChild>
        </w:div>
        <w:div w:id="1753817021">
          <w:marLeft w:val="0"/>
          <w:marRight w:val="0"/>
          <w:marTop w:val="225"/>
          <w:marBottom w:val="0"/>
          <w:divBdr>
            <w:top w:val="none" w:sz="0" w:space="0" w:color="auto"/>
            <w:left w:val="none" w:sz="0" w:space="0" w:color="auto"/>
            <w:bottom w:val="none" w:sz="0" w:space="0" w:color="auto"/>
            <w:right w:val="none" w:sz="0" w:space="0" w:color="auto"/>
          </w:divBdr>
          <w:divsChild>
            <w:div w:id="1689214177">
              <w:marLeft w:val="0"/>
              <w:marRight w:val="0"/>
              <w:marTop w:val="0"/>
              <w:marBottom w:val="0"/>
              <w:divBdr>
                <w:top w:val="none" w:sz="0" w:space="0" w:color="auto"/>
                <w:left w:val="none" w:sz="0" w:space="0" w:color="auto"/>
                <w:bottom w:val="none" w:sz="0" w:space="0" w:color="auto"/>
                <w:right w:val="none" w:sz="0" w:space="0" w:color="auto"/>
              </w:divBdr>
            </w:div>
            <w:div w:id="149599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513759">
      <w:bodyDiv w:val="1"/>
      <w:marLeft w:val="0"/>
      <w:marRight w:val="0"/>
      <w:marTop w:val="0"/>
      <w:marBottom w:val="0"/>
      <w:divBdr>
        <w:top w:val="none" w:sz="0" w:space="0" w:color="auto"/>
        <w:left w:val="none" w:sz="0" w:space="0" w:color="auto"/>
        <w:bottom w:val="none" w:sz="0" w:space="0" w:color="auto"/>
        <w:right w:val="none" w:sz="0" w:space="0" w:color="auto"/>
      </w:divBdr>
      <w:divsChild>
        <w:div w:id="717703791">
          <w:marLeft w:val="0"/>
          <w:marRight w:val="0"/>
          <w:marTop w:val="0"/>
          <w:marBottom w:val="0"/>
          <w:divBdr>
            <w:top w:val="none" w:sz="0" w:space="0" w:color="auto"/>
            <w:left w:val="none" w:sz="0" w:space="0" w:color="auto"/>
            <w:bottom w:val="none" w:sz="0" w:space="0" w:color="auto"/>
            <w:right w:val="none" w:sz="0" w:space="0" w:color="auto"/>
          </w:divBdr>
        </w:div>
      </w:divsChild>
    </w:div>
    <w:div w:id="675574751">
      <w:bodyDiv w:val="1"/>
      <w:marLeft w:val="0"/>
      <w:marRight w:val="0"/>
      <w:marTop w:val="0"/>
      <w:marBottom w:val="0"/>
      <w:divBdr>
        <w:top w:val="none" w:sz="0" w:space="0" w:color="auto"/>
        <w:left w:val="none" w:sz="0" w:space="0" w:color="auto"/>
        <w:bottom w:val="none" w:sz="0" w:space="0" w:color="auto"/>
        <w:right w:val="none" w:sz="0" w:space="0" w:color="auto"/>
      </w:divBdr>
    </w:div>
    <w:div w:id="746683495">
      <w:bodyDiv w:val="1"/>
      <w:marLeft w:val="0"/>
      <w:marRight w:val="0"/>
      <w:marTop w:val="0"/>
      <w:marBottom w:val="0"/>
      <w:divBdr>
        <w:top w:val="none" w:sz="0" w:space="0" w:color="auto"/>
        <w:left w:val="none" w:sz="0" w:space="0" w:color="auto"/>
        <w:bottom w:val="none" w:sz="0" w:space="0" w:color="auto"/>
        <w:right w:val="none" w:sz="0" w:space="0" w:color="auto"/>
      </w:divBdr>
    </w:div>
    <w:div w:id="758212748">
      <w:bodyDiv w:val="1"/>
      <w:marLeft w:val="0"/>
      <w:marRight w:val="0"/>
      <w:marTop w:val="0"/>
      <w:marBottom w:val="0"/>
      <w:divBdr>
        <w:top w:val="none" w:sz="0" w:space="0" w:color="auto"/>
        <w:left w:val="none" w:sz="0" w:space="0" w:color="auto"/>
        <w:bottom w:val="none" w:sz="0" w:space="0" w:color="auto"/>
        <w:right w:val="none" w:sz="0" w:space="0" w:color="auto"/>
      </w:divBdr>
    </w:div>
    <w:div w:id="760830501">
      <w:bodyDiv w:val="1"/>
      <w:marLeft w:val="0"/>
      <w:marRight w:val="0"/>
      <w:marTop w:val="0"/>
      <w:marBottom w:val="0"/>
      <w:divBdr>
        <w:top w:val="none" w:sz="0" w:space="0" w:color="auto"/>
        <w:left w:val="none" w:sz="0" w:space="0" w:color="auto"/>
        <w:bottom w:val="none" w:sz="0" w:space="0" w:color="auto"/>
        <w:right w:val="none" w:sz="0" w:space="0" w:color="auto"/>
      </w:divBdr>
    </w:div>
    <w:div w:id="765151175">
      <w:bodyDiv w:val="1"/>
      <w:marLeft w:val="0"/>
      <w:marRight w:val="0"/>
      <w:marTop w:val="0"/>
      <w:marBottom w:val="0"/>
      <w:divBdr>
        <w:top w:val="none" w:sz="0" w:space="0" w:color="auto"/>
        <w:left w:val="none" w:sz="0" w:space="0" w:color="auto"/>
        <w:bottom w:val="none" w:sz="0" w:space="0" w:color="auto"/>
        <w:right w:val="none" w:sz="0" w:space="0" w:color="auto"/>
      </w:divBdr>
    </w:div>
    <w:div w:id="784035976">
      <w:bodyDiv w:val="1"/>
      <w:marLeft w:val="0"/>
      <w:marRight w:val="0"/>
      <w:marTop w:val="0"/>
      <w:marBottom w:val="0"/>
      <w:divBdr>
        <w:top w:val="none" w:sz="0" w:space="0" w:color="auto"/>
        <w:left w:val="none" w:sz="0" w:space="0" w:color="auto"/>
        <w:bottom w:val="none" w:sz="0" w:space="0" w:color="auto"/>
        <w:right w:val="none" w:sz="0" w:space="0" w:color="auto"/>
      </w:divBdr>
    </w:div>
    <w:div w:id="798378837">
      <w:bodyDiv w:val="1"/>
      <w:marLeft w:val="0"/>
      <w:marRight w:val="0"/>
      <w:marTop w:val="0"/>
      <w:marBottom w:val="0"/>
      <w:divBdr>
        <w:top w:val="none" w:sz="0" w:space="0" w:color="auto"/>
        <w:left w:val="none" w:sz="0" w:space="0" w:color="auto"/>
        <w:bottom w:val="none" w:sz="0" w:space="0" w:color="auto"/>
        <w:right w:val="none" w:sz="0" w:space="0" w:color="auto"/>
      </w:divBdr>
    </w:div>
    <w:div w:id="808324543">
      <w:bodyDiv w:val="1"/>
      <w:marLeft w:val="0"/>
      <w:marRight w:val="0"/>
      <w:marTop w:val="0"/>
      <w:marBottom w:val="0"/>
      <w:divBdr>
        <w:top w:val="none" w:sz="0" w:space="0" w:color="auto"/>
        <w:left w:val="none" w:sz="0" w:space="0" w:color="auto"/>
        <w:bottom w:val="none" w:sz="0" w:space="0" w:color="auto"/>
        <w:right w:val="none" w:sz="0" w:space="0" w:color="auto"/>
      </w:divBdr>
    </w:div>
    <w:div w:id="810247375">
      <w:bodyDiv w:val="1"/>
      <w:marLeft w:val="0"/>
      <w:marRight w:val="0"/>
      <w:marTop w:val="0"/>
      <w:marBottom w:val="0"/>
      <w:divBdr>
        <w:top w:val="none" w:sz="0" w:space="0" w:color="auto"/>
        <w:left w:val="none" w:sz="0" w:space="0" w:color="auto"/>
        <w:bottom w:val="none" w:sz="0" w:space="0" w:color="auto"/>
        <w:right w:val="none" w:sz="0" w:space="0" w:color="auto"/>
      </w:divBdr>
    </w:div>
    <w:div w:id="847602249">
      <w:bodyDiv w:val="1"/>
      <w:marLeft w:val="0"/>
      <w:marRight w:val="0"/>
      <w:marTop w:val="0"/>
      <w:marBottom w:val="0"/>
      <w:divBdr>
        <w:top w:val="none" w:sz="0" w:space="0" w:color="auto"/>
        <w:left w:val="none" w:sz="0" w:space="0" w:color="auto"/>
        <w:bottom w:val="none" w:sz="0" w:space="0" w:color="auto"/>
        <w:right w:val="none" w:sz="0" w:space="0" w:color="auto"/>
      </w:divBdr>
    </w:div>
    <w:div w:id="871191342">
      <w:bodyDiv w:val="1"/>
      <w:marLeft w:val="0"/>
      <w:marRight w:val="0"/>
      <w:marTop w:val="0"/>
      <w:marBottom w:val="0"/>
      <w:divBdr>
        <w:top w:val="none" w:sz="0" w:space="0" w:color="auto"/>
        <w:left w:val="none" w:sz="0" w:space="0" w:color="auto"/>
        <w:bottom w:val="none" w:sz="0" w:space="0" w:color="auto"/>
        <w:right w:val="none" w:sz="0" w:space="0" w:color="auto"/>
      </w:divBdr>
    </w:div>
    <w:div w:id="945892414">
      <w:bodyDiv w:val="1"/>
      <w:marLeft w:val="0"/>
      <w:marRight w:val="0"/>
      <w:marTop w:val="0"/>
      <w:marBottom w:val="0"/>
      <w:divBdr>
        <w:top w:val="none" w:sz="0" w:space="0" w:color="auto"/>
        <w:left w:val="none" w:sz="0" w:space="0" w:color="auto"/>
        <w:bottom w:val="none" w:sz="0" w:space="0" w:color="auto"/>
        <w:right w:val="none" w:sz="0" w:space="0" w:color="auto"/>
      </w:divBdr>
    </w:div>
    <w:div w:id="1035616700">
      <w:bodyDiv w:val="1"/>
      <w:marLeft w:val="0"/>
      <w:marRight w:val="0"/>
      <w:marTop w:val="0"/>
      <w:marBottom w:val="0"/>
      <w:divBdr>
        <w:top w:val="none" w:sz="0" w:space="0" w:color="auto"/>
        <w:left w:val="none" w:sz="0" w:space="0" w:color="auto"/>
        <w:bottom w:val="none" w:sz="0" w:space="0" w:color="auto"/>
        <w:right w:val="none" w:sz="0" w:space="0" w:color="auto"/>
      </w:divBdr>
    </w:div>
    <w:div w:id="1037393321">
      <w:bodyDiv w:val="1"/>
      <w:marLeft w:val="0"/>
      <w:marRight w:val="0"/>
      <w:marTop w:val="0"/>
      <w:marBottom w:val="0"/>
      <w:divBdr>
        <w:top w:val="none" w:sz="0" w:space="0" w:color="auto"/>
        <w:left w:val="none" w:sz="0" w:space="0" w:color="auto"/>
        <w:bottom w:val="none" w:sz="0" w:space="0" w:color="auto"/>
        <w:right w:val="none" w:sz="0" w:space="0" w:color="auto"/>
      </w:divBdr>
    </w:div>
    <w:div w:id="1049958568">
      <w:bodyDiv w:val="1"/>
      <w:marLeft w:val="0"/>
      <w:marRight w:val="0"/>
      <w:marTop w:val="0"/>
      <w:marBottom w:val="0"/>
      <w:divBdr>
        <w:top w:val="none" w:sz="0" w:space="0" w:color="auto"/>
        <w:left w:val="none" w:sz="0" w:space="0" w:color="auto"/>
        <w:bottom w:val="none" w:sz="0" w:space="0" w:color="auto"/>
        <w:right w:val="none" w:sz="0" w:space="0" w:color="auto"/>
      </w:divBdr>
    </w:div>
    <w:div w:id="1140999465">
      <w:bodyDiv w:val="1"/>
      <w:marLeft w:val="0"/>
      <w:marRight w:val="0"/>
      <w:marTop w:val="0"/>
      <w:marBottom w:val="0"/>
      <w:divBdr>
        <w:top w:val="none" w:sz="0" w:space="0" w:color="auto"/>
        <w:left w:val="none" w:sz="0" w:space="0" w:color="auto"/>
        <w:bottom w:val="none" w:sz="0" w:space="0" w:color="auto"/>
        <w:right w:val="none" w:sz="0" w:space="0" w:color="auto"/>
      </w:divBdr>
    </w:div>
    <w:div w:id="1180969746">
      <w:bodyDiv w:val="1"/>
      <w:marLeft w:val="0"/>
      <w:marRight w:val="0"/>
      <w:marTop w:val="0"/>
      <w:marBottom w:val="0"/>
      <w:divBdr>
        <w:top w:val="none" w:sz="0" w:space="0" w:color="auto"/>
        <w:left w:val="none" w:sz="0" w:space="0" w:color="auto"/>
        <w:bottom w:val="none" w:sz="0" w:space="0" w:color="auto"/>
        <w:right w:val="none" w:sz="0" w:space="0" w:color="auto"/>
      </w:divBdr>
    </w:div>
    <w:div w:id="1276714142">
      <w:bodyDiv w:val="1"/>
      <w:marLeft w:val="0"/>
      <w:marRight w:val="0"/>
      <w:marTop w:val="0"/>
      <w:marBottom w:val="0"/>
      <w:divBdr>
        <w:top w:val="none" w:sz="0" w:space="0" w:color="auto"/>
        <w:left w:val="none" w:sz="0" w:space="0" w:color="auto"/>
        <w:bottom w:val="none" w:sz="0" w:space="0" w:color="auto"/>
        <w:right w:val="none" w:sz="0" w:space="0" w:color="auto"/>
      </w:divBdr>
      <w:divsChild>
        <w:div w:id="1312292902">
          <w:marLeft w:val="0"/>
          <w:marRight w:val="0"/>
          <w:marTop w:val="0"/>
          <w:marBottom w:val="0"/>
          <w:divBdr>
            <w:top w:val="none" w:sz="0" w:space="0" w:color="auto"/>
            <w:left w:val="none" w:sz="0" w:space="0" w:color="auto"/>
            <w:bottom w:val="none" w:sz="0" w:space="0" w:color="auto"/>
            <w:right w:val="none" w:sz="0" w:space="0" w:color="auto"/>
          </w:divBdr>
        </w:div>
      </w:divsChild>
    </w:div>
    <w:div w:id="1291588971">
      <w:bodyDiv w:val="1"/>
      <w:marLeft w:val="0"/>
      <w:marRight w:val="0"/>
      <w:marTop w:val="0"/>
      <w:marBottom w:val="0"/>
      <w:divBdr>
        <w:top w:val="none" w:sz="0" w:space="0" w:color="auto"/>
        <w:left w:val="none" w:sz="0" w:space="0" w:color="auto"/>
        <w:bottom w:val="none" w:sz="0" w:space="0" w:color="auto"/>
        <w:right w:val="none" w:sz="0" w:space="0" w:color="auto"/>
      </w:divBdr>
    </w:div>
    <w:div w:id="1382634375">
      <w:bodyDiv w:val="1"/>
      <w:marLeft w:val="0"/>
      <w:marRight w:val="0"/>
      <w:marTop w:val="0"/>
      <w:marBottom w:val="0"/>
      <w:divBdr>
        <w:top w:val="none" w:sz="0" w:space="0" w:color="auto"/>
        <w:left w:val="none" w:sz="0" w:space="0" w:color="auto"/>
        <w:bottom w:val="none" w:sz="0" w:space="0" w:color="auto"/>
        <w:right w:val="none" w:sz="0" w:space="0" w:color="auto"/>
      </w:divBdr>
    </w:div>
    <w:div w:id="1399589974">
      <w:bodyDiv w:val="1"/>
      <w:marLeft w:val="0"/>
      <w:marRight w:val="0"/>
      <w:marTop w:val="0"/>
      <w:marBottom w:val="0"/>
      <w:divBdr>
        <w:top w:val="none" w:sz="0" w:space="0" w:color="auto"/>
        <w:left w:val="none" w:sz="0" w:space="0" w:color="auto"/>
        <w:bottom w:val="none" w:sz="0" w:space="0" w:color="auto"/>
        <w:right w:val="none" w:sz="0" w:space="0" w:color="auto"/>
      </w:divBdr>
    </w:div>
    <w:div w:id="1459446597">
      <w:bodyDiv w:val="1"/>
      <w:marLeft w:val="0"/>
      <w:marRight w:val="0"/>
      <w:marTop w:val="0"/>
      <w:marBottom w:val="0"/>
      <w:divBdr>
        <w:top w:val="none" w:sz="0" w:space="0" w:color="auto"/>
        <w:left w:val="none" w:sz="0" w:space="0" w:color="auto"/>
        <w:bottom w:val="none" w:sz="0" w:space="0" w:color="auto"/>
        <w:right w:val="none" w:sz="0" w:space="0" w:color="auto"/>
      </w:divBdr>
    </w:div>
    <w:div w:id="1515270282">
      <w:bodyDiv w:val="1"/>
      <w:marLeft w:val="0"/>
      <w:marRight w:val="0"/>
      <w:marTop w:val="0"/>
      <w:marBottom w:val="0"/>
      <w:divBdr>
        <w:top w:val="none" w:sz="0" w:space="0" w:color="auto"/>
        <w:left w:val="none" w:sz="0" w:space="0" w:color="auto"/>
        <w:bottom w:val="none" w:sz="0" w:space="0" w:color="auto"/>
        <w:right w:val="none" w:sz="0" w:space="0" w:color="auto"/>
      </w:divBdr>
    </w:div>
    <w:div w:id="1578398638">
      <w:bodyDiv w:val="1"/>
      <w:marLeft w:val="0"/>
      <w:marRight w:val="0"/>
      <w:marTop w:val="0"/>
      <w:marBottom w:val="0"/>
      <w:divBdr>
        <w:top w:val="none" w:sz="0" w:space="0" w:color="auto"/>
        <w:left w:val="none" w:sz="0" w:space="0" w:color="auto"/>
        <w:bottom w:val="none" w:sz="0" w:space="0" w:color="auto"/>
        <w:right w:val="none" w:sz="0" w:space="0" w:color="auto"/>
      </w:divBdr>
    </w:div>
    <w:div w:id="1598515826">
      <w:bodyDiv w:val="1"/>
      <w:marLeft w:val="0"/>
      <w:marRight w:val="0"/>
      <w:marTop w:val="0"/>
      <w:marBottom w:val="0"/>
      <w:divBdr>
        <w:top w:val="none" w:sz="0" w:space="0" w:color="auto"/>
        <w:left w:val="none" w:sz="0" w:space="0" w:color="auto"/>
        <w:bottom w:val="none" w:sz="0" w:space="0" w:color="auto"/>
        <w:right w:val="none" w:sz="0" w:space="0" w:color="auto"/>
      </w:divBdr>
    </w:div>
    <w:div w:id="1653679549">
      <w:bodyDiv w:val="1"/>
      <w:marLeft w:val="0"/>
      <w:marRight w:val="0"/>
      <w:marTop w:val="0"/>
      <w:marBottom w:val="0"/>
      <w:divBdr>
        <w:top w:val="none" w:sz="0" w:space="0" w:color="auto"/>
        <w:left w:val="none" w:sz="0" w:space="0" w:color="auto"/>
        <w:bottom w:val="none" w:sz="0" w:space="0" w:color="auto"/>
        <w:right w:val="none" w:sz="0" w:space="0" w:color="auto"/>
      </w:divBdr>
    </w:div>
    <w:div w:id="1666930569">
      <w:bodyDiv w:val="1"/>
      <w:marLeft w:val="0"/>
      <w:marRight w:val="0"/>
      <w:marTop w:val="0"/>
      <w:marBottom w:val="0"/>
      <w:divBdr>
        <w:top w:val="none" w:sz="0" w:space="0" w:color="auto"/>
        <w:left w:val="none" w:sz="0" w:space="0" w:color="auto"/>
        <w:bottom w:val="none" w:sz="0" w:space="0" w:color="auto"/>
        <w:right w:val="none" w:sz="0" w:space="0" w:color="auto"/>
      </w:divBdr>
    </w:div>
    <w:div w:id="1687562323">
      <w:bodyDiv w:val="1"/>
      <w:marLeft w:val="0"/>
      <w:marRight w:val="0"/>
      <w:marTop w:val="0"/>
      <w:marBottom w:val="0"/>
      <w:divBdr>
        <w:top w:val="none" w:sz="0" w:space="0" w:color="auto"/>
        <w:left w:val="none" w:sz="0" w:space="0" w:color="auto"/>
        <w:bottom w:val="none" w:sz="0" w:space="0" w:color="auto"/>
        <w:right w:val="none" w:sz="0" w:space="0" w:color="auto"/>
      </w:divBdr>
    </w:div>
    <w:div w:id="1816335889">
      <w:bodyDiv w:val="1"/>
      <w:marLeft w:val="0"/>
      <w:marRight w:val="0"/>
      <w:marTop w:val="0"/>
      <w:marBottom w:val="0"/>
      <w:divBdr>
        <w:top w:val="none" w:sz="0" w:space="0" w:color="auto"/>
        <w:left w:val="none" w:sz="0" w:space="0" w:color="auto"/>
        <w:bottom w:val="none" w:sz="0" w:space="0" w:color="auto"/>
        <w:right w:val="none" w:sz="0" w:space="0" w:color="auto"/>
      </w:divBdr>
    </w:div>
    <w:div w:id="1901091509">
      <w:bodyDiv w:val="1"/>
      <w:marLeft w:val="0"/>
      <w:marRight w:val="0"/>
      <w:marTop w:val="0"/>
      <w:marBottom w:val="0"/>
      <w:divBdr>
        <w:top w:val="none" w:sz="0" w:space="0" w:color="auto"/>
        <w:left w:val="none" w:sz="0" w:space="0" w:color="auto"/>
        <w:bottom w:val="none" w:sz="0" w:space="0" w:color="auto"/>
        <w:right w:val="none" w:sz="0" w:space="0" w:color="auto"/>
      </w:divBdr>
    </w:div>
    <w:div w:id="1913351114">
      <w:bodyDiv w:val="1"/>
      <w:marLeft w:val="0"/>
      <w:marRight w:val="0"/>
      <w:marTop w:val="0"/>
      <w:marBottom w:val="0"/>
      <w:divBdr>
        <w:top w:val="none" w:sz="0" w:space="0" w:color="auto"/>
        <w:left w:val="none" w:sz="0" w:space="0" w:color="auto"/>
        <w:bottom w:val="none" w:sz="0" w:space="0" w:color="auto"/>
        <w:right w:val="none" w:sz="0" w:space="0" w:color="auto"/>
      </w:divBdr>
    </w:div>
    <w:div w:id="2051293862">
      <w:bodyDiv w:val="1"/>
      <w:marLeft w:val="0"/>
      <w:marRight w:val="0"/>
      <w:marTop w:val="0"/>
      <w:marBottom w:val="0"/>
      <w:divBdr>
        <w:top w:val="none" w:sz="0" w:space="0" w:color="auto"/>
        <w:left w:val="none" w:sz="0" w:space="0" w:color="auto"/>
        <w:bottom w:val="none" w:sz="0" w:space="0" w:color="auto"/>
        <w:right w:val="none" w:sz="0" w:space="0" w:color="auto"/>
      </w:divBdr>
    </w:div>
    <w:div w:id="208379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gov.au/Details/F2021L01197" TargetMode="External"/><Relationship Id="rId13" Type="http://schemas.openxmlformats.org/officeDocument/2006/relationships/hyperlink" Target="https://www.legislation.gov.au/Details/F2021L01211"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legislation.gov.au/Details/F2021L01210"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fcfcoa.gov.au/revoked-information-notices"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gov.au/Details/F2021L01200" TargetMode="External"/><Relationship Id="rId5" Type="http://schemas.openxmlformats.org/officeDocument/2006/relationships/webSettings" Target="webSettings.xml"/><Relationship Id="rId15" Type="http://schemas.openxmlformats.org/officeDocument/2006/relationships/hyperlink" Target="https://www.fcfcoa.gov.au/revoked-practice-directions" TargetMode="External"/><Relationship Id="rId10" Type="http://schemas.openxmlformats.org/officeDocument/2006/relationships/hyperlink" Target="https://www.legislation.gov.au/Details/F2021L0122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legislation.gov.au/Details/F2021L01205" TargetMode="External"/><Relationship Id="rId14" Type="http://schemas.openxmlformats.org/officeDocument/2006/relationships/hyperlink" Target="https://www.legislation.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32E085-04AB-4036-A4A6-2E5C71CD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1368</Words>
  <Characters>7854</Characters>
  <Application>Microsoft Office Word</Application>
  <DocSecurity>0</DocSecurity>
  <Lines>231</Lines>
  <Paragraphs>135</Paragraphs>
  <ScaleCrop>false</ScaleCrop>
  <HeadingPairs>
    <vt:vector size="2" baseType="variant">
      <vt:variant>
        <vt:lpstr>Title</vt:lpstr>
      </vt:variant>
      <vt:variant>
        <vt:i4>1</vt:i4>
      </vt:variant>
    </vt:vector>
  </HeadingPairs>
  <TitlesOfParts>
    <vt:vector size="1" baseType="lpstr">
      <vt:lpstr>Media Release - Update to the profession: Commencement of the new</vt:lpstr>
    </vt:vector>
  </TitlesOfParts>
  <Company>Federal Court of Australia</Company>
  <LinksUpToDate>false</LinksUpToDate>
  <CharactersWithSpaces>9087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 Update to the profession: Legal resources of the new Court: Rules, Practice Directions and forms</dc:title>
  <dc:subject/>
  <dc:creator>Family Court of Australia;Federal Circuit Court of Australia</dc:creator>
  <cp:keywords/>
  <dc:description/>
  <cp:lastModifiedBy>Angela Fassoulas</cp:lastModifiedBy>
  <cp:revision>4</cp:revision>
  <cp:lastPrinted>2021-08-27T06:57:00Z</cp:lastPrinted>
  <dcterms:created xsi:type="dcterms:W3CDTF">2021-08-31T12:44:00Z</dcterms:created>
  <dcterms:modified xsi:type="dcterms:W3CDTF">2021-08-31T15:55:00Z</dcterms:modified>
</cp:coreProperties>
</file>