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029BF" w14:textId="7986C8AC" w:rsidR="00AB213B" w:rsidRPr="005C0EBF" w:rsidRDefault="00AB213B" w:rsidP="007E1B8A">
      <w:pPr>
        <w:spacing w:line="276" w:lineRule="auto"/>
        <w:rPr>
          <w:rFonts w:asciiTheme="minorHAnsi" w:hAnsiTheme="minorHAnsi" w:cstheme="minorHAnsi"/>
          <w:noProof/>
        </w:rPr>
      </w:pPr>
      <w:r w:rsidRPr="005C0EBF">
        <w:rPr>
          <w:rFonts w:asciiTheme="minorHAnsi" w:hAnsiTheme="minorHAnsi" w:cstheme="minorHAnsi"/>
          <w:noProof/>
        </w:rPr>
        <mc:AlternateContent>
          <mc:Choice Requires="wps">
            <w:drawing>
              <wp:anchor distT="0" distB="0" distL="114300" distR="114300" simplePos="0" relativeHeight="251659264" behindDoc="0" locked="0" layoutInCell="0" allowOverlap="1" wp14:anchorId="6B9917E8" wp14:editId="263590AD">
                <wp:simplePos x="0" y="0"/>
                <wp:positionH relativeFrom="margin">
                  <wp:posOffset>3230245</wp:posOffset>
                </wp:positionH>
                <wp:positionV relativeFrom="paragraph">
                  <wp:posOffset>-114300</wp:posOffset>
                </wp:positionV>
                <wp:extent cx="2865755" cy="266065"/>
                <wp:effectExtent l="0" t="0" r="10795" b="1968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5755" cy="266065"/>
                        </a:xfrm>
                        <a:prstGeom prst="rect">
                          <a:avLst/>
                        </a:prstGeom>
                        <a:solidFill>
                          <a:schemeClr val="bg1">
                            <a:lumMod val="85000"/>
                          </a:schemeClr>
                        </a:solidFill>
                        <a:ln w="9525">
                          <a:solidFill>
                            <a:schemeClr val="bg1">
                              <a:lumMod val="85000"/>
                            </a:schemeClr>
                          </a:solidFill>
                          <a:miter lim="800000"/>
                          <a:headEnd/>
                          <a:tailEnd/>
                        </a:ln>
                      </wps:spPr>
                      <wps:txbx>
                        <w:txbxContent>
                          <w:p w14:paraId="5A2D9093" w14:textId="2EAA033C" w:rsidR="00AB7BFC" w:rsidRPr="001A4EBF" w:rsidRDefault="003506F5"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2</w:t>
                            </w:r>
                            <w:r w:rsidR="00F94095">
                              <w:rPr>
                                <w:rFonts w:asciiTheme="minorHAnsi" w:hAnsiTheme="minorHAnsi" w:cstheme="minorHAnsi"/>
                                <w:b/>
                                <w:color w:val="2E74B5" w:themeColor="accent1" w:themeShade="BF"/>
                                <w:sz w:val="22"/>
                                <w:szCs w:val="22"/>
                              </w:rPr>
                              <w:t>7</w:t>
                            </w:r>
                            <w:r w:rsidR="008D3E29">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wps:txbx>
                      <wps:bodyPr rot="0" vert="horz" wrap="square" lIns="72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917E8" id="_x0000_t202" coordsize="21600,21600" o:spt="202" path="m,l,21600r21600,l21600,xe">
                <v:stroke joinstyle="miter"/>
                <v:path gradientshapeok="t" o:connecttype="rect"/>
              </v:shapetype>
              <v:shape id="Text Box 3" o:spid="_x0000_s1026" type="#_x0000_t202" style="position:absolute;margin-left:254.35pt;margin-top:-9pt;width:225.65pt;height:20.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" o:allowincell="f" fillcolor="#d8d8d8 [2732]" strokecolor="#d8d8d8 [2732]">
                <v:textbox inset="2mm,0,0,0">
                  <w:txbxContent>
                    <w:p w14:paraId="5A2D9093" w14:textId="2EAA033C" w:rsidR="00AB7BFC" w:rsidRPr="001A4EBF" w:rsidRDefault="003506F5" w:rsidP="000E163D">
                      <w:pPr>
                        <w:spacing w:before="60" w:after="120"/>
                        <w:jc w:val="center"/>
                        <w:rPr>
                          <w:rFonts w:asciiTheme="minorHAnsi" w:hAnsiTheme="minorHAnsi" w:cstheme="minorHAnsi"/>
                          <w:b/>
                          <w:color w:val="2E74B5" w:themeColor="accent1" w:themeShade="BF"/>
                          <w:sz w:val="22"/>
                          <w:szCs w:val="22"/>
                        </w:rPr>
                      </w:pPr>
                      <w:r>
                        <w:rPr>
                          <w:rFonts w:asciiTheme="minorHAnsi" w:hAnsiTheme="minorHAnsi" w:cstheme="minorHAnsi"/>
                          <w:b/>
                          <w:color w:val="2E74B5" w:themeColor="accent1" w:themeShade="BF"/>
                          <w:sz w:val="22"/>
                          <w:szCs w:val="22"/>
                        </w:rPr>
                        <w:t>2</w:t>
                      </w:r>
                      <w:r w:rsidR="00F94095">
                        <w:rPr>
                          <w:rFonts w:asciiTheme="minorHAnsi" w:hAnsiTheme="minorHAnsi" w:cstheme="minorHAnsi"/>
                          <w:b/>
                          <w:color w:val="2E74B5" w:themeColor="accent1" w:themeShade="BF"/>
                          <w:sz w:val="22"/>
                          <w:szCs w:val="22"/>
                        </w:rPr>
                        <w:t>7</w:t>
                      </w:r>
                      <w:r w:rsidR="008D3E29">
                        <w:rPr>
                          <w:rFonts w:asciiTheme="minorHAnsi" w:hAnsiTheme="minorHAnsi" w:cstheme="minorHAnsi"/>
                          <w:b/>
                          <w:color w:val="2E74B5" w:themeColor="accent1" w:themeShade="BF"/>
                          <w:sz w:val="22"/>
                          <w:szCs w:val="22"/>
                        </w:rPr>
                        <w:t xml:space="preserve"> August</w:t>
                      </w:r>
                      <w:r w:rsidR="000917EA">
                        <w:rPr>
                          <w:rFonts w:asciiTheme="minorHAnsi" w:hAnsiTheme="minorHAnsi" w:cstheme="minorHAnsi"/>
                          <w:b/>
                          <w:color w:val="2E74B5" w:themeColor="accent1" w:themeShade="BF"/>
                          <w:sz w:val="22"/>
                          <w:szCs w:val="22"/>
                        </w:rPr>
                        <w:t xml:space="preserve"> </w:t>
                      </w:r>
                      <w:r w:rsidR="00DC1195">
                        <w:rPr>
                          <w:rFonts w:asciiTheme="minorHAnsi" w:hAnsiTheme="minorHAnsi" w:cstheme="minorHAnsi"/>
                          <w:b/>
                          <w:color w:val="2E74B5" w:themeColor="accent1" w:themeShade="BF"/>
                          <w:sz w:val="22"/>
                          <w:szCs w:val="22"/>
                        </w:rPr>
                        <w:t>202</w:t>
                      </w:r>
                      <w:r w:rsidR="000917EA">
                        <w:rPr>
                          <w:rFonts w:asciiTheme="minorHAnsi" w:hAnsiTheme="minorHAnsi" w:cstheme="minorHAnsi"/>
                          <w:b/>
                          <w:color w:val="2E74B5" w:themeColor="accent1" w:themeShade="BF"/>
                          <w:sz w:val="22"/>
                          <w:szCs w:val="22"/>
                        </w:rPr>
                        <w:t>1</w:t>
                      </w:r>
                    </w:p>
                  </w:txbxContent>
                </v:textbox>
                <w10:wrap anchorx="margin"/>
              </v:shape>
            </w:pict>
          </mc:Fallback>
        </mc:AlternateContent>
      </w:r>
    </w:p>
    <w:p w14:paraId="3B3A5191" w14:textId="3E5FBD1E" w:rsidR="00E11EB8" w:rsidRPr="005C0EBF" w:rsidRDefault="008D3E29" w:rsidP="007E1B8A">
      <w:pPr>
        <w:pStyle w:val="Heading1"/>
        <w:spacing w:line="276" w:lineRule="auto"/>
        <w:rPr>
          <w:noProof/>
          <w:sz w:val="32"/>
          <w:szCs w:val="32"/>
        </w:rPr>
      </w:pPr>
      <w:r w:rsidRPr="005C0EBF">
        <w:rPr>
          <w:noProof/>
          <w:sz w:val="32"/>
          <w:szCs w:val="32"/>
        </w:rPr>
        <w:t>Update to the profession</w:t>
      </w:r>
      <w:r w:rsidR="00A9477C" w:rsidRPr="005C0EBF">
        <w:rPr>
          <w:noProof/>
          <w:sz w:val="32"/>
          <w:szCs w:val="32"/>
        </w:rPr>
        <w:t xml:space="preserve"> (No. </w:t>
      </w:r>
      <w:r w:rsidR="00F94095">
        <w:rPr>
          <w:noProof/>
          <w:sz w:val="32"/>
          <w:szCs w:val="32"/>
        </w:rPr>
        <w:t>5</w:t>
      </w:r>
      <w:r w:rsidR="00A9477C" w:rsidRPr="005C0EBF">
        <w:rPr>
          <w:noProof/>
          <w:sz w:val="32"/>
          <w:szCs w:val="32"/>
        </w:rPr>
        <w:t>)</w:t>
      </w:r>
      <w:r w:rsidRPr="005C0EBF">
        <w:rPr>
          <w:noProof/>
          <w:sz w:val="32"/>
          <w:szCs w:val="32"/>
        </w:rPr>
        <w:t>: C</w:t>
      </w:r>
      <w:r w:rsidR="00130971" w:rsidRPr="005C0EBF">
        <w:rPr>
          <w:noProof/>
          <w:sz w:val="32"/>
          <w:szCs w:val="32"/>
        </w:rPr>
        <w:t xml:space="preserve">ommencement of </w:t>
      </w:r>
      <w:r w:rsidR="00A24696" w:rsidRPr="005C0EBF">
        <w:rPr>
          <w:noProof/>
          <w:sz w:val="32"/>
          <w:szCs w:val="32"/>
        </w:rPr>
        <w:t xml:space="preserve">the </w:t>
      </w:r>
      <w:r w:rsidR="00A64020">
        <w:rPr>
          <w:noProof/>
          <w:sz w:val="32"/>
          <w:szCs w:val="32"/>
        </w:rPr>
        <w:t>new</w:t>
      </w:r>
      <w:r w:rsidR="00A24696" w:rsidRPr="005C0EBF">
        <w:rPr>
          <w:noProof/>
          <w:sz w:val="32"/>
          <w:szCs w:val="32"/>
        </w:rPr>
        <w:br/>
        <w:t>Federal Circuit and Family Court of Austra</w:t>
      </w:r>
      <w:r w:rsidR="00B74497" w:rsidRPr="005C0EBF">
        <w:rPr>
          <w:noProof/>
          <w:sz w:val="32"/>
          <w:szCs w:val="32"/>
        </w:rPr>
        <w:t>l</w:t>
      </w:r>
      <w:r w:rsidR="00A24696" w:rsidRPr="005C0EBF">
        <w:rPr>
          <w:noProof/>
          <w:sz w:val="32"/>
          <w:szCs w:val="32"/>
        </w:rPr>
        <w:t>ia</w:t>
      </w:r>
    </w:p>
    <w:p w14:paraId="66F4B2A1" w14:textId="2CC27DF5" w:rsidR="004660B2" w:rsidRPr="009D7A91" w:rsidRDefault="00F94095" w:rsidP="00924A51">
      <w:pPr>
        <w:spacing w:before="100" w:beforeAutospacing="1"/>
        <w:jc w:val="both"/>
        <w:rPr>
          <w:rFonts w:asciiTheme="minorHAnsi" w:hAnsiTheme="minorHAnsi" w:cstheme="minorHAnsi"/>
          <w:sz w:val="22"/>
          <w:szCs w:val="22"/>
        </w:rPr>
      </w:pPr>
      <w:r w:rsidRPr="009D7A91">
        <w:rPr>
          <w:rFonts w:asciiTheme="minorHAnsi" w:hAnsiTheme="minorHAnsi" w:cstheme="minorHAnsi"/>
          <w:sz w:val="22"/>
          <w:szCs w:val="22"/>
        </w:rPr>
        <w:t xml:space="preserve">This update to the profession marks the final weekly update </w:t>
      </w:r>
      <w:r w:rsidR="00506C0E">
        <w:rPr>
          <w:rFonts w:asciiTheme="minorHAnsi" w:hAnsiTheme="minorHAnsi" w:cstheme="minorHAnsi"/>
          <w:sz w:val="22"/>
          <w:szCs w:val="22"/>
        </w:rPr>
        <w:t xml:space="preserve">to be released </w:t>
      </w:r>
      <w:r w:rsidRPr="009D7A91">
        <w:rPr>
          <w:rFonts w:asciiTheme="minorHAnsi" w:hAnsiTheme="minorHAnsi" w:cstheme="minorHAnsi"/>
          <w:sz w:val="22"/>
          <w:szCs w:val="22"/>
        </w:rPr>
        <w:t>prior to the commencement of the Federal Circuit and Family Court of Australia (FCFCOA) next Wednesday, 1 September 2021</w:t>
      </w:r>
      <w:r w:rsidR="00893A0D">
        <w:rPr>
          <w:rFonts w:asciiTheme="minorHAnsi" w:hAnsiTheme="minorHAnsi" w:cstheme="minorHAnsi"/>
          <w:sz w:val="22"/>
          <w:szCs w:val="22"/>
        </w:rPr>
        <w:t>.</w:t>
      </w:r>
      <w:r w:rsidRPr="009D7A91">
        <w:rPr>
          <w:rFonts w:asciiTheme="minorHAnsi" w:hAnsiTheme="minorHAnsi" w:cstheme="minorHAnsi"/>
          <w:sz w:val="22"/>
          <w:szCs w:val="22"/>
        </w:rPr>
        <w:t xml:space="preserve"> </w:t>
      </w:r>
    </w:p>
    <w:p w14:paraId="173FE1B5" w14:textId="3C66E743" w:rsidR="00E646EE" w:rsidRDefault="00C00EC1" w:rsidP="00924A51">
      <w:pPr>
        <w:spacing w:before="100" w:beforeAutospacing="1"/>
        <w:jc w:val="both"/>
        <w:rPr>
          <w:rFonts w:asciiTheme="minorHAnsi" w:hAnsiTheme="minorHAnsi" w:cstheme="minorHAnsi"/>
          <w:sz w:val="22"/>
          <w:szCs w:val="22"/>
        </w:rPr>
      </w:pPr>
      <w:r w:rsidRPr="009D7A91">
        <w:rPr>
          <w:rFonts w:asciiTheme="minorHAnsi" w:hAnsiTheme="minorHAnsi" w:cstheme="minorHAnsi"/>
          <w:sz w:val="22"/>
          <w:szCs w:val="22"/>
        </w:rPr>
        <w:t>Over the past several weeks, t</w:t>
      </w:r>
      <w:r w:rsidR="00190678" w:rsidRPr="009D7A91">
        <w:rPr>
          <w:rFonts w:asciiTheme="minorHAnsi" w:hAnsiTheme="minorHAnsi" w:cstheme="minorHAnsi"/>
          <w:sz w:val="22"/>
          <w:szCs w:val="22"/>
        </w:rPr>
        <w:t xml:space="preserve">he Courts have </w:t>
      </w:r>
      <w:r w:rsidRPr="009D7A91">
        <w:rPr>
          <w:rFonts w:asciiTheme="minorHAnsi" w:hAnsiTheme="minorHAnsi" w:cstheme="minorHAnsi"/>
          <w:sz w:val="22"/>
          <w:szCs w:val="22"/>
        </w:rPr>
        <w:t>published</w:t>
      </w:r>
      <w:r w:rsidR="00190678" w:rsidRPr="009D7A91">
        <w:rPr>
          <w:rFonts w:asciiTheme="minorHAnsi" w:hAnsiTheme="minorHAnsi" w:cstheme="minorHAnsi"/>
          <w:sz w:val="22"/>
          <w:szCs w:val="22"/>
        </w:rPr>
        <w:t xml:space="preserve"> </w:t>
      </w:r>
      <w:r w:rsidRPr="009D7A91">
        <w:rPr>
          <w:rFonts w:asciiTheme="minorHAnsi" w:hAnsiTheme="minorHAnsi" w:cstheme="minorHAnsi"/>
          <w:sz w:val="22"/>
          <w:szCs w:val="22"/>
        </w:rPr>
        <w:t xml:space="preserve">weekly </w:t>
      </w:r>
      <w:hyperlink r:id="rId8" w:history="1">
        <w:r w:rsidR="00190678" w:rsidRPr="009D7A91">
          <w:rPr>
            <w:rStyle w:val="Hyperlink"/>
            <w:rFonts w:asciiTheme="minorHAnsi" w:hAnsiTheme="minorHAnsi" w:cstheme="minorHAnsi"/>
            <w:sz w:val="22"/>
            <w:szCs w:val="22"/>
          </w:rPr>
          <w:t>updates</w:t>
        </w:r>
      </w:hyperlink>
      <w:r w:rsidR="00190678" w:rsidRPr="009D7A91">
        <w:rPr>
          <w:rFonts w:asciiTheme="minorHAnsi" w:hAnsiTheme="minorHAnsi" w:cstheme="minorHAnsi"/>
          <w:sz w:val="22"/>
          <w:szCs w:val="22"/>
        </w:rPr>
        <w:t xml:space="preserve"> </w:t>
      </w:r>
      <w:r w:rsidRPr="009D7A91">
        <w:rPr>
          <w:rFonts w:asciiTheme="minorHAnsi" w:hAnsiTheme="minorHAnsi" w:cstheme="minorHAnsi"/>
          <w:sz w:val="22"/>
          <w:szCs w:val="22"/>
        </w:rPr>
        <w:t>to t</w:t>
      </w:r>
      <w:r w:rsidR="00190678" w:rsidRPr="009D7A91">
        <w:rPr>
          <w:rFonts w:asciiTheme="minorHAnsi" w:hAnsiTheme="minorHAnsi" w:cstheme="minorHAnsi"/>
          <w:sz w:val="22"/>
          <w:szCs w:val="22"/>
        </w:rPr>
        <w:t>he legal profession</w:t>
      </w:r>
      <w:r w:rsidRPr="009D7A91">
        <w:rPr>
          <w:rFonts w:asciiTheme="minorHAnsi" w:hAnsiTheme="minorHAnsi" w:cstheme="minorHAnsi"/>
          <w:sz w:val="22"/>
          <w:szCs w:val="22"/>
        </w:rPr>
        <w:t>,</w:t>
      </w:r>
      <w:r w:rsidR="00190678" w:rsidRPr="009D7A91">
        <w:rPr>
          <w:rFonts w:asciiTheme="minorHAnsi" w:hAnsiTheme="minorHAnsi" w:cstheme="minorHAnsi"/>
          <w:sz w:val="22"/>
          <w:szCs w:val="22"/>
        </w:rPr>
        <w:t xml:space="preserve"> and the public</w:t>
      </w:r>
      <w:r w:rsidRPr="009D7A91">
        <w:rPr>
          <w:rFonts w:asciiTheme="minorHAnsi" w:hAnsiTheme="minorHAnsi" w:cstheme="minorHAnsi"/>
          <w:sz w:val="22"/>
          <w:szCs w:val="22"/>
        </w:rPr>
        <w:t>,</w:t>
      </w:r>
      <w:r w:rsidR="00190678" w:rsidRPr="009D7A91">
        <w:rPr>
          <w:rFonts w:asciiTheme="minorHAnsi" w:hAnsiTheme="minorHAnsi" w:cstheme="minorHAnsi"/>
          <w:sz w:val="22"/>
          <w:szCs w:val="22"/>
        </w:rPr>
        <w:t xml:space="preserve"> to advise them of changes to court operatio</w:t>
      </w:r>
      <w:r w:rsidR="00057FCA" w:rsidRPr="009D7A91">
        <w:rPr>
          <w:rFonts w:asciiTheme="minorHAnsi" w:hAnsiTheme="minorHAnsi" w:cstheme="minorHAnsi"/>
          <w:sz w:val="22"/>
          <w:szCs w:val="22"/>
        </w:rPr>
        <w:t xml:space="preserve">ns. This </w:t>
      </w:r>
      <w:r w:rsidRPr="009D7A91">
        <w:rPr>
          <w:rFonts w:asciiTheme="minorHAnsi" w:hAnsiTheme="minorHAnsi" w:cstheme="minorHAnsi"/>
          <w:sz w:val="22"/>
          <w:szCs w:val="22"/>
        </w:rPr>
        <w:t xml:space="preserve">fifth </w:t>
      </w:r>
      <w:r w:rsidR="00057FCA" w:rsidRPr="009D7A91">
        <w:rPr>
          <w:rFonts w:asciiTheme="minorHAnsi" w:hAnsiTheme="minorHAnsi" w:cstheme="minorHAnsi"/>
          <w:sz w:val="22"/>
          <w:szCs w:val="22"/>
        </w:rPr>
        <w:t xml:space="preserve">update provides </w:t>
      </w:r>
      <w:r w:rsidR="00190678" w:rsidRPr="009D7A91">
        <w:rPr>
          <w:rFonts w:asciiTheme="minorHAnsi" w:hAnsiTheme="minorHAnsi" w:cstheme="minorHAnsi"/>
          <w:sz w:val="22"/>
          <w:szCs w:val="22"/>
        </w:rPr>
        <w:t xml:space="preserve">information that </w:t>
      </w:r>
      <w:r w:rsidR="00D50723" w:rsidRPr="009D7A91">
        <w:rPr>
          <w:rFonts w:asciiTheme="minorHAnsi" w:hAnsiTheme="minorHAnsi" w:cstheme="minorHAnsi"/>
          <w:sz w:val="22"/>
          <w:szCs w:val="22"/>
        </w:rPr>
        <w:t xml:space="preserve">primarily </w:t>
      </w:r>
      <w:r w:rsidRPr="009D7A91">
        <w:rPr>
          <w:rFonts w:asciiTheme="minorHAnsi" w:hAnsiTheme="minorHAnsi" w:cstheme="minorHAnsi"/>
          <w:sz w:val="22"/>
          <w:szCs w:val="22"/>
        </w:rPr>
        <w:t>r</w:t>
      </w:r>
      <w:r w:rsidR="00190678" w:rsidRPr="009D7A91">
        <w:rPr>
          <w:rFonts w:asciiTheme="minorHAnsi" w:hAnsiTheme="minorHAnsi" w:cstheme="minorHAnsi"/>
          <w:sz w:val="22"/>
          <w:szCs w:val="22"/>
        </w:rPr>
        <w:t xml:space="preserve">elates to the </w:t>
      </w:r>
      <w:r w:rsidRPr="009D7A91">
        <w:rPr>
          <w:rFonts w:asciiTheme="minorHAnsi" w:hAnsiTheme="minorHAnsi" w:cstheme="minorHAnsi"/>
          <w:sz w:val="22"/>
          <w:szCs w:val="22"/>
        </w:rPr>
        <w:t>family law jurisdiction of the Court</w:t>
      </w:r>
      <w:r w:rsidR="00D50723" w:rsidRPr="009D7A91">
        <w:rPr>
          <w:rFonts w:asciiTheme="minorHAnsi" w:hAnsiTheme="minorHAnsi" w:cstheme="minorHAnsi"/>
          <w:sz w:val="22"/>
          <w:szCs w:val="22"/>
        </w:rPr>
        <w:t xml:space="preserve"> including </w:t>
      </w:r>
      <w:r w:rsidR="005A3986">
        <w:rPr>
          <w:rFonts w:asciiTheme="minorHAnsi" w:hAnsiTheme="minorHAnsi" w:cstheme="minorHAnsi"/>
          <w:sz w:val="22"/>
          <w:szCs w:val="22"/>
        </w:rPr>
        <w:t>a summary of key changes,</w:t>
      </w:r>
      <w:r w:rsidR="009421C6">
        <w:rPr>
          <w:rFonts w:asciiTheme="minorHAnsi" w:hAnsiTheme="minorHAnsi" w:cstheme="minorHAnsi"/>
          <w:sz w:val="22"/>
          <w:szCs w:val="22"/>
        </w:rPr>
        <w:t xml:space="preserve"> a new website,</w:t>
      </w:r>
      <w:r w:rsidR="005A3986">
        <w:rPr>
          <w:rFonts w:asciiTheme="minorHAnsi" w:hAnsiTheme="minorHAnsi" w:cstheme="minorHAnsi"/>
          <w:sz w:val="22"/>
          <w:szCs w:val="22"/>
        </w:rPr>
        <w:t xml:space="preserve"> </w:t>
      </w:r>
      <w:r w:rsidR="00D50723" w:rsidRPr="009D7A91">
        <w:rPr>
          <w:rFonts w:asciiTheme="minorHAnsi" w:hAnsiTheme="minorHAnsi" w:cstheme="minorHAnsi"/>
          <w:sz w:val="22"/>
          <w:szCs w:val="22"/>
        </w:rPr>
        <w:t xml:space="preserve">details of new </w:t>
      </w:r>
      <w:r w:rsidRPr="009D7A91">
        <w:rPr>
          <w:rFonts w:asciiTheme="minorHAnsi" w:hAnsiTheme="minorHAnsi" w:cstheme="minorHAnsi"/>
          <w:sz w:val="22"/>
          <w:szCs w:val="22"/>
        </w:rPr>
        <w:t>judicial registrar resources</w:t>
      </w:r>
      <w:r w:rsidR="009421C6">
        <w:rPr>
          <w:rFonts w:asciiTheme="minorHAnsi" w:hAnsiTheme="minorHAnsi" w:cstheme="minorHAnsi"/>
          <w:sz w:val="22"/>
          <w:szCs w:val="22"/>
        </w:rPr>
        <w:t xml:space="preserve"> </w:t>
      </w:r>
      <w:r w:rsidR="00D50723" w:rsidRPr="009D7A91">
        <w:rPr>
          <w:rFonts w:asciiTheme="minorHAnsi" w:hAnsiTheme="minorHAnsi" w:cstheme="minorHAnsi"/>
          <w:sz w:val="22"/>
          <w:szCs w:val="22"/>
        </w:rPr>
        <w:t xml:space="preserve">and an outline of the different registrar roles. </w:t>
      </w:r>
    </w:p>
    <w:p w14:paraId="206291F1" w14:textId="2FB9927A" w:rsidR="007E1B8A" w:rsidRPr="00A64020" w:rsidRDefault="009421C6" w:rsidP="00A64020">
      <w:pPr>
        <w:spacing w:before="100" w:beforeAutospacing="1"/>
        <w:jc w:val="both"/>
        <w:rPr>
          <w:rFonts w:asciiTheme="minorHAnsi" w:hAnsiTheme="minorHAnsi" w:cstheme="minorHAnsi"/>
          <w:sz w:val="22"/>
          <w:szCs w:val="22"/>
        </w:rPr>
      </w:pPr>
      <w:r>
        <w:rPr>
          <w:rFonts w:asciiTheme="minorHAnsi" w:hAnsiTheme="minorHAnsi" w:cstheme="minorHAnsi"/>
          <w:sz w:val="22"/>
          <w:szCs w:val="22"/>
        </w:rPr>
        <w:t>Importantly, this update also provides details of, and links to, all of the new rules of court for the FCFCOA.</w:t>
      </w:r>
    </w:p>
    <w:p w14:paraId="66DC4F92" w14:textId="2F530E91" w:rsidR="009D7A91" w:rsidRPr="009D7A91" w:rsidRDefault="009D7A91" w:rsidP="00A64020">
      <w:pPr>
        <w:pStyle w:val="Heading2"/>
      </w:pPr>
      <w:r w:rsidRPr="009D7A91">
        <w:t>What to expect on 1 September 2021</w:t>
      </w:r>
    </w:p>
    <w:p w14:paraId="1DD5D136" w14:textId="52C2C536" w:rsidR="009D7A91" w:rsidRDefault="009D7A91" w:rsidP="00924A51">
      <w:pPr>
        <w:pStyle w:val="ShortT"/>
        <w:jc w:val="both"/>
        <w:rPr>
          <w:rFonts w:asciiTheme="minorHAnsi" w:hAnsiTheme="minorHAnsi" w:cstheme="minorHAnsi"/>
          <w:b w:val="0"/>
          <w:sz w:val="22"/>
          <w:szCs w:val="22"/>
        </w:rPr>
      </w:pPr>
      <w:r w:rsidRPr="009D7A91">
        <w:rPr>
          <w:rFonts w:asciiTheme="minorHAnsi" w:hAnsiTheme="minorHAnsi" w:cstheme="minorHAnsi"/>
          <w:b w:val="0"/>
          <w:sz w:val="22"/>
          <w:szCs w:val="22"/>
        </w:rPr>
        <w:t xml:space="preserve">The commencement of the </w:t>
      </w:r>
      <w:r w:rsidR="009421C6">
        <w:rPr>
          <w:rFonts w:asciiTheme="minorHAnsi" w:hAnsiTheme="minorHAnsi" w:cstheme="minorHAnsi"/>
          <w:b w:val="0"/>
          <w:sz w:val="22"/>
          <w:szCs w:val="22"/>
        </w:rPr>
        <w:t xml:space="preserve">Court </w:t>
      </w:r>
      <w:r w:rsidRPr="009D7A91">
        <w:rPr>
          <w:rFonts w:asciiTheme="minorHAnsi" w:hAnsiTheme="minorHAnsi" w:cstheme="minorHAnsi"/>
          <w:b w:val="0"/>
          <w:sz w:val="22"/>
          <w:szCs w:val="22"/>
        </w:rPr>
        <w:t xml:space="preserve">on 1 September is a very significant event in the history of Australia’s federal court system. Not only is having a well-functioning, well-resourced and well-respected court system that the community can rely upon imperative to a civil society, the new Court will provide an important service to many in our community who are experiencing the emotional and financial hardship of separation. </w:t>
      </w:r>
    </w:p>
    <w:p w14:paraId="3E45A987" w14:textId="327FD52A" w:rsidR="00091AEA" w:rsidRPr="00091AEA" w:rsidRDefault="00091AEA" w:rsidP="00924A51">
      <w:pPr>
        <w:spacing w:before="100" w:beforeAutospacing="1"/>
        <w:rPr>
          <w:rFonts w:asciiTheme="minorHAnsi" w:eastAsiaTheme="minorHAnsi" w:hAnsiTheme="minorHAnsi" w:cstheme="minorHAnsi"/>
          <w:bCs/>
          <w:sz w:val="22"/>
          <w:szCs w:val="22"/>
        </w:rPr>
      </w:pPr>
      <w:r>
        <w:rPr>
          <w:rFonts w:asciiTheme="minorHAnsi" w:eastAsiaTheme="minorHAnsi" w:hAnsiTheme="minorHAnsi" w:cstheme="minorHAnsi"/>
          <w:bCs/>
          <w:sz w:val="22"/>
          <w:szCs w:val="22"/>
        </w:rPr>
        <w:t xml:space="preserve">There </w:t>
      </w:r>
      <w:r w:rsidR="002A04EB">
        <w:rPr>
          <w:rFonts w:asciiTheme="minorHAnsi" w:eastAsiaTheme="minorHAnsi" w:hAnsiTheme="minorHAnsi" w:cstheme="minorHAnsi"/>
          <w:bCs/>
          <w:sz w:val="22"/>
          <w:szCs w:val="22"/>
        </w:rPr>
        <w:t xml:space="preserve">will be </w:t>
      </w:r>
      <w:r>
        <w:rPr>
          <w:rFonts w:asciiTheme="minorHAnsi" w:eastAsiaTheme="minorHAnsi" w:hAnsiTheme="minorHAnsi" w:cstheme="minorHAnsi"/>
          <w:bCs/>
          <w:sz w:val="22"/>
          <w:szCs w:val="22"/>
        </w:rPr>
        <w:t>many changes to court operations from 1 September, all of which have been detailed in the</w:t>
      </w:r>
      <w:r w:rsidR="005A3986">
        <w:rPr>
          <w:rFonts w:asciiTheme="minorHAnsi" w:eastAsiaTheme="minorHAnsi" w:hAnsiTheme="minorHAnsi" w:cstheme="minorHAnsi"/>
          <w:bCs/>
          <w:sz w:val="22"/>
          <w:szCs w:val="22"/>
        </w:rPr>
        <w:t xml:space="preserve"> </w:t>
      </w:r>
      <w:r>
        <w:rPr>
          <w:rFonts w:asciiTheme="minorHAnsi" w:eastAsiaTheme="minorHAnsi" w:hAnsiTheme="minorHAnsi" w:cstheme="minorHAnsi"/>
          <w:bCs/>
          <w:sz w:val="22"/>
          <w:szCs w:val="22"/>
        </w:rPr>
        <w:t xml:space="preserve">various updates, but in summary they involve </w:t>
      </w:r>
      <w:r w:rsidR="005A3986">
        <w:rPr>
          <w:rFonts w:asciiTheme="minorHAnsi" w:eastAsiaTheme="minorHAnsi" w:hAnsiTheme="minorHAnsi" w:cstheme="minorHAnsi"/>
          <w:bCs/>
          <w:sz w:val="22"/>
          <w:szCs w:val="22"/>
        </w:rPr>
        <w:t xml:space="preserve">changes to </w:t>
      </w:r>
      <w:r w:rsidRPr="00091AEA">
        <w:rPr>
          <w:rFonts w:asciiTheme="minorHAnsi" w:eastAsiaTheme="minorHAnsi" w:hAnsiTheme="minorHAnsi" w:cstheme="minorHAnsi"/>
          <w:bCs/>
          <w:sz w:val="22"/>
          <w:szCs w:val="22"/>
        </w:rPr>
        <w:t>rules, forms, case management processes, appeals management and resources</w:t>
      </w:r>
      <w:r>
        <w:rPr>
          <w:rFonts w:asciiTheme="minorHAnsi" w:eastAsiaTheme="minorHAnsi" w:hAnsiTheme="minorHAnsi" w:cstheme="minorHAnsi"/>
          <w:bCs/>
          <w:sz w:val="22"/>
          <w:szCs w:val="22"/>
        </w:rPr>
        <w:t>, and</w:t>
      </w:r>
      <w:r w:rsidR="005A3986">
        <w:rPr>
          <w:rFonts w:asciiTheme="minorHAnsi" w:eastAsiaTheme="minorHAnsi" w:hAnsiTheme="minorHAnsi" w:cstheme="minorHAnsi"/>
          <w:bCs/>
          <w:sz w:val="22"/>
          <w:szCs w:val="22"/>
        </w:rPr>
        <w:t xml:space="preserve"> </w:t>
      </w:r>
      <w:r w:rsidR="005E30FA">
        <w:rPr>
          <w:rFonts w:asciiTheme="minorHAnsi" w:eastAsiaTheme="minorHAnsi" w:hAnsiTheme="minorHAnsi" w:cstheme="minorHAnsi"/>
          <w:bCs/>
          <w:sz w:val="22"/>
          <w:szCs w:val="22"/>
        </w:rPr>
        <w:t xml:space="preserve">from 1 September, </w:t>
      </w:r>
      <w:r w:rsidR="005A3986">
        <w:rPr>
          <w:rFonts w:asciiTheme="minorHAnsi" w:eastAsiaTheme="minorHAnsi" w:hAnsiTheme="minorHAnsi" w:cstheme="minorHAnsi"/>
          <w:bCs/>
          <w:sz w:val="22"/>
          <w:szCs w:val="22"/>
        </w:rPr>
        <w:t xml:space="preserve">the creation of </w:t>
      </w:r>
      <w:r>
        <w:rPr>
          <w:rFonts w:asciiTheme="minorHAnsi" w:eastAsiaTheme="minorHAnsi" w:hAnsiTheme="minorHAnsi" w:cstheme="minorHAnsi"/>
          <w:bCs/>
          <w:sz w:val="22"/>
          <w:szCs w:val="22"/>
        </w:rPr>
        <w:t xml:space="preserve">a new website </w:t>
      </w:r>
      <w:bookmarkStart w:id="0" w:name="_GoBack"/>
      <w:bookmarkEnd w:id="0"/>
      <w:r w:rsidRPr="005E30FA">
        <w:rPr>
          <w:rFonts w:asciiTheme="minorHAnsi" w:eastAsiaTheme="minorHAnsi" w:hAnsiTheme="minorHAnsi" w:cstheme="minorHAnsi"/>
          <w:bCs/>
          <w:sz w:val="22"/>
          <w:szCs w:val="22"/>
        </w:rPr>
        <w:t>www.fcfcoa.gov.au</w:t>
      </w:r>
      <w:r w:rsidRPr="00091AEA">
        <w:rPr>
          <w:rFonts w:asciiTheme="minorHAnsi" w:eastAsiaTheme="minorHAnsi" w:hAnsiTheme="minorHAnsi" w:cstheme="minorHAnsi"/>
          <w:bCs/>
          <w:sz w:val="22"/>
          <w:szCs w:val="22"/>
        </w:rPr>
        <w:t xml:space="preserve">. </w:t>
      </w:r>
    </w:p>
    <w:p w14:paraId="48B8048F" w14:textId="271A6052" w:rsidR="005255A8" w:rsidRPr="00B74497" w:rsidRDefault="005255A8" w:rsidP="00924A51">
      <w:pPr>
        <w:spacing w:before="100" w:beforeAutospacing="1"/>
        <w:jc w:val="both"/>
        <w:rPr>
          <w:rFonts w:asciiTheme="minorHAnsi" w:hAnsiTheme="minorHAnsi" w:cstheme="minorHAnsi"/>
          <w:bCs/>
          <w:sz w:val="22"/>
          <w:szCs w:val="22"/>
        </w:rPr>
      </w:pPr>
      <w:r>
        <w:rPr>
          <w:rFonts w:asciiTheme="minorHAnsi" w:hAnsiTheme="minorHAnsi" w:cstheme="minorHAnsi"/>
          <w:bCs/>
          <w:sz w:val="22"/>
          <w:szCs w:val="22"/>
        </w:rPr>
        <w:t xml:space="preserve">For </w:t>
      </w:r>
      <w:r w:rsidRPr="00B74497">
        <w:rPr>
          <w:rFonts w:asciiTheme="minorHAnsi" w:hAnsiTheme="minorHAnsi" w:cstheme="minorHAnsi"/>
          <w:bCs/>
          <w:sz w:val="22"/>
          <w:szCs w:val="22"/>
        </w:rPr>
        <w:t xml:space="preserve">the first time in 21 years, </w:t>
      </w:r>
      <w:r>
        <w:rPr>
          <w:rFonts w:asciiTheme="minorHAnsi" w:hAnsiTheme="minorHAnsi" w:cstheme="minorHAnsi"/>
          <w:bCs/>
          <w:sz w:val="22"/>
          <w:szCs w:val="22"/>
        </w:rPr>
        <w:t xml:space="preserve">there will be </w:t>
      </w:r>
      <w:r w:rsidRPr="00B74497">
        <w:rPr>
          <w:rFonts w:asciiTheme="minorHAnsi" w:hAnsiTheme="minorHAnsi" w:cstheme="minorHAnsi"/>
          <w:bCs/>
          <w:sz w:val="22"/>
          <w:szCs w:val="22"/>
        </w:rPr>
        <w:t xml:space="preserve">a single point of entry and </w:t>
      </w:r>
      <w:r>
        <w:rPr>
          <w:rFonts w:asciiTheme="minorHAnsi" w:hAnsiTheme="minorHAnsi" w:cstheme="minorHAnsi"/>
          <w:bCs/>
          <w:sz w:val="22"/>
          <w:szCs w:val="22"/>
        </w:rPr>
        <w:t xml:space="preserve">a </w:t>
      </w:r>
      <w:r w:rsidRPr="00B74497">
        <w:rPr>
          <w:rFonts w:asciiTheme="minorHAnsi" w:hAnsiTheme="minorHAnsi" w:cstheme="minorHAnsi"/>
          <w:bCs/>
          <w:sz w:val="22"/>
          <w:szCs w:val="22"/>
        </w:rPr>
        <w:t xml:space="preserve">streamlined approach to family law proceedings. It will simplify procedures and enable cases to be moved through the family law system quickly and fairly and with as little detrimental impact on families and children as possible. </w:t>
      </w:r>
    </w:p>
    <w:p w14:paraId="31730B71" w14:textId="5ABBFAFA" w:rsidR="009D7A91" w:rsidRPr="005255A8" w:rsidRDefault="00091AEA" w:rsidP="00924A51">
      <w:pPr>
        <w:pStyle w:val="ShortT"/>
        <w:spacing w:before="100" w:beforeAutospacing="1"/>
        <w:jc w:val="both"/>
        <w:rPr>
          <w:rFonts w:asciiTheme="minorHAnsi" w:hAnsiTheme="minorHAnsi" w:cstheme="minorHAnsi"/>
          <w:b w:val="0"/>
          <w:sz w:val="22"/>
          <w:szCs w:val="22"/>
        </w:rPr>
      </w:pPr>
      <w:r>
        <w:rPr>
          <w:rFonts w:asciiTheme="minorHAnsi" w:hAnsiTheme="minorHAnsi" w:cstheme="minorHAnsi"/>
          <w:b w:val="0"/>
          <w:sz w:val="22"/>
          <w:szCs w:val="22"/>
        </w:rPr>
        <w:t xml:space="preserve">These changes reflect the numerous </w:t>
      </w:r>
      <w:r w:rsidR="005255A8">
        <w:rPr>
          <w:rFonts w:asciiTheme="minorHAnsi" w:hAnsiTheme="minorHAnsi" w:cstheme="minorHAnsi"/>
          <w:b w:val="0"/>
          <w:sz w:val="22"/>
          <w:szCs w:val="22"/>
        </w:rPr>
        <w:t>calls for change that have been voiced by the legal profession, and the wider community</w:t>
      </w:r>
      <w:r w:rsidR="005A3986">
        <w:rPr>
          <w:rFonts w:asciiTheme="minorHAnsi" w:hAnsiTheme="minorHAnsi" w:cstheme="minorHAnsi"/>
          <w:b w:val="0"/>
          <w:sz w:val="22"/>
          <w:szCs w:val="22"/>
        </w:rPr>
        <w:t>, over many years</w:t>
      </w:r>
      <w:r w:rsidR="005255A8">
        <w:rPr>
          <w:rFonts w:asciiTheme="minorHAnsi" w:hAnsiTheme="minorHAnsi" w:cstheme="minorHAnsi"/>
          <w:b w:val="0"/>
          <w:sz w:val="22"/>
          <w:szCs w:val="22"/>
        </w:rPr>
        <w:t xml:space="preserve">. </w:t>
      </w:r>
      <w:r w:rsidR="002A04EB">
        <w:rPr>
          <w:rFonts w:asciiTheme="minorHAnsi" w:hAnsiTheme="minorHAnsi" w:cstheme="minorHAnsi"/>
          <w:b w:val="0"/>
          <w:sz w:val="22"/>
          <w:szCs w:val="22"/>
        </w:rPr>
        <w:t>The recent</w:t>
      </w:r>
      <w:r w:rsidR="005255A8">
        <w:rPr>
          <w:rFonts w:asciiTheme="minorHAnsi" w:hAnsiTheme="minorHAnsi" w:cstheme="minorHAnsi"/>
          <w:b w:val="0"/>
          <w:sz w:val="22"/>
          <w:szCs w:val="22"/>
        </w:rPr>
        <w:t xml:space="preserve"> l</w:t>
      </w:r>
      <w:r w:rsidR="009D7A91" w:rsidRPr="005255A8">
        <w:rPr>
          <w:rFonts w:asciiTheme="minorHAnsi" w:hAnsiTheme="minorHAnsi" w:cstheme="minorHAnsi"/>
          <w:b w:val="0"/>
          <w:sz w:val="22"/>
          <w:szCs w:val="22"/>
        </w:rPr>
        <w:t>egislative changes</w:t>
      </w:r>
      <w:r w:rsidR="005255A8">
        <w:rPr>
          <w:rFonts w:asciiTheme="minorHAnsi" w:hAnsiTheme="minorHAnsi" w:cstheme="minorHAnsi"/>
          <w:b w:val="0"/>
          <w:sz w:val="22"/>
          <w:szCs w:val="22"/>
        </w:rPr>
        <w:t xml:space="preserve"> </w:t>
      </w:r>
      <w:r w:rsidR="009D7A91" w:rsidRPr="005255A8">
        <w:rPr>
          <w:rFonts w:asciiTheme="minorHAnsi" w:hAnsiTheme="minorHAnsi" w:cstheme="minorHAnsi"/>
          <w:b w:val="0"/>
          <w:sz w:val="22"/>
          <w:szCs w:val="22"/>
        </w:rPr>
        <w:t xml:space="preserve">have enabled major structural changes </w:t>
      </w:r>
      <w:r w:rsidR="002A04EB">
        <w:rPr>
          <w:rFonts w:asciiTheme="minorHAnsi" w:hAnsiTheme="minorHAnsi" w:cstheme="minorHAnsi"/>
          <w:b w:val="0"/>
          <w:sz w:val="22"/>
          <w:szCs w:val="22"/>
        </w:rPr>
        <w:t xml:space="preserve">to the operation of the court system, </w:t>
      </w:r>
      <w:r w:rsidR="00506C0E">
        <w:rPr>
          <w:rFonts w:asciiTheme="minorHAnsi" w:hAnsiTheme="minorHAnsi" w:cstheme="minorHAnsi"/>
          <w:b w:val="0"/>
          <w:sz w:val="22"/>
          <w:szCs w:val="22"/>
        </w:rPr>
        <w:t>w</w:t>
      </w:r>
      <w:r w:rsidR="009D7A91" w:rsidRPr="005255A8">
        <w:rPr>
          <w:rFonts w:asciiTheme="minorHAnsi" w:hAnsiTheme="minorHAnsi" w:cstheme="minorHAnsi"/>
          <w:b w:val="0"/>
          <w:sz w:val="22"/>
          <w:szCs w:val="22"/>
        </w:rPr>
        <w:t xml:space="preserve">hich </w:t>
      </w:r>
      <w:r w:rsidR="005A3986">
        <w:rPr>
          <w:rFonts w:asciiTheme="minorHAnsi" w:hAnsiTheme="minorHAnsi" w:cstheme="minorHAnsi"/>
          <w:b w:val="0"/>
          <w:sz w:val="22"/>
          <w:szCs w:val="22"/>
        </w:rPr>
        <w:t xml:space="preserve">will </w:t>
      </w:r>
      <w:r w:rsidR="009D7A91" w:rsidRPr="005255A8">
        <w:rPr>
          <w:rFonts w:asciiTheme="minorHAnsi" w:hAnsiTheme="minorHAnsi" w:cstheme="minorHAnsi"/>
          <w:b w:val="0"/>
          <w:sz w:val="22"/>
          <w:szCs w:val="22"/>
        </w:rPr>
        <w:t>feature:</w:t>
      </w:r>
    </w:p>
    <w:p w14:paraId="258AB070" w14:textId="77777777" w:rsidR="009D7A91" w:rsidRPr="009D7A91" w:rsidRDefault="009D7A91" w:rsidP="00924A51">
      <w:pPr>
        <w:numPr>
          <w:ilvl w:val="0"/>
          <w:numId w:val="14"/>
        </w:numPr>
        <w:spacing w:before="100" w:beforeAutospacing="1"/>
        <w:jc w:val="both"/>
        <w:rPr>
          <w:rFonts w:asciiTheme="minorHAnsi" w:eastAsiaTheme="minorHAnsi" w:hAnsiTheme="minorHAnsi" w:cstheme="minorHAnsi"/>
          <w:bCs/>
          <w:sz w:val="22"/>
          <w:szCs w:val="22"/>
        </w:rPr>
      </w:pPr>
      <w:r w:rsidRPr="009D7A91">
        <w:rPr>
          <w:rFonts w:asciiTheme="minorHAnsi" w:eastAsiaTheme="minorHAnsi" w:hAnsiTheme="minorHAnsi" w:cstheme="minorHAnsi"/>
          <w:bCs/>
          <w:sz w:val="22"/>
          <w:szCs w:val="22"/>
        </w:rPr>
        <w:t>A single point of entry into the court system for all family law matters</w:t>
      </w:r>
    </w:p>
    <w:p w14:paraId="549F8FFA" w14:textId="4B4C776E" w:rsidR="009D7A91" w:rsidRPr="009D7A91" w:rsidRDefault="009D7A91" w:rsidP="00924A51">
      <w:pPr>
        <w:numPr>
          <w:ilvl w:val="0"/>
          <w:numId w:val="14"/>
        </w:numPr>
        <w:spacing w:before="100" w:beforeAutospacing="1"/>
        <w:jc w:val="both"/>
        <w:rPr>
          <w:rFonts w:asciiTheme="minorHAnsi" w:eastAsiaTheme="minorHAnsi" w:hAnsiTheme="minorHAnsi" w:cstheme="minorHAnsi"/>
          <w:bCs/>
          <w:sz w:val="22"/>
          <w:szCs w:val="22"/>
        </w:rPr>
      </w:pPr>
      <w:r w:rsidRPr="009D7A91">
        <w:rPr>
          <w:rFonts w:asciiTheme="minorHAnsi" w:eastAsiaTheme="minorHAnsi" w:hAnsiTheme="minorHAnsi" w:cstheme="minorHAnsi"/>
          <w:bCs/>
          <w:sz w:val="22"/>
          <w:szCs w:val="22"/>
        </w:rPr>
        <w:t>A new</w:t>
      </w:r>
      <w:r w:rsidR="00EF0326">
        <w:rPr>
          <w:rFonts w:asciiTheme="minorHAnsi" w:eastAsiaTheme="minorHAnsi" w:hAnsiTheme="minorHAnsi" w:cstheme="minorHAnsi"/>
          <w:bCs/>
          <w:sz w:val="22"/>
          <w:szCs w:val="22"/>
        </w:rPr>
        <w:t xml:space="preserve"> family law</w:t>
      </w:r>
      <w:r w:rsidRPr="009D7A91">
        <w:rPr>
          <w:rFonts w:asciiTheme="minorHAnsi" w:eastAsiaTheme="minorHAnsi" w:hAnsiTheme="minorHAnsi" w:cstheme="minorHAnsi"/>
          <w:bCs/>
          <w:sz w:val="22"/>
          <w:szCs w:val="22"/>
        </w:rPr>
        <w:t xml:space="preserve"> case management pathway</w:t>
      </w:r>
    </w:p>
    <w:p w14:paraId="06E0F4E7" w14:textId="34F1DA80" w:rsidR="005E30FA" w:rsidRPr="00D1350C" w:rsidRDefault="005E30FA" w:rsidP="00D1350C">
      <w:pPr>
        <w:numPr>
          <w:ilvl w:val="0"/>
          <w:numId w:val="14"/>
        </w:numPr>
        <w:spacing w:before="100" w:beforeAutospacing="1"/>
        <w:jc w:val="both"/>
        <w:rPr>
          <w:rFonts w:asciiTheme="minorHAnsi" w:eastAsiaTheme="minorHAnsi" w:hAnsiTheme="minorHAnsi" w:cstheme="minorHAnsi"/>
          <w:bCs/>
          <w:sz w:val="22"/>
          <w:szCs w:val="22"/>
        </w:rPr>
      </w:pPr>
      <w:r w:rsidRPr="00D1350C">
        <w:rPr>
          <w:rFonts w:asciiTheme="minorHAnsi" w:eastAsiaTheme="minorHAnsi" w:hAnsiTheme="minorHAnsi" w:cstheme="minorHAnsi"/>
          <w:bCs/>
          <w:sz w:val="22"/>
          <w:szCs w:val="22"/>
        </w:rPr>
        <w:t>New obligation</w:t>
      </w:r>
      <w:r w:rsidR="00D1350C">
        <w:rPr>
          <w:rFonts w:asciiTheme="minorHAnsi" w:eastAsiaTheme="minorHAnsi" w:hAnsiTheme="minorHAnsi" w:cstheme="minorHAnsi"/>
          <w:bCs/>
          <w:sz w:val="22"/>
          <w:szCs w:val="22"/>
        </w:rPr>
        <w:t>s</w:t>
      </w:r>
      <w:r w:rsidRPr="00D1350C">
        <w:rPr>
          <w:rFonts w:asciiTheme="minorHAnsi" w:eastAsiaTheme="minorHAnsi" w:hAnsiTheme="minorHAnsi" w:cstheme="minorHAnsi"/>
          <w:bCs/>
          <w:sz w:val="22"/>
          <w:szCs w:val="22"/>
        </w:rPr>
        <w:t xml:space="preserve"> on parties and practitioners </w:t>
      </w:r>
      <w:r w:rsidR="00D1350C" w:rsidRPr="00D1350C">
        <w:rPr>
          <w:rFonts w:asciiTheme="minorHAnsi" w:eastAsiaTheme="minorHAnsi" w:hAnsiTheme="minorHAnsi" w:cstheme="minorHAnsi"/>
          <w:bCs/>
          <w:sz w:val="22"/>
          <w:szCs w:val="22"/>
        </w:rPr>
        <w:t xml:space="preserve">to act consistently with the legislated </w:t>
      </w:r>
      <w:r w:rsidRPr="00D1350C">
        <w:rPr>
          <w:rFonts w:asciiTheme="minorHAnsi" w:eastAsiaTheme="minorHAnsi" w:hAnsiTheme="minorHAnsi" w:cstheme="minorHAnsi"/>
          <w:bCs/>
          <w:sz w:val="22"/>
          <w:szCs w:val="22"/>
        </w:rPr>
        <w:t>overarching purpose of the </w:t>
      </w:r>
      <w:r w:rsidRPr="00D1350C">
        <w:rPr>
          <w:rFonts w:asciiTheme="minorHAnsi" w:eastAsiaTheme="minorHAnsi" w:hAnsiTheme="minorHAnsi" w:cstheme="minorHAnsi"/>
          <w:bCs/>
          <w:i/>
          <w:iCs/>
          <w:sz w:val="22"/>
          <w:szCs w:val="22"/>
        </w:rPr>
        <w:t>Federal Circuit and Family Court of Australia Act 2021</w:t>
      </w:r>
      <w:r w:rsidRPr="00D1350C">
        <w:rPr>
          <w:rFonts w:asciiTheme="minorHAnsi" w:eastAsiaTheme="minorHAnsi" w:hAnsiTheme="minorHAnsi" w:cstheme="minorHAnsi"/>
          <w:bCs/>
          <w:sz w:val="22"/>
          <w:szCs w:val="22"/>
        </w:rPr>
        <w:t xml:space="preserve"> </w:t>
      </w:r>
      <w:r w:rsidR="00D1350C">
        <w:rPr>
          <w:rFonts w:asciiTheme="minorHAnsi" w:eastAsiaTheme="minorHAnsi" w:hAnsiTheme="minorHAnsi" w:cstheme="minorHAnsi"/>
          <w:bCs/>
          <w:sz w:val="22"/>
          <w:szCs w:val="22"/>
        </w:rPr>
        <w:t xml:space="preserve">that disputes be resolved </w:t>
      </w:r>
      <w:r w:rsidR="00D1350C" w:rsidRPr="00D1350C">
        <w:rPr>
          <w:rFonts w:asciiTheme="minorHAnsi" w:eastAsiaTheme="minorHAnsi" w:hAnsiTheme="minorHAnsi" w:cstheme="minorHAnsi"/>
          <w:bCs/>
          <w:sz w:val="22"/>
          <w:szCs w:val="22"/>
        </w:rPr>
        <w:t>according to law and as quickly, inexpensively and efficiently as possible.</w:t>
      </w:r>
    </w:p>
    <w:p w14:paraId="08635B1E" w14:textId="65C9B992" w:rsidR="009D7A91" w:rsidRPr="009D7A91" w:rsidRDefault="009D7A91" w:rsidP="00924A51">
      <w:pPr>
        <w:numPr>
          <w:ilvl w:val="0"/>
          <w:numId w:val="14"/>
        </w:numPr>
        <w:spacing w:before="100" w:beforeAutospacing="1"/>
        <w:jc w:val="both"/>
        <w:rPr>
          <w:rFonts w:asciiTheme="minorHAnsi" w:eastAsiaTheme="minorHAnsi" w:hAnsiTheme="minorHAnsi" w:cstheme="minorHAnsi"/>
          <w:bCs/>
          <w:sz w:val="22"/>
          <w:szCs w:val="22"/>
        </w:rPr>
      </w:pPr>
      <w:r w:rsidRPr="009D7A91">
        <w:rPr>
          <w:rFonts w:asciiTheme="minorHAnsi" w:eastAsiaTheme="minorHAnsi" w:hAnsiTheme="minorHAnsi" w:cstheme="minorHAnsi"/>
          <w:bCs/>
          <w:sz w:val="22"/>
          <w:szCs w:val="22"/>
        </w:rPr>
        <w:t>Harmonised family law rules</w:t>
      </w:r>
    </w:p>
    <w:p w14:paraId="66AB3396" w14:textId="77777777" w:rsidR="009D7A91" w:rsidRPr="009D7A91" w:rsidRDefault="009D7A91" w:rsidP="00924A51">
      <w:pPr>
        <w:numPr>
          <w:ilvl w:val="0"/>
          <w:numId w:val="14"/>
        </w:numPr>
        <w:spacing w:before="100" w:beforeAutospacing="1"/>
        <w:jc w:val="both"/>
        <w:rPr>
          <w:rFonts w:asciiTheme="minorHAnsi" w:eastAsiaTheme="minorHAnsi" w:hAnsiTheme="minorHAnsi" w:cstheme="minorHAnsi"/>
          <w:bCs/>
          <w:sz w:val="22"/>
          <w:szCs w:val="22"/>
        </w:rPr>
      </w:pPr>
      <w:r w:rsidRPr="009D7A91">
        <w:rPr>
          <w:rFonts w:asciiTheme="minorHAnsi" w:eastAsiaTheme="minorHAnsi" w:hAnsiTheme="minorHAnsi" w:cstheme="minorHAnsi"/>
          <w:bCs/>
          <w:sz w:val="22"/>
          <w:szCs w:val="22"/>
        </w:rPr>
        <w:t>New family law practice directions</w:t>
      </w:r>
    </w:p>
    <w:p w14:paraId="50E6E958" w14:textId="7898419A" w:rsidR="009D7A91" w:rsidRPr="009D7A91" w:rsidRDefault="00EF0326" w:rsidP="00924A51">
      <w:pPr>
        <w:numPr>
          <w:ilvl w:val="0"/>
          <w:numId w:val="14"/>
        </w:numPr>
        <w:spacing w:before="100" w:beforeAutospacing="1"/>
        <w:jc w:val="both"/>
        <w:rPr>
          <w:rFonts w:asciiTheme="minorHAnsi" w:eastAsiaTheme="minorHAnsi" w:hAnsiTheme="minorHAnsi" w:cstheme="minorHAnsi"/>
          <w:bCs/>
          <w:sz w:val="22"/>
          <w:szCs w:val="22"/>
        </w:rPr>
      </w:pPr>
      <w:r>
        <w:rPr>
          <w:rFonts w:asciiTheme="minorHAnsi" w:eastAsiaTheme="minorHAnsi" w:hAnsiTheme="minorHAnsi" w:cstheme="minorHAnsi"/>
          <w:bCs/>
          <w:sz w:val="22"/>
          <w:szCs w:val="22"/>
        </w:rPr>
        <w:t>Enhanced</w:t>
      </w:r>
      <w:r w:rsidR="009D7A91" w:rsidRPr="009D7A91">
        <w:rPr>
          <w:rFonts w:asciiTheme="minorHAnsi" w:eastAsiaTheme="minorHAnsi" w:hAnsiTheme="minorHAnsi" w:cstheme="minorHAnsi"/>
          <w:bCs/>
          <w:sz w:val="22"/>
          <w:szCs w:val="22"/>
        </w:rPr>
        <w:t xml:space="preserve"> focus on resolution through dispute resolution, and an increase in internal dispute resolution in parenting and financial matters</w:t>
      </w:r>
    </w:p>
    <w:p w14:paraId="4592A55E" w14:textId="77777777" w:rsidR="009D7A91" w:rsidRPr="009D7A91" w:rsidRDefault="009D7A91" w:rsidP="00924A51">
      <w:pPr>
        <w:numPr>
          <w:ilvl w:val="0"/>
          <w:numId w:val="14"/>
        </w:numPr>
        <w:spacing w:before="100" w:beforeAutospacing="1"/>
        <w:jc w:val="both"/>
        <w:rPr>
          <w:rFonts w:asciiTheme="minorHAnsi" w:eastAsiaTheme="minorHAnsi" w:hAnsiTheme="minorHAnsi" w:cstheme="minorHAnsi"/>
          <w:bCs/>
          <w:sz w:val="22"/>
          <w:szCs w:val="22"/>
        </w:rPr>
      </w:pPr>
      <w:r w:rsidRPr="009D7A91">
        <w:rPr>
          <w:rFonts w:asciiTheme="minorHAnsi" w:eastAsiaTheme="minorHAnsi" w:hAnsiTheme="minorHAnsi" w:cstheme="minorHAnsi"/>
          <w:bCs/>
          <w:sz w:val="22"/>
          <w:szCs w:val="22"/>
        </w:rPr>
        <w:t>An enhanced and effective child expert reporting process</w:t>
      </w:r>
    </w:p>
    <w:p w14:paraId="25DEDD2B" w14:textId="77777777" w:rsidR="009D7A91" w:rsidRPr="009D7A91" w:rsidRDefault="009D7A91" w:rsidP="00924A51">
      <w:pPr>
        <w:numPr>
          <w:ilvl w:val="0"/>
          <w:numId w:val="14"/>
        </w:numPr>
        <w:spacing w:before="100" w:beforeAutospacing="1"/>
        <w:jc w:val="both"/>
        <w:rPr>
          <w:rFonts w:asciiTheme="minorHAnsi" w:eastAsiaTheme="minorHAnsi" w:hAnsiTheme="minorHAnsi" w:cstheme="minorHAnsi"/>
          <w:bCs/>
          <w:sz w:val="22"/>
          <w:szCs w:val="22"/>
        </w:rPr>
      </w:pPr>
      <w:r w:rsidRPr="009D7A91">
        <w:rPr>
          <w:rFonts w:asciiTheme="minorHAnsi" w:eastAsiaTheme="minorHAnsi" w:hAnsiTheme="minorHAnsi" w:cstheme="minorHAnsi"/>
          <w:bCs/>
          <w:sz w:val="22"/>
          <w:szCs w:val="22"/>
        </w:rPr>
        <w:t>Specialist court lists</w:t>
      </w:r>
    </w:p>
    <w:p w14:paraId="71D7822D" w14:textId="29B94A1D" w:rsidR="009D7A91" w:rsidRDefault="005A3986" w:rsidP="00924A51">
      <w:pPr>
        <w:numPr>
          <w:ilvl w:val="0"/>
          <w:numId w:val="14"/>
        </w:numPr>
        <w:spacing w:before="100" w:beforeAutospacing="1"/>
        <w:jc w:val="both"/>
        <w:rPr>
          <w:rFonts w:asciiTheme="minorHAnsi" w:eastAsiaTheme="minorHAnsi" w:hAnsiTheme="minorHAnsi" w:cstheme="minorHAnsi"/>
          <w:bCs/>
          <w:sz w:val="22"/>
          <w:szCs w:val="22"/>
        </w:rPr>
      </w:pPr>
      <w:r>
        <w:rPr>
          <w:rFonts w:asciiTheme="minorHAnsi" w:eastAsiaTheme="minorHAnsi" w:hAnsiTheme="minorHAnsi" w:cstheme="minorHAnsi"/>
          <w:bCs/>
          <w:sz w:val="22"/>
          <w:szCs w:val="22"/>
        </w:rPr>
        <w:t>An</w:t>
      </w:r>
      <w:r w:rsidR="009D7A91" w:rsidRPr="009D7A91">
        <w:rPr>
          <w:rFonts w:asciiTheme="minorHAnsi" w:eastAsiaTheme="minorHAnsi" w:hAnsiTheme="minorHAnsi" w:cstheme="minorHAnsi"/>
          <w:bCs/>
          <w:sz w:val="22"/>
          <w:szCs w:val="22"/>
        </w:rPr>
        <w:t xml:space="preserve"> informative and modernised website</w:t>
      </w:r>
    </w:p>
    <w:p w14:paraId="65284A95" w14:textId="15149A96" w:rsidR="008F1034" w:rsidRPr="005E30FA" w:rsidRDefault="008F1034" w:rsidP="00A64020">
      <w:pPr>
        <w:pStyle w:val="Heading2"/>
      </w:pPr>
      <w:r w:rsidRPr="008F1034">
        <w:lastRenderedPageBreak/>
        <w:t xml:space="preserve">Update on the </w:t>
      </w:r>
      <w:r w:rsidR="009421C6">
        <w:t>new rules of court for family law, general federal law and bankruptcy proceedings</w:t>
      </w:r>
    </w:p>
    <w:p w14:paraId="171F0C1E" w14:textId="5E9046AC" w:rsidR="009421C6" w:rsidRDefault="009421C6" w:rsidP="00A64020">
      <w:pPr>
        <w:spacing w:after="240"/>
        <w:rPr>
          <w:rFonts w:asciiTheme="minorHAnsi" w:hAnsiTheme="minorHAnsi" w:cstheme="minorHAnsi"/>
          <w:sz w:val="22"/>
          <w:szCs w:val="22"/>
        </w:rPr>
      </w:pPr>
      <w:r>
        <w:rPr>
          <w:rFonts w:asciiTheme="minorHAnsi" w:hAnsiTheme="minorHAnsi" w:cstheme="minorHAnsi"/>
          <w:sz w:val="22"/>
          <w:szCs w:val="22"/>
        </w:rPr>
        <w:t>The Chief Justice/Chief Judge has issued new rules of court for all areas of the Court’s jurisdiction, including family law, general federal law and bankruptcy.</w:t>
      </w:r>
    </w:p>
    <w:p w14:paraId="71F5BC03" w14:textId="7811F84D" w:rsidR="009421C6" w:rsidRDefault="009421C6" w:rsidP="00A64020">
      <w:pPr>
        <w:spacing w:after="240"/>
        <w:rPr>
          <w:rFonts w:asciiTheme="minorHAnsi" w:hAnsiTheme="minorHAnsi" w:cstheme="minorHAnsi"/>
          <w:sz w:val="22"/>
          <w:szCs w:val="22"/>
        </w:rPr>
      </w:pPr>
      <w:r>
        <w:rPr>
          <w:rFonts w:asciiTheme="minorHAnsi" w:hAnsiTheme="minorHAnsi" w:cstheme="minorHAnsi"/>
          <w:sz w:val="22"/>
          <w:szCs w:val="22"/>
        </w:rPr>
        <w:t xml:space="preserve">Significantly, this includes the harmonised family law rules (made as the </w:t>
      </w:r>
      <w:r>
        <w:rPr>
          <w:rFonts w:asciiTheme="minorHAnsi" w:hAnsiTheme="minorHAnsi" w:cstheme="minorHAnsi"/>
          <w:i/>
          <w:sz w:val="22"/>
          <w:szCs w:val="22"/>
        </w:rPr>
        <w:t>Federal Circuit and Family Court of Australia (Family Law) Rules 2021</w:t>
      </w:r>
      <w:r>
        <w:rPr>
          <w:rFonts w:asciiTheme="minorHAnsi" w:hAnsiTheme="minorHAnsi" w:cstheme="minorHAnsi"/>
          <w:sz w:val="22"/>
          <w:szCs w:val="22"/>
        </w:rPr>
        <w:t>) which have been through an extensive development and consultation process over the past 2 years.</w:t>
      </w:r>
    </w:p>
    <w:p w14:paraId="73E16708" w14:textId="1A1C4D01" w:rsidR="007E1B8A" w:rsidRDefault="007E1B8A" w:rsidP="00A64020">
      <w:pPr>
        <w:spacing w:after="240"/>
        <w:rPr>
          <w:rFonts w:asciiTheme="minorHAnsi" w:hAnsiTheme="minorHAnsi" w:cstheme="minorHAnsi"/>
          <w:sz w:val="22"/>
          <w:szCs w:val="22"/>
        </w:rPr>
      </w:pPr>
      <w:r w:rsidRPr="007E1B8A">
        <w:rPr>
          <w:rFonts w:asciiTheme="minorHAnsi" w:hAnsiTheme="minorHAnsi" w:cstheme="minorHAnsi"/>
          <w:sz w:val="22"/>
          <w:szCs w:val="22"/>
        </w:rPr>
        <w:t>All of the rules of court commence on 1 September 2021.</w:t>
      </w:r>
      <w:r>
        <w:rPr>
          <w:rFonts w:asciiTheme="minorHAnsi" w:hAnsiTheme="minorHAnsi" w:cstheme="minorHAnsi"/>
          <w:sz w:val="22"/>
          <w:szCs w:val="22"/>
        </w:rPr>
        <w:t xml:space="preserve"> </w:t>
      </w:r>
    </w:p>
    <w:p w14:paraId="293A8F59" w14:textId="21BF2EF9" w:rsidR="007E1B8A" w:rsidRDefault="007E1B8A" w:rsidP="00A64020">
      <w:pPr>
        <w:spacing w:after="240"/>
        <w:rPr>
          <w:rFonts w:asciiTheme="minorHAnsi" w:hAnsiTheme="minorHAnsi" w:cstheme="minorHAnsi"/>
          <w:sz w:val="22"/>
          <w:szCs w:val="22"/>
        </w:rPr>
      </w:pPr>
      <w:r w:rsidRPr="007E1B8A">
        <w:rPr>
          <w:rFonts w:asciiTheme="minorHAnsi" w:hAnsiTheme="minorHAnsi" w:cstheme="minorHAnsi"/>
          <w:sz w:val="22"/>
          <w:szCs w:val="22"/>
        </w:rPr>
        <w:t>Below is a brief summary of the new rule instruments.</w:t>
      </w:r>
    </w:p>
    <w:p w14:paraId="469A2378" w14:textId="5B98475E" w:rsidR="007E1B8A" w:rsidRPr="007E1B8A" w:rsidRDefault="00790732" w:rsidP="00924A51">
      <w:pPr>
        <w:pStyle w:val="ListParagraph"/>
        <w:numPr>
          <w:ilvl w:val="0"/>
          <w:numId w:val="15"/>
        </w:numPr>
        <w:spacing w:after="0" w:line="240" w:lineRule="auto"/>
        <w:contextualSpacing w:val="0"/>
        <w:rPr>
          <w:rFonts w:asciiTheme="minorHAnsi" w:hAnsiTheme="minorHAnsi" w:cstheme="minorHAnsi"/>
          <w:b/>
          <w:bCs/>
        </w:rPr>
      </w:pPr>
      <w:hyperlink r:id="rId9" w:history="1">
        <w:r w:rsidR="007E1B8A" w:rsidRPr="009421C6">
          <w:rPr>
            <w:rStyle w:val="Hyperlink"/>
            <w:rFonts w:asciiTheme="minorHAnsi" w:hAnsiTheme="minorHAnsi" w:cstheme="minorHAnsi"/>
            <w:b/>
            <w:bCs/>
            <w:i/>
            <w:iCs/>
          </w:rPr>
          <w:t>Federal Circuit and Family Court of Australia (Family Law) Rules 2021</w:t>
        </w:r>
      </w:hyperlink>
    </w:p>
    <w:p w14:paraId="224FA024" w14:textId="77777777" w:rsidR="007E1B8A" w:rsidRPr="007E1B8A" w:rsidRDefault="007E1B8A" w:rsidP="00A64020">
      <w:pPr>
        <w:pStyle w:val="ListParagraph"/>
        <w:spacing w:after="240" w:line="240" w:lineRule="auto"/>
        <w:contextualSpacing w:val="0"/>
        <w:rPr>
          <w:rFonts w:asciiTheme="minorHAnsi" w:hAnsiTheme="minorHAnsi" w:cstheme="minorHAnsi"/>
        </w:rPr>
      </w:pPr>
      <w:r w:rsidRPr="007E1B8A">
        <w:rPr>
          <w:rFonts w:asciiTheme="minorHAnsi" w:hAnsiTheme="minorHAnsi" w:cstheme="minorHAnsi"/>
        </w:rPr>
        <w:t xml:space="preserve">These rules are the harmonised family law rules. They are made under the Division 1 power to make rules of court in section 76 of the FCFCOA Act, and in the first instance, only apply to the FCFCOA Division 1. They are adopted to apply in the FCFCOA Division 2 by the </w:t>
      </w:r>
      <w:r w:rsidRPr="007E1B8A">
        <w:rPr>
          <w:rFonts w:asciiTheme="minorHAnsi" w:hAnsiTheme="minorHAnsi" w:cstheme="minorHAnsi"/>
          <w:i/>
          <w:iCs/>
        </w:rPr>
        <w:t xml:space="preserve">Federal Circuit and Family Court of Australia (Division 2) (Family Law) Rules 2021, </w:t>
      </w:r>
      <w:r w:rsidRPr="007E1B8A">
        <w:rPr>
          <w:rFonts w:asciiTheme="minorHAnsi" w:hAnsiTheme="minorHAnsi" w:cstheme="minorHAnsi"/>
        </w:rPr>
        <w:t xml:space="preserve">and in other courts exercising jurisdiction under the </w:t>
      </w:r>
      <w:r w:rsidRPr="007E1B8A">
        <w:rPr>
          <w:rFonts w:asciiTheme="minorHAnsi" w:hAnsiTheme="minorHAnsi" w:cstheme="minorHAnsi"/>
          <w:i/>
          <w:iCs/>
        </w:rPr>
        <w:t>Family Law Act</w:t>
      </w:r>
      <w:r w:rsidRPr="007E1B8A">
        <w:rPr>
          <w:rFonts w:asciiTheme="minorHAnsi" w:hAnsiTheme="minorHAnsi" w:cstheme="minorHAnsi"/>
        </w:rPr>
        <w:t xml:space="preserve">, such as State and Territory courts, by the </w:t>
      </w:r>
      <w:r w:rsidRPr="007E1B8A">
        <w:rPr>
          <w:rFonts w:asciiTheme="minorHAnsi" w:hAnsiTheme="minorHAnsi" w:cstheme="minorHAnsi"/>
          <w:i/>
          <w:iCs/>
        </w:rPr>
        <w:t>Family Law (State and Territory Courts) Rules 2021</w:t>
      </w:r>
      <w:r w:rsidRPr="007E1B8A">
        <w:rPr>
          <w:rFonts w:asciiTheme="minorHAnsi" w:hAnsiTheme="minorHAnsi" w:cstheme="minorHAnsi"/>
        </w:rPr>
        <w:t xml:space="preserve">. They are referred to and defined as the ‘Family Law Rules 2021’ in the practice directions, forms and on the website. </w:t>
      </w:r>
    </w:p>
    <w:p w14:paraId="3D1F8C45" w14:textId="77777777" w:rsidR="007E1B8A" w:rsidRPr="007E1B8A" w:rsidRDefault="007E1B8A" w:rsidP="00924A51">
      <w:pPr>
        <w:pStyle w:val="ListParagraph"/>
        <w:numPr>
          <w:ilvl w:val="0"/>
          <w:numId w:val="15"/>
        </w:numPr>
        <w:spacing w:after="0" w:line="240" w:lineRule="auto"/>
        <w:contextualSpacing w:val="0"/>
        <w:rPr>
          <w:rFonts w:asciiTheme="minorHAnsi" w:hAnsiTheme="minorHAnsi" w:cstheme="minorHAnsi"/>
          <w:b/>
          <w:bCs/>
        </w:rPr>
      </w:pPr>
      <w:r w:rsidRPr="007E1B8A">
        <w:rPr>
          <w:rFonts w:asciiTheme="minorHAnsi" w:hAnsiTheme="minorHAnsi" w:cstheme="minorHAnsi"/>
          <w:b/>
          <w:bCs/>
          <w:i/>
          <w:iCs/>
        </w:rPr>
        <w:t>Federal Circuit and Family Court of Australia (Division 2) (Family Law) Rules 2021</w:t>
      </w:r>
    </w:p>
    <w:p w14:paraId="7E551718" w14:textId="77777777" w:rsidR="007E1B8A" w:rsidRPr="007E1B8A" w:rsidRDefault="007E1B8A" w:rsidP="00924A51">
      <w:pPr>
        <w:pStyle w:val="ListParagraph"/>
        <w:spacing w:after="0" w:line="240" w:lineRule="auto"/>
        <w:rPr>
          <w:rFonts w:asciiTheme="minorHAnsi" w:hAnsiTheme="minorHAnsi" w:cstheme="minorHAnsi"/>
        </w:rPr>
      </w:pPr>
      <w:r w:rsidRPr="007E1B8A">
        <w:rPr>
          <w:rFonts w:asciiTheme="minorHAnsi" w:hAnsiTheme="minorHAnsi" w:cstheme="minorHAnsi"/>
        </w:rPr>
        <w:t>These rules adopt the harmonised family law rules for the FCFCOA Division 2. They are made under the Division 2 power to make rules of court in section 217 of the FCFCOA Act. Aside from adopting the Family Law Rules 2021, there are a small number of additional rules contained in these rules dealing with:</w:t>
      </w:r>
    </w:p>
    <w:p w14:paraId="2163E05E" w14:textId="77777777" w:rsidR="007E1B8A" w:rsidRPr="007E1B8A" w:rsidRDefault="007E1B8A" w:rsidP="00924A51">
      <w:pPr>
        <w:pStyle w:val="ListParagraph"/>
        <w:numPr>
          <w:ilvl w:val="0"/>
          <w:numId w:val="16"/>
        </w:numPr>
        <w:spacing w:after="0" w:line="240" w:lineRule="auto"/>
        <w:contextualSpacing w:val="0"/>
        <w:rPr>
          <w:rFonts w:asciiTheme="minorHAnsi" w:hAnsiTheme="minorHAnsi" w:cstheme="minorHAnsi"/>
        </w:rPr>
      </w:pPr>
      <w:r w:rsidRPr="007E1B8A">
        <w:rPr>
          <w:rFonts w:asciiTheme="minorHAnsi" w:hAnsiTheme="minorHAnsi" w:cstheme="minorHAnsi"/>
        </w:rPr>
        <w:t>Transfers from Division 2 to Division 1;</w:t>
      </w:r>
    </w:p>
    <w:p w14:paraId="0FA33850" w14:textId="77777777" w:rsidR="007E1B8A" w:rsidRPr="007E1B8A" w:rsidRDefault="007E1B8A" w:rsidP="00924A51">
      <w:pPr>
        <w:pStyle w:val="ListParagraph"/>
        <w:numPr>
          <w:ilvl w:val="0"/>
          <w:numId w:val="16"/>
        </w:numPr>
        <w:spacing w:after="0" w:line="240" w:lineRule="auto"/>
        <w:contextualSpacing w:val="0"/>
        <w:rPr>
          <w:rFonts w:asciiTheme="minorHAnsi" w:hAnsiTheme="minorHAnsi" w:cstheme="minorHAnsi"/>
        </w:rPr>
      </w:pPr>
      <w:r w:rsidRPr="007E1B8A">
        <w:rPr>
          <w:rFonts w:asciiTheme="minorHAnsi" w:hAnsiTheme="minorHAnsi" w:cstheme="minorHAnsi"/>
        </w:rPr>
        <w:t>The retention of the existing FCC scale of costs for family law or child support proceedings (with updated amounts), which may be applied instead of the scale of costs in Schedule 3 to the Family Law Rules 2021;</w:t>
      </w:r>
    </w:p>
    <w:p w14:paraId="03B41774" w14:textId="77777777" w:rsidR="007E1B8A" w:rsidRPr="007E1B8A" w:rsidRDefault="007E1B8A" w:rsidP="00924A51">
      <w:pPr>
        <w:pStyle w:val="ListParagraph"/>
        <w:numPr>
          <w:ilvl w:val="0"/>
          <w:numId w:val="16"/>
        </w:numPr>
        <w:spacing w:after="0" w:line="240" w:lineRule="auto"/>
        <w:contextualSpacing w:val="0"/>
        <w:rPr>
          <w:rFonts w:asciiTheme="minorHAnsi" w:hAnsiTheme="minorHAnsi" w:cstheme="minorHAnsi"/>
        </w:rPr>
      </w:pPr>
      <w:r w:rsidRPr="007E1B8A">
        <w:rPr>
          <w:rFonts w:asciiTheme="minorHAnsi" w:hAnsiTheme="minorHAnsi" w:cstheme="minorHAnsi"/>
        </w:rPr>
        <w:t>The delegation of Division 2 specific powers to registrars.</w:t>
      </w:r>
    </w:p>
    <w:p w14:paraId="2EF46E12" w14:textId="77777777" w:rsidR="007E1B8A" w:rsidRPr="007E1B8A" w:rsidRDefault="007E1B8A" w:rsidP="00924A51">
      <w:pPr>
        <w:pStyle w:val="ListParagraph"/>
        <w:spacing w:after="0" w:line="240" w:lineRule="auto"/>
        <w:rPr>
          <w:rFonts w:asciiTheme="minorHAnsi" w:hAnsiTheme="minorHAnsi" w:cstheme="minorHAnsi"/>
        </w:rPr>
      </w:pPr>
    </w:p>
    <w:p w14:paraId="722F7377" w14:textId="77777777" w:rsidR="007E1B8A" w:rsidRPr="007E1B8A" w:rsidRDefault="007E1B8A" w:rsidP="00A64020">
      <w:pPr>
        <w:pStyle w:val="ListParagraph"/>
        <w:numPr>
          <w:ilvl w:val="0"/>
          <w:numId w:val="15"/>
        </w:numPr>
        <w:spacing w:after="0" w:line="240" w:lineRule="auto"/>
        <w:contextualSpacing w:val="0"/>
        <w:rPr>
          <w:rFonts w:asciiTheme="minorHAnsi" w:hAnsiTheme="minorHAnsi" w:cstheme="minorHAnsi"/>
          <w:b/>
          <w:bCs/>
        </w:rPr>
      </w:pPr>
      <w:r w:rsidRPr="007E1B8A">
        <w:rPr>
          <w:rFonts w:asciiTheme="minorHAnsi" w:hAnsiTheme="minorHAnsi" w:cstheme="minorHAnsi"/>
          <w:b/>
          <w:bCs/>
          <w:i/>
          <w:iCs/>
        </w:rPr>
        <w:t>Federal Circuit and Family Court of Australia (Division 2) (General Federal Law) Rules 2021</w:t>
      </w:r>
    </w:p>
    <w:p w14:paraId="216D8EA6" w14:textId="77777777" w:rsidR="007E1B8A" w:rsidRPr="007E1B8A" w:rsidRDefault="007E1B8A" w:rsidP="00A64020">
      <w:pPr>
        <w:pStyle w:val="ListParagraph"/>
        <w:spacing w:after="240" w:line="240" w:lineRule="auto"/>
        <w:contextualSpacing w:val="0"/>
        <w:rPr>
          <w:rFonts w:asciiTheme="minorHAnsi" w:hAnsiTheme="minorHAnsi" w:cstheme="minorHAnsi"/>
        </w:rPr>
      </w:pPr>
      <w:r w:rsidRPr="007E1B8A">
        <w:rPr>
          <w:rFonts w:asciiTheme="minorHAnsi" w:hAnsiTheme="minorHAnsi" w:cstheme="minorHAnsi"/>
        </w:rPr>
        <w:t xml:space="preserve">These rules are the relevant provisions of the </w:t>
      </w:r>
      <w:r w:rsidRPr="007E1B8A">
        <w:rPr>
          <w:rFonts w:asciiTheme="minorHAnsi" w:hAnsiTheme="minorHAnsi" w:cstheme="minorHAnsi"/>
          <w:i/>
          <w:iCs/>
        </w:rPr>
        <w:t>Federal Circuit Court Rules 2001</w:t>
      </w:r>
      <w:r w:rsidRPr="007E1B8A">
        <w:rPr>
          <w:rFonts w:asciiTheme="minorHAnsi" w:hAnsiTheme="minorHAnsi" w:cstheme="minorHAnsi"/>
        </w:rPr>
        <w:t xml:space="preserve"> that applied to general federal law proceedings renumbered and updated where necessary. The </w:t>
      </w:r>
      <w:r w:rsidRPr="007E1B8A">
        <w:rPr>
          <w:rFonts w:asciiTheme="minorHAnsi" w:hAnsiTheme="minorHAnsi" w:cstheme="minorHAnsi"/>
          <w:i/>
          <w:iCs/>
        </w:rPr>
        <w:t xml:space="preserve">Federal Circuit Court Rules 2001 </w:t>
      </w:r>
      <w:r w:rsidRPr="007E1B8A">
        <w:rPr>
          <w:rFonts w:asciiTheme="minorHAnsi" w:hAnsiTheme="minorHAnsi" w:cstheme="minorHAnsi"/>
        </w:rPr>
        <w:t xml:space="preserve">are automatically repealed by the </w:t>
      </w:r>
      <w:r w:rsidRPr="007E1B8A">
        <w:rPr>
          <w:rFonts w:asciiTheme="minorHAnsi" w:hAnsiTheme="minorHAnsi" w:cstheme="minorHAnsi"/>
          <w:i/>
          <w:iCs/>
        </w:rPr>
        <w:t xml:space="preserve">Federal Circuit and Family Court of Australia (Consequential Amendments and Transitional Provisions) Act 2021 </w:t>
      </w:r>
      <w:r w:rsidRPr="007E1B8A">
        <w:rPr>
          <w:rFonts w:asciiTheme="minorHAnsi" w:hAnsiTheme="minorHAnsi" w:cstheme="minorHAnsi"/>
        </w:rPr>
        <w:t xml:space="preserve">on 1 September 2021. </w:t>
      </w:r>
    </w:p>
    <w:p w14:paraId="209A1704" w14:textId="70F97BA7" w:rsidR="007E1B8A" w:rsidRPr="007E1B8A" w:rsidRDefault="00790732" w:rsidP="00A64020">
      <w:pPr>
        <w:pStyle w:val="ListParagraph"/>
        <w:numPr>
          <w:ilvl w:val="0"/>
          <w:numId w:val="15"/>
        </w:numPr>
        <w:spacing w:after="0" w:line="240" w:lineRule="auto"/>
        <w:contextualSpacing w:val="0"/>
        <w:rPr>
          <w:rFonts w:asciiTheme="minorHAnsi" w:hAnsiTheme="minorHAnsi" w:cstheme="minorHAnsi"/>
          <w:b/>
          <w:bCs/>
        </w:rPr>
      </w:pPr>
      <w:hyperlink r:id="rId10" w:history="1">
        <w:r w:rsidR="007E1B8A" w:rsidRPr="009421C6">
          <w:rPr>
            <w:rStyle w:val="Hyperlink"/>
            <w:rFonts w:asciiTheme="minorHAnsi" w:hAnsiTheme="minorHAnsi" w:cstheme="minorHAnsi"/>
            <w:b/>
            <w:bCs/>
            <w:i/>
            <w:iCs/>
          </w:rPr>
          <w:t>Federal Circuit and Family Court of Australia (Division 2) (Bankruptcy) Rules 2021</w:t>
        </w:r>
      </w:hyperlink>
    </w:p>
    <w:p w14:paraId="5271C65A" w14:textId="21C7C742" w:rsidR="007E1B8A" w:rsidRPr="007E1B8A" w:rsidRDefault="007E1B8A" w:rsidP="00A64020">
      <w:pPr>
        <w:pStyle w:val="ListParagraph"/>
        <w:spacing w:after="240" w:line="240" w:lineRule="auto"/>
        <w:contextualSpacing w:val="0"/>
        <w:rPr>
          <w:rFonts w:asciiTheme="minorHAnsi" w:hAnsiTheme="minorHAnsi" w:cstheme="minorHAnsi"/>
        </w:rPr>
      </w:pPr>
      <w:r w:rsidRPr="007E1B8A">
        <w:rPr>
          <w:rFonts w:asciiTheme="minorHAnsi" w:hAnsiTheme="minorHAnsi" w:cstheme="minorHAnsi"/>
        </w:rPr>
        <w:t xml:space="preserve">These rules are the provisions of the </w:t>
      </w:r>
      <w:r w:rsidRPr="007E1B8A">
        <w:rPr>
          <w:rFonts w:asciiTheme="minorHAnsi" w:hAnsiTheme="minorHAnsi" w:cstheme="minorHAnsi"/>
          <w:i/>
          <w:iCs/>
        </w:rPr>
        <w:t>Federal Circuit Court</w:t>
      </w:r>
      <w:r>
        <w:rPr>
          <w:rFonts w:asciiTheme="minorHAnsi" w:hAnsiTheme="minorHAnsi" w:cstheme="minorHAnsi"/>
          <w:i/>
          <w:iCs/>
        </w:rPr>
        <w:t xml:space="preserve"> </w:t>
      </w:r>
      <w:r w:rsidRPr="007E1B8A">
        <w:rPr>
          <w:rFonts w:asciiTheme="minorHAnsi" w:hAnsiTheme="minorHAnsi" w:cstheme="minorHAnsi"/>
          <w:i/>
          <w:iCs/>
        </w:rPr>
        <w:t>(Bankruptcy) Rules 2016</w:t>
      </w:r>
      <w:r w:rsidRPr="007E1B8A">
        <w:rPr>
          <w:rFonts w:asciiTheme="minorHAnsi" w:hAnsiTheme="minorHAnsi" w:cstheme="minorHAnsi"/>
        </w:rPr>
        <w:t xml:space="preserve"> that applied to bankruptcy proceedings renumbered and updated where necessary. The </w:t>
      </w:r>
      <w:r w:rsidRPr="007E1B8A">
        <w:rPr>
          <w:rFonts w:asciiTheme="minorHAnsi" w:hAnsiTheme="minorHAnsi" w:cstheme="minorHAnsi"/>
          <w:i/>
          <w:iCs/>
        </w:rPr>
        <w:t xml:space="preserve">Federal Circuit Court (Bankruptcy) Rules 2016 </w:t>
      </w:r>
      <w:r w:rsidRPr="007E1B8A">
        <w:rPr>
          <w:rFonts w:asciiTheme="minorHAnsi" w:hAnsiTheme="minorHAnsi" w:cstheme="minorHAnsi"/>
        </w:rPr>
        <w:t xml:space="preserve">are automatically repealed by the </w:t>
      </w:r>
      <w:r w:rsidRPr="007E1B8A">
        <w:rPr>
          <w:rFonts w:asciiTheme="minorHAnsi" w:hAnsiTheme="minorHAnsi" w:cstheme="minorHAnsi"/>
          <w:i/>
          <w:iCs/>
        </w:rPr>
        <w:t xml:space="preserve">Federal Circuit and Family Court of Australia (Consequential Amendments and Transitional Provisions) Act 2021 </w:t>
      </w:r>
      <w:r w:rsidRPr="007E1B8A">
        <w:rPr>
          <w:rFonts w:asciiTheme="minorHAnsi" w:hAnsiTheme="minorHAnsi" w:cstheme="minorHAnsi"/>
        </w:rPr>
        <w:t xml:space="preserve">on 1 September 2021. </w:t>
      </w:r>
    </w:p>
    <w:p w14:paraId="51BC84A5" w14:textId="77777777" w:rsidR="007E1B8A" w:rsidRPr="007E1B8A" w:rsidRDefault="007E1B8A" w:rsidP="00A64020">
      <w:pPr>
        <w:pStyle w:val="ListParagraph"/>
        <w:numPr>
          <w:ilvl w:val="0"/>
          <w:numId w:val="15"/>
        </w:numPr>
        <w:spacing w:after="0" w:line="240" w:lineRule="auto"/>
        <w:contextualSpacing w:val="0"/>
        <w:rPr>
          <w:rFonts w:asciiTheme="minorHAnsi" w:hAnsiTheme="minorHAnsi" w:cstheme="minorHAnsi"/>
          <w:b/>
          <w:bCs/>
        </w:rPr>
      </w:pPr>
      <w:r w:rsidRPr="007E1B8A">
        <w:rPr>
          <w:rFonts w:asciiTheme="minorHAnsi" w:hAnsiTheme="minorHAnsi" w:cstheme="minorHAnsi"/>
          <w:b/>
          <w:bCs/>
          <w:i/>
          <w:iCs/>
        </w:rPr>
        <w:t>Family Law Repeal Rules 2021</w:t>
      </w:r>
    </w:p>
    <w:p w14:paraId="4839A228" w14:textId="77777777" w:rsidR="007E1B8A" w:rsidRPr="007E1B8A" w:rsidRDefault="007E1B8A" w:rsidP="00A64020">
      <w:pPr>
        <w:pStyle w:val="ListParagraph"/>
        <w:spacing w:after="240" w:line="240" w:lineRule="auto"/>
        <w:contextualSpacing w:val="0"/>
        <w:rPr>
          <w:rFonts w:asciiTheme="minorHAnsi" w:hAnsiTheme="minorHAnsi" w:cstheme="minorHAnsi"/>
        </w:rPr>
      </w:pPr>
      <w:r w:rsidRPr="007E1B8A">
        <w:rPr>
          <w:rFonts w:asciiTheme="minorHAnsi" w:hAnsiTheme="minorHAnsi" w:cstheme="minorHAnsi"/>
        </w:rPr>
        <w:t xml:space="preserve">These rules repeal the </w:t>
      </w:r>
      <w:r w:rsidRPr="007E1B8A">
        <w:rPr>
          <w:rFonts w:asciiTheme="minorHAnsi" w:hAnsiTheme="minorHAnsi" w:cstheme="minorHAnsi"/>
          <w:i/>
          <w:iCs/>
        </w:rPr>
        <w:t>Family Law Rules 2004</w:t>
      </w:r>
      <w:r w:rsidRPr="007E1B8A">
        <w:rPr>
          <w:rFonts w:asciiTheme="minorHAnsi" w:hAnsiTheme="minorHAnsi" w:cstheme="minorHAnsi"/>
        </w:rPr>
        <w:t xml:space="preserve">. </w:t>
      </w:r>
    </w:p>
    <w:p w14:paraId="5B486A6B" w14:textId="77777777" w:rsidR="007E1B8A" w:rsidRPr="007E1B8A" w:rsidRDefault="007E1B8A" w:rsidP="00A64020">
      <w:pPr>
        <w:pStyle w:val="ListParagraph"/>
        <w:keepNext/>
        <w:numPr>
          <w:ilvl w:val="0"/>
          <w:numId w:val="15"/>
        </w:numPr>
        <w:spacing w:after="0" w:line="240" w:lineRule="auto"/>
        <w:ind w:left="714" w:hanging="357"/>
        <w:contextualSpacing w:val="0"/>
        <w:rPr>
          <w:rFonts w:asciiTheme="minorHAnsi" w:hAnsiTheme="minorHAnsi" w:cstheme="minorHAnsi"/>
          <w:b/>
          <w:bCs/>
        </w:rPr>
      </w:pPr>
      <w:r w:rsidRPr="007E1B8A">
        <w:rPr>
          <w:rFonts w:asciiTheme="minorHAnsi" w:hAnsiTheme="minorHAnsi" w:cstheme="minorHAnsi"/>
          <w:b/>
          <w:bCs/>
          <w:i/>
          <w:iCs/>
        </w:rPr>
        <w:t>Family Law (State and Territory Courts) Rules 2021</w:t>
      </w:r>
    </w:p>
    <w:p w14:paraId="042769E2" w14:textId="77777777" w:rsidR="007E1B8A" w:rsidRPr="007E1B8A" w:rsidRDefault="007E1B8A" w:rsidP="00A64020">
      <w:pPr>
        <w:spacing w:after="240"/>
        <w:ind w:left="720"/>
        <w:rPr>
          <w:rFonts w:asciiTheme="minorHAnsi" w:hAnsiTheme="minorHAnsi" w:cstheme="minorHAnsi"/>
          <w:sz w:val="22"/>
          <w:szCs w:val="22"/>
        </w:rPr>
      </w:pPr>
      <w:r w:rsidRPr="007E1B8A">
        <w:rPr>
          <w:rFonts w:asciiTheme="minorHAnsi" w:hAnsiTheme="minorHAnsi" w:cstheme="minorHAnsi"/>
          <w:sz w:val="22"/>
          <w:szCs w:val="22"/>
        </w:rPr>
        <w:t xml:space="preserve">These rules are the standard rules of court made under section 123 of the </w:t>
      </w:r>
      <w:r w:rsidRPr="007E1B8A">
        <w:rPr>
          <w:rFonts w:asciiTheme="minorHAnsi" w:hAnsiTheme="minorHAnsi" w:cstheme="minorHAnsi"/>
          <w:i/>
          <w:iCs/>
          <w:sz w:val="22"/>
          <w:szCs w:val="22"/>
        </w:rPr>
        <w:t xml:space="preserve">Family Law Act </w:t>
      </w:r>
      <w:r w:rsidRPr="007E1B8A">
        <w:rPr>
          <w:rFonts w:asciiTheme="minorHAnsi" w:hAnsiTheme="minorHAnsi" w:cstheme="minorHAnsi"/>
          <w:sz w:val="22"/>
          <w:szCs w:val="22"/>
        </w:rPr>
        <w:t xml:space="preserve">for all other courts exercising jurisdiction under the </w:t>
      </w:r>
      <w:r w:rsidRPr="007E1B8A">
        <w:rPr>
          <w:rFonts w:asciiTheme="minorHAnsi" w:hAnsiTheme="minorHAnsi" w:cstheme="minorHAnsi"/>
          <w:i/>
          <w:iCs/>
          <w:sz w:val="22"/>
          <w:szCs w:val="22"/>
        </w:rPr>
        <w:t xml:space="preserve">Family Law Act </w:t>
      </w:r>
      <w:r w:rsidRPr="007E1B8A">
        <w:rPr>
          <w:rFonts w:asciiTheme="minorHAnsi" w:hAnsiTheme="minorHAnsi" w:cstheme="minorHAnsi"/>
          <w:sz w:val="22"/>
          <w:szCs w:val="22"/>
        </w:rPr>
        <w:t xml:space="preserve">aside from the FCFCOA. This </w:t>
      </w:r>
      <w:r w:rsidRPr="007E1B8A">
        <w:rPr>
          <w:rFonts w:asciiTheme="minorHAnsi" w:hAnsiTheme="minorHAnsi" w:cstheme="minorHAnsi"/>
          <w:sz w:val="22"/>
          <w:szCs w:val="22"/>
        </w:rPr>
        <w:lastRenderedPageBreak/>
        <w:t xml:space="preserve">instrument also incorporates the recently made </w:t>
      </w:r>
      <w:r w:rsidRPr="007E1B8A">
        <w:rPr>
          <w:rFonts w:asciiTheme="minorHAnsi" w:hAnsiTheme="minorHAnsi" w:cstheme="minorHAnsi"/>
          <w:i/>
          <w:iCs/>
          <w:sz w:val="22"/>
          <w:szCs w:val="22"/>
        </w:rPr>
        <w:t xml:space="preserve">Family Court Rules 2021 </w:t>
      </w:r>
      <w:r w:rsidRPr="007E1B8A">
        <w:rPr>
          <w:rFonts w:asciiTheme="minorHAnsi" w:hAnsiTheme="minorHAnsi" w:cstheme="minorHAnsi"/>
          <w:sz w:val="22"/>
          <w:szCs w:val="22"/>
        </w:rPr>
        <w:t xml:space="preserve">(WA) as the rules of court that apply in the Family Court of Western Australia and the Magistrates Court of Western Australia, and clarifies that those rules prevail in proceedings in the WA courts to the extent of any inconsistency with these Rules. </w:t>
      </w:r>
    </w:p>
    <w:p w14:paraId="18E1883B" w14:textId="77777777" w:rsidR="007E1B8A" w:rsidRPr="009421C6" w:rsidRDefault="007E1B8A" w:rsidP="00924A51">
      <w:pPr>
        <w:rPr>
          <w:rFonts w:asciiTheme="minorHAnsi" w:hAnsiTheme="minorHAnsi" w:cstheme="minorHAnsi"/>
          <w:sz w:val="22"/>
          <w:szCs w:val="22"/>
          <w:u w:val="single"/>
        </w:rPr>
      </w:pPr>
      <w:r w:rsidRPr="005E30FA">
        <w:rPr>
          <w:rFonts w:asciiTheme="minorHAnsi" w:hAnsiTheme="minorHAnsi" w:cstheme="minorHAnsi"/>
          <w:bCs/>
          <w:sz w:val="22"/>
          <w:szCs w:val="22"/>
          <w:u w:val="single"/>
        </w:rPr>
        <w:t>Cross-reference tables</w:t>
      </w:r>
    </w:p>
    <w:p w14:paraId="1F34014C" w14:textId="77777777" w:rsidR="007E1B8A" w:rsidRPr="007E1B8A" w:rsidRDefault="007E1B8A" w:rsidP="00924A51">
      <w:pPr>
        <w:rPr>
          <w:rFonts w:asciiTheme="minorHAnsi" w:hAnsiTheme="minorHAnsi" w:cstheme="minorHAnsi"/>
          <w:sz w:val="22"/>
          <w:szCs w:val="22"/>
        </w:rPr>
      </w:pPr>
      <w:r w:rsidRPr="007E1B8A">
        <w:rPr>
          <w:rFonts w:asciiTheme="minorHAnsi" w:hAnsiTheme="minorHAnsi" w:cstheme="minorHAnsi"/>
          <w:sz w:val="22"/>
          <w:szCs w:val="22"/>
        </w:rPr>
        <w:t>Cross reference tables have been drafted that indicate where provisions of the FLRs or FCCRs can be found in the new rules, or if they have been omitted. These are:</w:t>
      </w:r>
    </w:p>
    <w:p w14:paraId="29228D7D" w14:textId="77777777" w:rsidR="007E1B8A" w:rsidRPr="007E1B8A" w:rsidRDefault="007E1B8A" w:rsidP="00924A51">
      <w:pPr>
        <w:pStyle w:val="ListParagraph"/>
        <w:numPr>
          <w:ilvl w:val="0"/>
          <w:numId w:val="17"/>
        </w:numPr>
        <w:spacing w:after="0" w:line="240" w:lineRule="auto"/>
        <w:contextualSpacing w:val="0"/>
        <w:rPr>
          <w:rFonts w:asciiTheme="minorHAnsi" w:hAnsiTheme="minorHAnsi" w:cstheme="minorHAnsi"/>
        </w:rPr>
      </w:pPr>
      <w:r w:rsidRPr="007E1B8A">
        <w:rPr>
          <w:rFonts w:asciiTheme="minorHAnsi" w:hAnsiTheme="minorHAnsi" w:cstheme="minorHAnsi"/>
        </w:rPr>
        <w:t xml:space="preserve">Cross-reference table between the </w:t>
      </w:r>
      <w:r w:rsidRPr="007E1B8A">
        <w:rPr>
          <w:rFonts w:asciiTheme="minorHAnsi" w:hAnsiTheme="minorHAnsi" w:cstheme="minorHAnsi"/>
          <w:i/>
          <w:iCs/>
        </w:rPr>
        <w:t>Family Law Rules 2004</w:t>
      </w:r>
      <w:r w:rsidRPr="007E1B8A">
        <w:rPr>
          <w:rFonts w:asciiTheme="minorHAnsi" w:hAnsiTheme="minorHAnsi" w:cstheme="minorHAnsi"/>
        </w:rPr>
        <w:t xml:space="preserve"> and Family Law Rules 2021</w:t>
      </w:r>
    </w:p>
    <w:p w14:paraId="2D9AB5D3" w14:textId="77777777" w:rsidR="007E1B8A" w:rsidRPr="007E1B8A" w:rsidRDefault="007E1B8A" w:rsidP="00924A51">
      <w:pPr>
        <w:pStyle w:val="ListParagraph"/>
        <w:numPr>
          <w:ilvl w:val="0"/>
          <w:numId w:val="17"/>
        </w:numPr>
        <w:spacing w:after="0" w:line="240" w:lineRule="auto"/>
        <w:contextualSpacing w:val="0"/>
        <w:rPr>
          <w:rFonts w:asciiTheme="minorHAnsi" w:hAnsiTheme="minorHAnsi" w:cstheme="minorHAnsi"/>
        </w:rPr>
      </w:pPr>
      <w:r w:rsidRPr="007E1B8A">
        <w:rPr>
          <w:rFonts w:asciiTheme="minorHAnsi" w:hAnsiTheme="minorHAnsi" w:cstheme="minorHAnsi"/>
        </w:rPr>
        <w:t xml:space="preserve">Cross-reference table between the </w:t>
      </w:r>
      <w:r w:rsidRPr="007E1B8A">
        <w:rPr>
          <w:rFonts w:asciiTheme="minorHAnsi" w:hAnsiTheme="minorHAnsi" w:cstheme="minorHAnsi"/>
          <w:i/>
          <w:iCs/>
        </w:rPr>
        <w:t xml:space="preserve">Federal Circuit Court Rules 2001 </w:t>
      </w:r>
      <w:r w:rsidRPr="007E1B8A">
        <w:rPr>
          <w:rFonts w:asciiTheme="minorHAnsi" w:hAnsiTheme="minorHAnsi" w:cstheme="minorHAnsi"/>
        </w:rPr>
        <w:t>and the Family Law Rules 2021</w:t>
      </w:r>
    </w:p>
    <w:p w14:paraId="233E2916" w14:textId="77777777" w:rsidR="007E1B8A" w:rsidRPr="007E1B8A" w:rsidRDefault="007E1B8A" w:rsidP="00A64020">
      <w:pPr>
        <w:pStyle w:val="ListParagraph"/>
        <w:numPr>
          <w:ilvl w:val="0"/>
          <w:numId w:val="17"/>
        </w:numPr>
        <w:spacing w:line="240" w:lineRule="auto"/>
        <w:contextualSpacing w:val="0"/>
        <w:rPr>
          <w:rFonts w:asciiTheme="minorHAnsi" w:hAnsiTheme="minorHAnsi" w:cstheme="minorHAnsi"/>
        </w:rPr>
      </w:pPr>
      <w:r w:rsidRPr="007E1B8A">
        <w:rPr>
          <w:rFonts w:asciiTheme="minorHAnsi" w:hAnsiTheme="minorHAnsi" w:cstheme="minorHAnsi"/>
        </w:rPr>
        <w:t xml:space="preserve">Cross-reference table between the </w:t>
      </w:r>
      <w:r w:rsidRPr="007E1B8A">
        <w:rPr>
          <w:rFonts w:asciiTheme="minorHAnsi" w:hAnsiTheme="minorHAnsi" w:cstheme="minorHAnsi"/>
          <w:i/>
          <w:iCs/>
        </w:rPr>
        <w:t xml:space="preserve">Federal Circuit Court Rules 2001 </w:t>
      </w:r>
      <w:r w:rsidRPr="007E1B8A">
        <w:rPr>
          <w:rFonts w:asciiTheme="minorHAnsi" w:hAnsiTheme="minorHAnsi" w:cstheme="minorHAnsi"/>
        </w:rPr>
        <w:t>and the FCFC Div 2 General Federal Law Rules 2021</w:t>
      </w:r>
    </w:p>
    <w:p w14:paraId="76E720BF" w14:textId="77777777" w:rsidR="007E1B8A" w:rsidRPr="005E30FA" w:rsidRDefault="007E1B8A" w:rsidP="00924A51">
      <w:pPr>
        <w:rPr>
          <w:rFonts w:asciiTheme="minorHAnsi" w:hAnsiTheme="minorHAnsi" w:cstheme="minorHAnsi"/>
          <w:bCs/>
          <w:sz w:val="22"/>
          <w:szCs w:val="22"/>
          <w:u w:val="single"/>
        </w:rPr>
      </w:pPr>
      <w:r w:rsidRPr="005E30FA">
        <w:rPr>
          <w:rFonts w:asciiTheme="minorHAnsi" w:hAnsiTheme="minorHAnsi" w:cstheme="minorHAnsi"/>
          <w:bCs/>
          <w:sz w:val="22"/>
          <w:szCs w:val="22"/>
          <w:u w:val="single"/>
        </w:rPr>
        <w:t>Transitional arrangements</w:t>
      </w:r>
    </w:p>
    <w:p w14:paraId="1BE02EA8" w14:textId="77777777" w:rsidR="007E1B8A" w:rsidRPr="007E1B8A" w:rsidRDefault="007E1B8A" w:rsidP="00A64020">
      <w:pPr>
        <w:spacing w:after="240"/>
        <w:rPr>
          <w:rFonts w:asciiTheme="minorHAnsi" w:hAnsiTheme="minorHAnsi" w:cstheme="minorHAnsi"/>
          <w:sz w:val="22"/>
          <w:szCs w:val="22"/>
        </w:rPr>
      </w:pPr>
      <w:r w:rsidRPr="007E1B8A">
        <w:rPr>
          <w:rFonts w:asciiTheme="minorHAnsi" w:hAnsiTheme="minorHAnsi" w:cstheme="minorHAnsi"/>
          <w:sz w:val="22"/>
          <w:szCs w:val="22"/>
        </w:rPr>
        <w:t>A practice direction has also been drafted to deal with transitional arrangements, and how the rules should apply to proceedings commenced before 1 September 2021 and not yet determined. Generally speaking, the new rules apply to all new proceedings from 1 September 2021, and all existing proceedings not finally determined before 1 September. However, the Court retains the discretion to dispense with compliance with any provision of the new rules at all times, including where application of the new rules would operate unfairly or cause injustice.</w:t>
      </w:r>
    </w:p>
    <w:p w14:paraId="3AA1D842" w14:textId="3BDB8C27" w:rsidR="007E1B8A" w:rsidRPr="007E1B8A" w:rsidRDefault="007E1B8A" w:rsidP="00A64020">
      <w:pPr>
        <w:spacing w:after="240"/>
        <w:rPr>
          <w:rFonts w:asciiTheme="minorHAnsi" w:hAnsiTheme="minorHAnsi" w:cstheme="minorHAnsi"/>
          <w:sz w:val="22"/>
          <w:szCs w:val="22"/>
        </w:rPr>
      </w:pPr>
      <w:r w:rsidRPr="007E1B8A">
        <w:rPr>
          <w:rFonts w:asciiTheme="minorHAnsi" w:hAnsiTheme="minorHAnsi" w:cstheme="minorHAnsi"/>
          <w:sz w:val="22"/>
          <w:szCs w:val="22"/>
        </w:rPr>
        <w:t xml:space="preserve">All of the rule instruments and the above documents can be accessed and downloaded from the following link: </w:t>
      </w:r>
      <w:hyperlink r:id="rId11" w:history="1">
        <w:r w:rsidRPr="007E1B8A">
          <w:rPr>
            <w:rStyle w:val="Hyperlink"/>
            <w:rFonts w:asciiTheme="minorHAnsi" w:hAnsiTheme="minorHAnsi" w:cstheme="minorHAnsi"/>
            <w:sz w:val="22"/>
            <w:szCs w:val="22"/>
          </w:rPr>
          <w:t>FCFCOA Rules of Court</w:t>
        </w:r>
      </w:hyperlink>
      <w:r w:rsidR="009421C6">
        <w:rPr>
          <w:rStyle w:val="Hyperlink"/>
          <w:rFonts w:asciiTheme="minorHAnsi" w:hAnsiTheme="minorHAnsi" w:cstheme="minorHAnsi"/>
          <w:sz w:val="22"/>
          <w:szCs w:val="22"/>
        </w:rPr>
        <w:t xml:space="preserve"> .</w:t>
      </w:r>
    </w:p>
    <w:p w14:paraId="63E59477" w14:textId="150399EF" w:rsidR="007E1B8A" w:rsidRPr="00404E7C" w:rsidRDefault="007E1B8A" w:rsidP="00924A51">
      <w:pPr>
        <w:rPr>
          <w:rFonts w:asciiTheme="minorHAnsi" w:hAnsiTheme="minorHAnsi" w:cstheme="minorHAnsi"/>
          <w:b/>
          <w:bCs/>
          <w:sz w:val="22"/>
          <w:szCs w:val="22"/>
          <w:lang w:eastAsia="zh-CN"/>
        </w:rPr>
      </w:pPr>
      <w:r w:rsidRPr="00404E7C">
        <w:rPr>
          <w:rFonts w:asciiTheme="minorHAnsi" w:hAnsiTheme="minorHAnsi" w:cstheme="minorHAnsi"/>
          <w:b/>
          <w:bCs/>
          <w:sz w:val="22"/>
          <w:szCs w:val="22"/>
          <w:lang w:eastAsia="zh-CN"/>
        </w:rPr>
        <w:t xml:space="preserve">New fcfcoa.gov.au website and family law </w:t>
      </w:r>
      <w:r w:rsidR="005E30FA">
        <w:rPr>
          <w:rFonts w:asciiTheme="minorHAnsi" w:hAnsiTheme="minorHAnsi" w:cstheme="minorHAnsi"/>
          <w:b/>
          <w:bCs/>
          <w:sz w:val="22"/>
          <w:szCs w:val="22"/>
          <w:lang w:eastAsia="zh-CN"/>
        </w:rPr>
        <w:t>informational videos</w:t>
      </w:r>
    </w:p>
    <w:p w14:paraId="797D80EE" w14:textId="77777777" w:rsidR="007E1B8A" w:rsidRDefault="007E1B8A" w:rsidP="00A64020">
      <w:pPr>
        <w:spacing w:after="240"/>
        <w:rPr>
          <w:rFonts w:asciiTheme="minorHAnsi" w:eastAsiaTheme="minorHAnsi" w:hAnsiTheme="minorHAnsi" w:cstheme="minorHAnsi"/>
          <w:bCs/>
          <w:sz w:val="22"/>
          <w:szCs w:val="22"/>
        </w:rPr>
      </w:pPr>
      <w:r>
        <w:rPr>
          <w:rFonts w:asciiTheme="minorHAnsi" w:eastAsiaTheme="minorHAnsi" w:hAnsiTheme="minorHAnsi" w:cstheme="minorHAnsi"/>
          <w:bCs/>
          <w:sz w:val="22"/>
          <w:szCs w:val="22"/>
        </w:rPr>
        <w:t xml:space="preserve">The </w:t>
      </w:r>
      <w:r w:rsidRPr="00404E7C">
        <w:rPr>
          <w:rFonts w:asciiTheme="minorHAnsi" w:eastAsiaTheme="minorHAnsi" w:hAnsiTheme="minorHAnsi" w:cstheme="minorHAnsi"/>
          <w:bCs/>
          <w:sz w:val="22"/>
          <w:szCs w:val="22"/>
        </w:rPr>
        <w:t xml:space="preserve">new website, </w:t>
      </w:r>
      <w:hyperlink r:id="rId12" w:history="1">
        <w:r w:rsidRPr="00404E7C">
          <w:rPr>
            <w:rFonts w:asciiTheme="minorHAnsi" w:eastAsiaTheme="minorHAnsi" w:hAnsiTheme="minorHAnsi"/>
            <w:sz w:val="22"/>
            <w:szCs w:val="22"/>
          </w:rPr>
          <w:t>www.fcfcoa.gov.au</w:t>
        </w:r>
      </w:hyperlink>
      <w:r>
        <w:rPr>
          <w:rFonts w:asciiTheme="minorHAnsi" w:eastAsiaTheme="minorHAnsi" w:hAnsiTheme="minorHAnsi"/>
          <w:sz w:val="22"/>
          <w:szCs w:val="22"/>
        </w:rPr>
        <w:t xml:space="preserve"> will go live on 1 September and </w:t>
      </w:r>
      <w:r w:rsidRPr="00404E7C">
        <w:rPr>
          <w:rFonts w:asciiTheme="minorHAnsi" w:eastAsiaTheme="minorHAnsi" w:hAnsiTheme="minorHAnsi" w:cstheme="minorHAnsi"/>
          <w:bCs/>
          <w:sz w:val="22"/>
          <w:szCs w:val="22"/>
        </w:rPr>
        <w:t xml:space="preserve">has been designed to provide users with simplified access to, and navigation of, the Court’s information. Instead of having two separate websites, the single website will make it easier for the profession, litigants and the public to source specific information about family law, migration and general federal law. </w:t>
      </w:r>
    </w:p>
    <w:p w14:paraId="3C98B5DB" w14:textId="77777777" w:rsidR="007E1B8A" w:rsidRDefault="007E1B8A" w:rsidP="00A64020">
      <w:pPr>
        <w:spacing w:after="240"/>
        <w:rPr>
          <w:rFonts w:asciiTheme="minorHAnsi" w:eastAsiaTheme="minorHAnsi" w:hAnsiTheme="minorHAnsi" w:cstheme="minorHAnsi"/>
          <w:bCs/>
          <w:sz w:val="22"/>
          <w:szCs w:val="22"/>
        </w:rPr>
      </w:pPr>
      <w:r w:rsidRPr="00404E7C">
        <w:rPr>
          <w:rFonts w:asciiTheme="minorHAnsi" w:eastAsiaTheme="minorHAnsi" w:hAnsiTheme="minorHAnsi" w:cstheme="minorHAnsi"/>
          <w:bCs/>
          <w:sz w:val="22"/>
          <w:szCs w:val="22"/>
        </w:rPr>
        <w:t xml:space="preserve">There </w:t>
      </w:r>
      <w:r>
        <w:rPr>
          <w:rFonts w:asciiTheme="minorHAnsi" w:eastAsiaTheme="minorHAnsi" w:hAnsiTheme="minorHAnsi" w:cstheme="minorHAnsi"/>
          <w:bCs/>
          <w:sz w:val="22"/>
          <w:szCs w:val="22"/>
        </w:rPr>
        <w:t xml:space="preserve">will also be </w:t>
      </w:r>
      <w:r w:rsidRPr="00404E7C">
        <w:rPr>
          <w:rFonts w:asciiTheme="minorHAnsi" w:eastAsiaTheme="minorHAnsi" w:hAnsiTheme="minorHAnsi" w:cstheme="minorHAnsi"/>
          <w:bCs/>
          <w:sz w:val="22"/>
          <w:szCs w:val="22"/>
        </w:rPr>
        <w:t xml:space="preserve">three professionally created videos published on the </w:t>
      </w:r>
      <w:r>
        <w:rPr>
          <w:rFonts w:asciiTheme="minorHAnsi" w:eastAsiaTheme="minorHAnsi" w:hAnsiTheme="minorHAnsi" w:cstheme="minorHAnsi"/>
          <w:bCs/>
          <w:sz w:val="22"/>
          <w:szCs w:val="22"/>
        </w:rPr>
        <w:t xml:space="preserve">homepage of the </w:t>
      </w:r>
      <w:r w:rsidRPr="00404E7C">
        <w:rPr>
          <w:rFonts w:asciiTheme="minorHAnsi" w:eastAsiaTheme="minorHAnsi" w:hAnsiTheme="minorHAnsi" w:cstheme="minorHAnsi"/>
          <w:bCs/>
          <w:sz w:val="22"/>
          <w:szCs w:val="22"/>
        </w:rPr>
        <w:t>new website. One is aimed at assisting parties</w:t>
      </w:r>
      <w:r>
        <w:rPr>
          <w:rFonts w:asciiTheme="minorHAnsi" w:eastAsiaTheme="minorHAnsi" w:hAnsiTheme="minorHAnsi" w:cstheme="minorHAnsi"/>
          <w:bCs/>
          <w:sz w:val="22"/>
          <w:szCs w:val="22"/>
        </w:rPr>
        <w:t>,</w:t>
      </w:r>
      <w:r w:rsidRPr="00404E7C">
        <w:rPr>
          <w:rFonts w:asciiTheme="minorHAnsi" w:eastAsiaTheme="minorHAnsi" w:hAnsiTheme="minorHAnsi" w:cstheme="minorHAnsi"/>
          <w:bCs/>
          <w:sz w:val="22"/>
          <w:szCs w:val="22"/>
        </w:rPr>
        <w:t xml:space="preserve"> before they commence litigation, to consider better ways to separate and encourage the use of dispute resolution. The other two videos provide details about the new FCFCOA, and a step-by-step guide on what parties can expect when they come to court. </w:t>
      </w:r>
    </w:p>
    <w:p w14:paraId="76AA19DA" w14:textId="28835311" w:rsidR="00924B4B" w:rsidRPr="009D7A91" w:rsidRDefault="00924B4B" w:rsidP="00924A51">
      <w:pPr>
        <w:pStyle w:val="BodyText"/>
        <w:spacing w:after="0"/>
        <w:ind w:right="-142"/>
        <w:jc w:val="both"/>
        <w:rPr>
          <w:rFonts w:asciiTheme="minorHAnsi" w:hAnsiTheme="minorHAnsi" w:cstheme="minorHAnsi"/>
          <w:b/>
          <w:bCs/>
          <w:sz w:val="22"/>
          <w:szCs w:val="22"/>
        </w:rPr>
      </w:pPr>
      <w:r w:rsidRPr="009D7A91">
        <w:rPr>
          <w:rFonts w:asciiTheme="minorHAnsi" w:hAnsiTheme="minorHAnsi" w:cstheme="minorHAnsi"/>
          <w:b/>
          <w:bCs/>
          <w:sz w:val="22"/>
          <w:szCs w:val="22"/>
        </w:rPr>
        <w:t xml:space="preserve">Appointment of </w:t>
      </w:r>
      <w:r w:rsidR="005E30FA">
        <w:rPr>
          <w:rFonts w:asciiTheme="minorHAnsi" w:hAnsiTheme="minorHAnsi" w:cstheme="minorHAnsi"/>
          <w:b/>
          <w:bCs/>
          <w:sz w:val="22"/>
          <w:szCs w:val="22"/>
        </w:rPr>
        <w:t>J</w:t>
      </w:r>
      <w:r w:rsidRPr="009D7A91">
        <w:rPr>
          <w:rFonts w:asciiTheme="minorHAnsi" w:hAnsiTheme="minorHAnsi" w:cstheme="minorHAnsi"/>
          <w:b/>
          <w:bCs/>
          <w:sz w:val="22"/>
          <w:szCs w:val="22"/>
        </w:rPr>
        <w:t xml:space="preserve">udicial </w:t>
      </w:r>
      <w:r w:rsidR="005E30FA">
        <w:rPr>
          <w:rFonts w:asciiTheme="minorHAnsi" w:hAnsiTheme="minorHAnsi" w:cstheme="minorHAnsi"/>
          <w:b/>
          <w:bCs/>
          <w:sz w:val="22"/>
          <w:szCs w:val="22"/>
        </w:rPr>
        <w:t>R</w:t>
      </w:r>
      <w:r w:rsidRPr="009D7A91">
        <w:rPr>
          <w:rFonts w:asciiTheme="minorHAnsi" w:hAnsiTheme="minorHAnsi" w:cstheme="minorHAnsi"/>
          <w:b/>
          <w:bCs/>
          <w:sz w:val="22"/>
          <w:szCs w:val="22"/>
        </w:rPr>
        <w:t>egistrar resources across Australia</w:t>
      </w:r>
      <w:r w:rsidR="005E30FA">
        <w:rPr>
          <w:rFonts w:asciiTheme="minorHAnsi" w:hAnsiTheme="minorHAnsi" w:cstheme="minorHAnsi"/>
          <w:b/>
          <w:bCs/>
          <w:sz w:val="22"/>
          <w:szCs w:val="22"/>
        </w:rPr>
        <w:t xml:space="preserve"> (family law)</w:t>
      </w:r>
    </w:p>
    <w:p w14:paraId="6EFD223D" w14:textId="52531BD9" w:rsidR="000044A4" w:rsidRPr="009D7A91" w:rsidRDefault="000044A4" w:rsidP="00924A51">
      <w:pPr>
        <w:pStyle w:val="BodyText"/>
        <w:spacing w:after="0"/>
        <w:ind w:right="-142"/>
        <w:jc w:val="both"/>
        <w:rPr>
          <w:rFonts w:asciiTheme="minorHAnsi" w:hAnsiTheme="minorHAnsi" w:cstheme="minorHAnsi"/>
          <w:bCs/>
          <w:sz w:val="22"/>
          <w:szCs w:val="22"/>
        </w:rPr>
      </w:pPr>
      <w:r w:rsidRPr="009D7A91">
        <w:rPr>
          <w:rFonts w:asciiTheme="minorHAnsi" w:hAnsiTheme="minorHAnsi" w:cstheme="minorHAnsi"/>
          <w:bCs/>
          <w:sz w:val="22"/>
          <w:szCs w:val="22"/>
        </w:rPr>
        <w:t xml:space="preserve">This week, the Courts announced the appointment of 42 experienced family law practitioners </w:t>
      </w:r>
      <w:r w:rsidR="00924B4B" w:rsidRPr="009D7A91">
        <w:rPr>
          <w:rFonts w:asciiTheme="minorHAnsi" w:hAnsiTheme="minorHAnsi" w:cstheme="minorHAnsi"/>
          <w:bCs/>
          <w:sz w:val="22"/>
          <w:szCs w:val="22"/>
        </w:rPr>
        <w:t xml:space="preserve">who will </w:t>
      </w:r>
      <w:r w:rsidRPr="009D7A91">
        <w:rPr>
          <w:rFonts w:asciiTheme="minorHAnsi" w:hAnsiTheme="minorHAnsi" w:cstheme="minorHAnsi"/>
          <w:bCs/>
          <w:sz w:val="22"/>
          <w:szCs w:val="22"/>
        </w:rPr>
        <w:t xml:space="preserve">provide significant support to family law Judges across Australia. These appointments form part of a widespread recruitment campaign which commenced last year, and is ongoing. The </w:t>
      </w:r>
      <w:r w:rsidR="005E30FA">
        <w:rPr>
          <w:rFonts w:asciiTheme="minorHAnsi" w:hAnsiTheme="minorHAnsi" w:cstheme="minorHAnsi"/>
          <w:bCs/>
          <w:sz w:val="22"/>
          <w:szCs w:val="22"/>
        </w:rPr>
        <w:t xml:space="preserve">family law </w:t>
      </w:r>
      <w:r w:rsidRPr="009D7A91">
        <w:rPr>
          <w:rFonts w:asciiTheme="minorHAnsi" w:hAnsiTheme="minorHAnsi" w:cstheme="minorHAnsi"/>
          <w:bCs/>
          <w:sz w:val="22"/>
          <w:szCs w:val="22"/>
        </w:rPr>
        <w:t xml:space="preserve">registrar resources will play an enhanced role in the new </w:t>
      </w:r>
      <w:r w:rsidR="00924B4B" w:rsidRPr="009D7A91">
        <w:rPr>
          <w:rFonts w:asciiTheme="minorHAnsi" w:hAnsiTheme="minorHAnsi" w:cstheme="minorHAnsi"/>
          <w:bCs/>
          <w:sz w:val="22"/>
          <w:szCs w:val="22"/>
        </w:rPr>
        <w:t>c</w:t>
      </w:r>
      <w:r w:rsidRPr="009D7A91">
        <w:rPr>
          <w:rFonts w:asciiTheme="minorHAnsi" w:hAnsiTheme="minorHAnsi" w:cstheme="minorHAnsi"/>
          <w:bCs/>
          <w:sz w:val="22"/>
          <w:szCs w:val="22"/>
        </w:rPr>
        <w:t xml:space="preserve">ase management pathway </w:t>
      </w:r>
      <w:r w:rsidR="00924B4B" w:rsidRPr="009D7A91">
        <w:rPr>
          <w:rFonts w:asciiTheme="minorHAnsi" w:hAnsiTheme="minorHAnsi" w:cstheme="minorHAnsi"/>
          <w:bCs/>
          <w:sz w:val="22"/>
          <w:szCs w:val="22"/>
        </w:rPr>
        <w:t xml:space="preserve">in the family law jurisdiction of the </w:t>
      </w:r>
      <w:r w:rsidRPr="009D7A91">
        <w:rPr>
          <w:rFonts w:asciiTheme="minorHAnsi" w:hAnsiTheme="minorHAnsi" w:cstheme="minorHAnsi"/>
          <w:bCs/>
          <w:sz w:val="22"/>
          <w:szCs w:val="22"/>
        </w:rPr>
        <w:t>F</w:t>
      </w:r>
      <w:r w:rsidR="00924B4B" w:rsidRPr="009D7A91">
        <w:rPr>
          <w:rFonts w:asciiTheme="minorHAnsi" w:hAnsiTheme="minorHAnsi" w:cstheme="minorHAnsi"/>
          <w:bCs/>
          <w:sz w:val="22"/>
          <w:szCs w:val="22"/>
        </w:rPr>
        <w:t xml:space="preserve">CFCOA. </w:t>
      </w:r>
      <w:r w:rsidR="00661E00" w:rsidRPr="009D7A91">
        <w:rPr>
          <w:rFonts w:asciiTheme="minorHAnsi" w:hAnsiTheme="minorHAnsi" w:cstheme="minorHAnsi"/>
          <w:bCs/>
          <w:sz w:val="22"/>
          <w:szCs w:val="22"/>
        </w:rPr>
        <w:t>A</w:t>
      </w:r>
      <w:r w:rsidR="009D168F" w:rsidRPr="009D7A91">
        <w:rPr>
          <w:rFonts w:asciiTheme="minorHAnsi" w:hAnsiTheme="minorHAnsi" w:cstheme="minorHAnsi"/>
          <w:bCs/>
          <w:sz w:val="22"/>
          <w:szCs w:val="22"/>
        </w:rPr>
        <w:t xml:space="preserve"> list of </w:t>
      </w:r>
      <w:r w:rsidR="00661E00" w:rsidRPr="009D7A91">
        <w:rPr>
          <w:rFonts w:asciiTheme="minorHAnsi" w:hAnsiTheme="minorHAnsi" w:cstheme="minorHAnsi"/>
          <w:bCs/>
          <w:sz w:val="22"/>
          <w:szCs w:val="22"/>
        </w:rPr>
        <w:t xml:space="preserve">the new </w:t>
      </w:r>
      <w:r w:rsidR="009D168F" w:rsidRPr="009D7A91">
        <w:rPr>
          <w:rFonts w:asciiTheme="minorHAnsi" w:hAnsiTheme="minorHAnsi" w:cstheme="minorHAnsi"/>
          <w:bCs/>
          <w:sz w:val="22"/>
          <w:szCs w:val="22"/>
        </w:rPr>
        <w:t>appoint</w:t>
      </w:r>
      <w:r w:rsidR="00661E00" w:rsidRPr="009D7A91">
        <w:rPr>
          <w:rFonts w:asciiTheme="minorHAnsi" w:hAnsiTheme="minorHAnsi" w:cstheme="minorHAnsi"/>
          <w:bCs/>
          <w:sz w:val="22"/>
          <w:szCs w:val="22"/>
        </w:rPr>
        <w:t xml:space="preserve">ments is </w:t>
      </w:r>
      <w:r w:rsidR="009D168F" w:rsidRPr="009D7A91">
        <w:rPr>
          <w:rFonts w:asciiTheme="minorHAnsi" w:hAnsiTheme="minorHAnsi" w:cstheme="minorHAnsi"/>
          <w:bCs/>
          <w:sz w:val="22"/>
          <w:szCs w:val="22"/>
        </w:rPr>
        <w:t xml:space="preserve">available from the </w:t>
      </w:r>
      <w:r w:rsidR="005A3986">
        <w:rPr>
          <w:rFonts w:asciiTheme="minorHAnsi" w:hAnsiTheme="minorHAnsi" w:cstheme="minorHAnsi"/>
          <w:bCs/>
          <w:sz w:val="22"/>
          <w:szCs w:val="22"/>
        </w:rPr>
        <w:t xml:space="preserve">Family </w:t>
      </w:r>
      <w:r w:rsidR="009D168F" w:rsidRPr="009D7A91">
        <w:rPr>
          <w:rFonts w:asciiTheme="minorHAnsi" w:hAnsiTheme="minorHAnsi" w:cstheme="minorHAnsi"/>
          <w:bCs/>
          <w:sz w:val="22"/>
          <w:szCs w:val="22"/>
        </w:rPr>
        <w:t>Court</w:t>
      </w:r>
      <w:r w:rsidR="005A3986">
        <w:rPr>
          <w:rFonts w:asciiTheme="minorHAnsi" w:hAnsiTheme="minorHAnsi" w:cstheme="minorHAnsi"/>
          <w:bCs/>
          <w:sz w:val="22"/>
          <w:szCs w:val="22"/>
        </w:rPr>
        <w:t>’</w:t>
      </w:r>
      <w:r w:rsidR="009D168F" w:rsidRPr="009D7A91">
        <w:rPr>
          <w:rFonts w:asciiTheme="minorHAnsi" w:hAnsiTheme="minorHAnsi" w:cstheme="minorHAnsi"/>
          <w:bCs/>
          <w:sz w:val="22"/>
          <w:szCs w:val="22"/>
        </w:rPr>
        <w:t xml:space="preserve">s </w:t>
      </w:r>
      <w:hyperlink r:id="rId13" w:history="1">
        <w:r w:rsidR="009D168F" w:rsidRPr="009D7A91">
          <w:rPr>
            <w:rStyle w:val="Hyperlink"/>
            <w:rFonts w:asciiTheme="minorHAnsi" w:hAnsiTheme="minorHAnsi" w:cstheme="minorHAnsi"/>
            <w:bCs/>
            <w:sz w:val="22"/>
            <w:szCs w:val="22"/>
          </w:rPr>
          <w:t>website</w:t>
        </w:r>
      </w:hyperlink>
      <w:r w:rsidR="009D168F" w:rsidRPr="009D7A91">
        <w:rPr>
          <w:rFonts w:asciiTheme="minorHAnsi" w:hAnsiTheme="minorHAnsi" w:cstheme="minorHAnsi"/>
          <w:bCs/>
          <w:sz w:val="22"/>
          <w:szCs w:val="22"/>
        </w:rPr>
        <w:t xml:space="preserve">. </w:t>
      </w:r>
    </w:p>
    <w:p w14:paraId="50B27A2F" w14:textId="5308E698" w:rsidR="00EB501F" w:rsidRPr="009D7A91" w:rsidRDefault="00EB501F" w:rsidP="00924A51">
      <w:pPr>
        <w:pStyle w:val="Default"/>
        <w:spacing w:before="100" w:beforeAutospacing="1"/>
        <w:ind w:right="-142"/>
        <w:jc w:val="both"/>
        <w:rPr>
          <w:rFonts w:asciiTheme="minorHAnsi" w:hAnsiTheme="minorHAnsi" w:cstheme="minorHAnsi"/>
          <w:sz w:val="22"/>
          <w:szCs w:val="22"/>
          <w:lang w:eastAsia="en-AU"/>
        </w:rPr>
      </w:pPr>
      <w:r w:rsidRPr="009D7A91">
        <w:rPr>
          <w:rFonts w:asciiTheme="minorHAnsi" w:hAnsiTheme="minorHAnsi" w:cstheme="minorHAnsi"/>
          <w:sz w:val="22"/>
          <w:szCs w:val="22"/>
          <w:lang w:eastAsia="en-AU"/>
        </w:rPr>
        <w:t>In the announcement, the Chief Justice of the Family Court of Australia and Chief Judge of the Federal Circuit Court of Australia, the Hon Will Alstergren, said the appointments will assist in delivering some of the Courts’ major goals of reducing delays nationally, identifying risk early, and improving access to justice to people living in regional locations.</w:t>
      </w:r>
    </w:p>
    <w:p w14:paraId="0ED6B9C2" w14:textId="5BDA7B1F" w:rsidR="00EB501F" w:rsidRPr="009D7A91" w:rsidRDefault="00EB501F" w:rsidP="00924A51">
      <w:pPr>
        <w:pStyle w:val="Default"/>
        <w:spacing w:before="100" w:beforeAutospacing="1"/>
        <w:ind w:right="-142"/>
        <w:jc w:val="both"/>
        <w:rPr>
          <w:rFonts w:asciiTheme="minorHAnsi" w:hAnsiTheme="minorHAnsi" w:cstheme="minorHAnsi"/>
          <w:sz w:val="22"/>
          <w:szCs w:val="22"/>
          <w:lang w:eastAsia="en-AU"/>
        </w:rPr>
      </w:pPr>
      <w:r w:rsidRPr="009D7A91">
        <w:rPr>
          <w:rFonts w:asciiTheme="minorHAnsi" w:hAnsiTheme="minorHAnsi" w:cstheme="minorHAnsi"/>
          <w:sz w:val="22"/>
          <w:szCs w:val="22"/>
          <w:lang w:eastAsia="en-AU"/>
        </w:rPr>
        <w:t>Importantly, the additional resources will provide much-needed support for Australian families in regional</w:t>
      </w:r>
      <w:r w:rsidR="005A3986">
        <w:rPr>
          <w:rFonts w:asciiTheme="minorHAnsi" w:hAnsiTheme="minorHAnsi" w:cstheme="minorHAnsi"/>
          <w:sz w:val="22"/>
          <w:szCs w:val="22"/>
          <w:lang w:eastAsia="en-AU"/>
        </w:rPr>
        <w:t xml:space="preserve"> </w:t>
      </w:r>
      <w:r w:rsidRPr="009D7A91">
        <w:rPr>
          <w:rFonts w:asciiTheme="minorHAnsi" w:hAnsiTheme="minorHAnsi" w:cstheme="minorHAnsi"/>
          <w:sz w:val="22"/>
          <w:szCs w:val="22"/>
          <w:lang w:eastAsia="en-AU"/>
        </w:rPr>
        <w:t xml:space="preserve">areas. There will be an additional registrar resource provided to four key locations in North Queensland and the NSW Far North Coast; </w:t>
      </w:r>
      <w:r w:rsidR="005E30FA">
        <w:rPr>
          <w:rFonts w:asciiTheme="minorHAnsi" w:hAnsiTheme="minorHAnsi" w:cstheme="minorHAnsi"/>
          <w:sz w:val="22"/>
          <w:szCs w:val="22"/>
          <w:lang w:eastAsia="en-AU"/>
        </w:rPr>
        <w:t>with</w:t>
      </w:r>
      <w:r w:rsidRPr="009D7A91">
        <w:rPr>
          <w:rFonts w:asciiTheme="minorHAnsi" w:hAnsiTheme="minorHAnsi" w:cstheme="minorHAnsi"/>
          <w:sz w:val="22"/>
          <w:szCs w:val="22"/>
          <w:lang w:eastAsia="en-AU"/>
        </w:rPr>
        <w:t xml:space="preserve"> an additional registrar resource placed in each of Townsville, Cairns, Rockhampton and Lismore. </w:t>
      </w:r>
    </w:p>
    <w:p w14:paraId="72B94E79" w14:textId="3178D148" w:rsidR="00EB501F" w:rsidRPr="009D7A91" w:rsidRDefault="00EB501F" w:rsidP="00924A51">
      <w:pPr>
        <w:pStyle w:val="Default"/>
        <w:spacing w:before="100" w:beforeAutospacing="1"/>
        <w:ind w:right="-142"/>
        <w:jc w:val="both"/>
        <w:rPr>
          <w:rFonts w:asciiTheme="minorHAnsi" w:hAnsiTheme="minorHAnsi" w:cstheme="minorHAnsi"/>
          <w:sz w:val="22"/>
          <w:szCs w:val="22"/>
          <w:lang w:eastAsia="en-AU"/>
        </w:rPr>
      </w:pPr>
      <w:r w:rsidRPr="009D7A91">
        <w:rPr>
          <w:rFonts w:asciiTheme="minorHAnsi" w:hAnsiTheme="minorHAnsi" w:cstheme="minorHAnsi"/>
          <w:sz w:val="22"/>
          <w:szCs w:val="22"/>
          <w:lang w:eastAsia="en-AU"/>
        </w:rPr>
        <w:lastRenderedPageBreak/>
        <w:t>Two new Judicial Registrars and a Deputy Registrar have also been appointed to provide additional support to the Newcastle registry which, together with existing reso</w:t>
      </w:r>
      <w:r w:rsidR="00C23266">
        <w:rPr>
          <w:rFonts w:asciiTheme="minorHAnsi" w:hAnsiTheme="minorHAnsi" w:cstheme="minorHAnsi"/>
          <w:sz w:val="22"/>
          <w:szCs w:val="22"/>
          <w:lang w:eastAsia="en-AU"/>
        </w:rPr>
        <w:t>urces, sees an increase from 2 Registrars to 7 R</w:t>
      </w:r>
      <w:r w:rsidRPr="009D7A91">
        <w:rPr>
          <w:rFonts w:asciiTheme="minorHAnsi" w:hAnsiTheme="minorHAnsi" w:cstheme="minorHAnsi"/>
          <w:sz w:val="22"/>
          <w:szCs w:val="22"/>
          <w:lang w:eastAsia="en-AU"/>
        </w:rPr>
        <w:t>egistrars.</w:t>
      </w:r>
      <w:r w:rsidR="00C23266">
        <w:rPr>
          <w:rFonts w:asciiTheme="minorHAnsi" w:hAnsiTheme="minorHAnsi" w:cstheme="minorHAnsi"/>
          <w:sz w:val="22"/>
          <w:szCs w:val="22"/>
          <w:lang w:eastAsia="en-AU"/>
        </w:rPr>
        <w:t xml:space="preserve"> Two further R</w:t>
      </w:r>
      <w:r w:rsidRPr="009D7A91">
        <w:rPr>
          <w:rFonts w:asciiTheme="minorHAnsi" w:hAnsiTheme="minorHAnsi" w:cstheme="minorHAnsi"/>
          <w:sz w:val="22"/>
          <w:szCs w:val="22"/>
          <w:lang w:eastAsia="en-AU"/>
        </w:rPr>
        <w:t xml:space="preserve">egistrars will be based in Hobart to assist in supporting Tasmania, and </w:t>
      </w:r>
      <w:r w:rsidR="00C23266">
        <w:rPr>
          <w:rFonts w:asciiTheme="minorHAnsi" w:hAnsiTheme="minorHAnsi" w:cstheme="minorHAnsi"/>
          <w:sz w:val="22"/>
          <w:szCs w:val="22"/>
          <w:lang w:eastAsia="en-AU"/>
        </w:rPr>
        <w:t>further R</w:t>
      </w:r>
      <w:r w:rsidRPr="009D7A91">
        <w:rPr>
          <w:rFonts w:asciiTheme="minorHAnsi" w:hAnsiTheme="minorHAnsi" w:cstheme="minorHAnsi"/>
          <w:sz w:val="22"/>
          <w:szCs w:val="22"/>
          <w:lang w:eastAsia="en-AU"/>
        </w:rPr>
        <w:t xml:space="preserve">egistrar support </w:t>
      </w:r>
      <w:r w:rsidR="00C23266">
        <w:rPr>
          <w:rFonts w:asciiTheme="minorHAnsi" w:hAnsiTheme="minorHAnsi" w:cstheme="minorHAnsi"/>
          <w:sz w:val="22"/>
          <w:szCs w:val="22"/>
          <w:lang w:eastAsia="en-AU"/>
        </w:rPr>
        <w:t xml:space="preserve">for </w:t>
      </w:r>
      <w:r w:rsidRPr="009D7A91">
        <w:rPr>
          <w:rFonts w:asciiTheme="minorHAnsi" w:hAnsiTheme="minorHAnsi" w:cstheme="minorHAnsi"/>
          <w:sz w:val="22"/>
          <w:szCs w:val="22"/>
          <w:lang w:eastAsia="en-AU"/>
        </w:rPr>
        <w:t>each of Wollongong and Canberra. Details are listed below.</w:t>
      </w:r>
    </w:p>
    <w:p w14:paraId="3E383625" w14:textId="077A43F6" w:rsidR="00EB501F" w:rsidRPr="009D7A91" w:rsidRDefault="00C23266" w:rsidP="00924A51">
      <w:pPr>
        <w:pStyle w:val="BodyText"/>
        <w:spacing w:before="100" w:beforeAutospacing="1" w:after="0"/>
        <w:ind w:right="-142"/>
        <w:jc w:val="both"/>
        <w:rPr>
          <w:rFonts w:asciiTheme="minorHAnsi" w:hAnsiTheme="minorHAnsi" w:cstheme="minorHAnsi"/>
          <w:sz w:val="22"/>
          <w:szCs w:val="22"/>
          <w:lang w:eastAsia="en-AU"/>
        </w:rPr>
      </w:pPr>
      <w:r>
        <w:rPr>
          <w:rFonts w:asciiTheme="minorHAnsi" w:hAnsiTheme="minorHAnsi" w:cstheme="minorHAnsi"/>
          <w:sz w:val="22"/>
          <w:szCs w:val="22"/>
          <w:lang w:eastAsia="en-AU"/>
        </w:rPr>
        <w:t>The new R</w:t>
      </w:r>
      <w:r w:rsidR="00EB501F" w:rsidRPr="009D7A91">
        <w:rPr>
          <w:rFonts w:asciiTheme="minorHAnsi" w:hAnsiTheme="minorHAnsi" w:cstheme="minorHAnsi"/>
          <w:sz w:val="22"/>
          <w:szCs w:val="22"/>
          <w:lang w:eastAsia="en-AU"/>
        </w:rPr>
        <w:t xml:space="preserve">egistrars all </w:t>
      </w:r>
      <w:r>
        <w:rPr>
          <w:rFonts w:asciiTheme="minorHAnsi" w:hAnsiTheme="minorHAnsi" w:cstheme="minorHAnsi"/>
          <w:sz w:val="22"/>
          <w:szCs w:val="22"/>
          <w:lang w:eastAsia="en-AU"/>
        </w:rPr>
        <w:t xml:space="preserve">hold significant expertise in </w:t>
      </w:r>
      <w:r w:rsidR="00EB501F" w:rsidRPr="009D7A91">
        <w:rPr>
          <w:rFonts w:asciiTheme="minorHAnsi" w:hAnsiTheme="minorHAnsi" w:cstheme="minorHAnsi"/>
          <w:sz w:val="22"/>
          <w:szCs w:val="22"/>
          <w:lang w:eastAsia="en-AU"/>
        </w:rPr>
        <w:t>family law, and include senior and highly respected members of the profession including barristers, special counsel, senior solicitors, and a Ma</w:t>
      </w:r>
      <w:r w:rsidR="005A3986">
        <w:rPr>
          <w:rFonts w:asciiTheme="minorHAnsi" w:hAnsiTheme="minorHAnsi" w:cstheme="minorHAnsi"/>
          <w:sz w:val="22"/>
          <w:szCs w:val="22"/>
          <w:lang w:eastAsia="en-AU"/>
        </w:rPr>
        <w:t>g</w:t>
      </w:r>
      <w:r w:rsidR="00EB501F" w:rsidRPr="009D7A91">
        <w:rPr>
          <w:rFonts w:asciiTheme="minorHAnsi" w:hAnsiTheme="minorHAnsi" w:cstheme="minorHAnsi"/>
          <w:sz w:val="22"/>
          <w:szCs w:val="22"/>
          <w:lang w:eastAsia="en-AU"/>
        </w:rPr>
        <w:t xml:space="preserve">istrate, and many who are also accredited mediators. </w:t>
      </w:r>
    </w:p>
    <w:p w14:paraId="50E8AE32" w14:textId="38356A0E" w:rsidR="00EB501F" w:rsidRPr="009D7A91" w:rsidRDefault="00EB501F" w:rsidP="00A64020">
      <w:pPr>
        <w:spacing w:before="100" w:beforeAutospacing="1" w:after="240"/>
        <w:ind w:right="-142"/>
        <w:jc w:val="both"/>
        <w:rPr>
          <w:rFonts w:asciiTheme="minorHAnsi" w:hAnsiTheme="minorHAnsi" w:cstheme="minorHAnsi"/>
          <w:sz w:val="22"/>
          <w:szCs w:val="22"/>
        </w:rPr>
      </w:pPr>
      <w:r w:rsidRPr="009D7A91">
        <w:rPr>
          <w:rFonts w:asciiTheme="minorHAnsi" w:hAnsiTheme="minorHAnsi" w:cstheme="minorHAnsi"/>
          <w:sz w:val="22"/>
          <w:szCs w:val="22"/>
        </w:rPr>
        <w:t xml:space="preserve">The appointments were made possible through the provision of over $100 million in recent Commonwealth Government funding. The Courts are </w:t>
      </w:r>
      <w:r w:rsidRPr="009D7A91">
        <w:rPr>
          <w:rFonts w:asciiTheme="minorHAnsi" w:hAnsiTheme="minorHAnsi" w:cstheme="minorHAnsi"/>
          <w:bCs/>
          <w:sz w:val="22"/>
          <w:szCs w:val="22"/>
        </w:rPr>
        <w:t>confident of ongoing funding and the appointment of Judges to fill current vacancies, and newly created judicial positions</w:t>
      </w:r>
      <w:r w:rsidR="009D7A91" w:rsidRPr="009D7A91">
        <w:rPr>
          <w:rFonts w:asciiTheme="minorHAnsi" w:hAnsiTheme="minorHAnsi" w:cstheme="minorHAnsi"/>
          <w:bCs/>
          <w:sz w:val="22"/>
          <w:szCs w:val="22"/>
        </w:rPr>
        <w:t>. The Courts w</w:t>
      </w:r>
      <w:r w:rsidRPr="009D7A91">
        <w:rPr>
          <w:rFonts w:asciiTheme="minorHAnsi" w:hAnsiTheme="minorHAnsi" w:cstheme="minorHAnsi"/>
          <w:sz w:val="22"/>
          <w:szCs w:val="22"/>
        </w:rPr>
        <w:t xml:space="preserve">ill continue to discuss with Government the importance of further resources to support family violence-related and other key initiatives to further improve the court system. </w:t>
      </w:r>
    </w:p>
    <w:p w14:paraId="5CF3615E" w14:textId="13215BD1" w:rsidR="00534FBB" w:rsidRPr="004A6E07" w:rsidRDefault="004A6E07" w:rsidP="00924A51">
      <w:pPr>
        <w:ind w:right="-142"/>
        <w:jc w:val="both"/>
        <w:rPr>
          <w:rFonts w:asciiTheme="minorHAnsi" w:hAnsiTheme="minorHAnsi" w:cstheme="minorHAnsi"/>
          <w:b/>
          <w:sz w:val="22"/>
          <w:szCs w:val="22"/>
        </w:rPr>
      </w:pPr>
      <w:r w:rsidRPr="004A6E07">
        <w:rPr>
          <w:rFonts w:asciiTheme="minorHAnsi" w:hAnsiTheme="minorHAnsi" w:cstheme="minorHAnsi"/>
          <w:b/>
          <w:sz w:val="22"/>
          <w:szCs w:val="22"/>
        </w:rPr>
        <w:t xml:space="preserve">The enhanced role </w:t>
      </w:r>
      <w:r w:rsidR="005E30FA">
        <w:rPr>
          <w:rFonts w:asciiTheme="minorHAnsi" w:hAnsiTheme="minorHAnsi" w:cstheme="minorHAnsi"/>
          <w:b/>
          <w:sz w:val="22"/>
          <w:szCs w:val="22"/>
        </w:rPr>
        <w:t xml:space="preserve">of </w:t>
      </w:r>
      <w:r w:rsidRPr="004A6E07">
        <w:rPr>
          <w:rFonts w:asciiTheme="minorHAnsi" w:hAnsiTheme="minorHAnsi" w:cstheme="minorHAnsi"/>
          <w:b/>
          <w:sz w:val="22"/>
          <w:szCs w:val="22"/>
        </w:rPr>
        <w:t xml:space="preserve">Senior Registrars </w:t>
      </w:r>
      <w:r w:rsidR="000A4215">
        <w:rPr>
          <w:rFonts w:asciiTheme="minorHAnsi" w:hAnsiTheme="minorHAnsi" w:cstheme="minorHAnsi"/>
          <w:b/>
          <w:sz w:val="22"/>
          <w:szCs w:val="22"/>
        </w:rPr>
        <w:t xml:space="preserve">and </w:t>
      </w:r>
      <w:r w:rsidRPr="004A6E07">
        <w:rPr>
          <w:rFonts w:asciiTheme="minorHAnsi" w:hAnsiTheme="minorHAnsi" w:cstheme="minorHAnsi"/>
          <w:b/>
          <w:sz w:val="22"/>
          <w:szCs w:val="22"/>
        </w:rPr>
        <w:t>Judicial Registrars</w:t>
      </w:r>
      <w:r w:rsidR="005E30FA">
        <w:rPr>
          <w:rFonts w:asciiTheme="minorHAnsi" w:hAnsiTheme="minorHAnsi" w:cstheme="minorHAnsi"/>
          <w:b/>
          <w:sz w:val="22"/>
          <w:szCs w:val="22"/>
        </w:rPr>
        <w:t xml:space="preserve"> (family law)</w:t>
      </w:r>
    </w:p>
    <w:p w14:paraId="538DCED0" w14:textId="67211649" w:rsidR="008F1034" w:rsidRDefault="008F1034" w:rsidP="00A64020">
      <w:pPr>
        <w:spacing w:after="240"/>
        <w:jc w:val="both"/>
        <w:rPr>
          <w:rFonts w:asciiTheme="minorHAnsi" w:hAnsiTheme="minorHAnsi" w:cstheme="minorHAnsi"/>
          <w:sz w:val="22"/>
          <w:szCs w:val="22"/>
        </w:rPr>
      </w:pPr>
      <w:r w:rsidRPr="008F1034">
        <w:rPr>
          <w:rFonts w:asciiTheme="minorHAnsi" w:hAnsiTheme="minorHAnsi" w:cstheme="minorHAnsi"/>
          <w:sz w:val="22"/>
          <w:szCs w:val="22"/>
        </w:rPr>
        <w:t xml:space="preserve">Senior Judicial Registrars, Judicial Registrars and Deputy Registrars </w:t>
      </w:r>
      <w:r>
        <w:rPr>
          <w:rFonts w:asciiTheme="minorHAnsi" w:hAnsiTheme="minorHAnsi" w:cstheme="minorHAnsi"/>
          <w:sz w:val="22"/>
          <w:szCs w:val="22"/>
        </w:rPr>
        <w:t xml:space="preserve">will </w:t>
      </w:r>
      <w:r w:rsidRPr="008F1034">
        <w:rPr>
          <w:rFonts w:asciiTheme="minorHAnsi" w:hAnsiTheme="minorHAnsi" w:cstheme="minorHAnsi"/>
          <w:sz w:val="22"/>
          <w:szCs w:val="22"/>
        </w:rPr>
        <w:t>each undertake key roles in the operation of the family law jurisdiction of the FCFCOA</w:t>
      </w:r>
      <w:r w:rsidR="000A4215">
        <w:rPr>
          <w:rFonts w:asciiTheme="minorHAnsi" w:hAnsiTheme="minorHAnsi" w:cstheme="minorHAnsi"/>
          <w:sz w:val="22"/>
          <w:szCs w:val="22"/>
        </w:rPr>
        <w:t xml:space="preserve"> and feature heavily in</w:t>
      </w:r>
      <w:r w:rsidRPr="008F1034">
        <w:rPr>
          <w:rFonts w:asciiTheme="minorHAnsi" w:hAnsiTheme="minorHAnsi" w:cstheme="minorHAnsi"/>
          <w:sz w:val="22"/>
          <w:szCs w:val="22"/>
        </w:rPr>
        <w:t xml:space="preserve"> the </w:t>
      </w:r>
      <w:r w:rsidR="000A4215">
        <w:rPr>
          <w:rFonts w:asciiTheme="minorHAnsi" w:hAnsiTheme="minorHAnsi" w:cstheme="minorHAnsi"/>
          <w:sz w:val="22"/>
          <w:szCs w:val="22"/>
        </w:rPr>
        <w:t xml:space="preserve">new </w:t>
      </w:r>
      <w:r w:rsidRPr="008F1034">
        <w:rPr>
          <w:rFonts w:asciiTheme="minorHAnsi" w:hAnsiTheme="minorHAnsi" w:cstheme="minorHAnsi"/>
          <w:sz w:val="22"/>
          <w:szCs w:val="22"/>
        </w:rPr>
        <w:t xml:space="preserve">case management pathway. All three </w:t>
      </w:r>
      <w:r w:rsidR="005E30FA">
        <w:rPr>
          <w:rFonts w:asciiTheme="minorHAnsi" w:hAnsiTheme="minorHAnsi" w:cstheme="minorHAnsi"/>
          <w:sz w:val="22"/>
          <w:szCs w:val="22"/>
        </w:rPr>
        <w:t xml:space="preserve">categories of </w:t>
      </w:r>
      <w:r w:rsidRPr="008F1034">
        <w:rPr>
          <w:rFonts w:asciiTheme="minorHAnsi" w:hAnsiTheme="minorHAnsi" w:cstheme="minorHAnsi"/>
          <w:sz w:val="22"/>
          <w:szCs w:val="22"/>
        </w:rPr>
        <w:t xml:space="preserve">Registrar exercise aspects of </w:t>
      </w:r>
      <w:r w:rsidR="005E30FA">
        <w:rPr>
          <w:rFonts w:asciiTheme="minorHAnsi" w:hAnsiTheme="minorHAnsi" w:cstheme="minorHAnsi"/>
          <w:sz w:val="22"/>
          <w:szCs w:val="22"/>
        </w:rPr>
        <w:t xml:space="preserve">delegated </w:t>
      </w:r>
      <w:r w:rsidRPr="008F1034">
        <w:rPr>
          <w:rFonts w:asciiTheme="minorHAnsi" w:hAnsiTheme="minorHAnsi" w:cstheme="minorHAnsi"/>
          <w:sz w:val="22"/>
          <w:szCs w:val="22"/>
        </w:rPr>
        <w:t xml:space="preserve">judicial power </w:t>
      </w:r>
      <w:r w:rsidR="005E30FA">
        <w:rPr>
          <w:rFonts w:asciiTheme="minorHAnsi" w:hAnsiTheme="minorHAnsi" w:cstheme="minorHAnsi"/>
          <w:sz w:val="22"/>
          <w:szCs w:val="22"/>
        </w:rPr>
        <w:t xml:space="preserve">in </w:t>
      </w:r>
      <w:r w:rsidRPr="008F1034">
        <w:rPr>
          <w:rFonts w:asciiTheme="minorHAnsi" w:hAnsiTheme="minorHAnsi" w:cstheme="minorHAnsi"/>
          <w:sz w:val="22"/>
          <w:szCs w:val="22"/>
        </w:rPr>
        <w:t>both Divisions of the FCFCOA.  All three c</w:t>
      </w:r>
      <w:r w:rsidR="005E30FA">
        <w:rPr>
          <w:rFonts w:asciiTheme="minorHAnsi" w:hAnsiTheme="minorHAnsi" w:cstheme="minorHAnsi"/>
          <w:sz w:val="22"/>
          <w:szCs w:val="22"/>
        </w:rPr>
        <w:t>ohorts</w:t>
      </w:r>
      <w:r w:rsidRPr="008F1034">
        <w:rPr>
          <w:rFonts w:asciiTheme="minorHAnsi" w:hAnsiTheme="minorHAnsi" w:cstheme="minorHAnsi"/>
          <w:sz w:val="22"/>
          <w:szCs w:val="22"/>
        </w:rPr>
        <w:t xml:space="preserve"> can </w:t>
      </w:r>
      <w:r w:rsidR="005E30FA">
        <w:rPr>
          <w:rFonts w:asciiTheme="minorHAnsi" w:hAnsiTheme="minorHAnsi" w:cstheme="minorHAnsi"/>
          <w:sz w:val="22"/>
          <w:szCs w:val="22"/>
        </w:rPr>
        <w:t xml:space="preserve">also </w:t>
      </w:r>
      <w:r w:rsidRPr="008F1034">
        <w:rPr>
          <w:rFonts w:asciiTheme="minorHAnsi" w:hAnsiTheme="minorHAnsi" w:cstheme="minorHAnsi"/>
          <w:sz w:val="22"/>
          <w:szCs w:val="22"/>
        </w:rPr>
        <w:t xml:space="preserve">make orders with the consent of the parties and hold a range of additional powers. A table outlining each of the powers that has been delegated to Senior Judicial Registrars and Judicial Registrars </w:t>
      </w:r>
      <w:r>
        <w:rPr>
          <w:rFonts w:asciiTheme="minorHAnsi" w:hAnsiTheme="minorHAnsi" w:cstheme="minorHAnsi"/>
          <w:sz w:val="22"/>
          <w:szCs w:val="22"/>
        </w:rPr>
        <w:t xml:space="preserve">will be available </w:t>
      </w:r>
      <w:r w:rsidRPr="008F1034">
        <w:rPr>
          <w:rFonts w:asciiTheme="minorHAnsi" w:hAnsiTheme="minorHAnsi" w:cstheme="minorHAnsi"/>
          <w:sz w:val="22"/>
          <w:szCs w:val="22"/>
        </w:rPr>
        <w:t xml:space="preserve">in Schedule </w:t>
      </w:r>
      <w:r w:rsidR="000A4215">
        <w:rPr>
          <w:rFonts w:asciiTheme="minorHAnsi" w:hAnsiTheme="minorHAnsi" w:cstheme="minorHAnsi"/>
          <w:sz w:val="22"/>
          <w:szCs w:val="22"/>
        </w:rPr>
        <w:t>4</w:t>
      </w:r>
      <w:r w:rsidRPr="008F1034">
        <w:rPr>
          <w:rFonts w:asciiTheme="minorHAnsi" w:hAnsiTheme="minorHAnsi" w:cstheme="minorHAnsi"/>
          <w:sz w:val="22"/>
          <w:szCs w:val="22"/>
        </w:rPr>
        <w:t xml:space="preserve"> to the </w:t>
      </w:r>
      <w:r w:rsidR="000A4215">
        <w:rPr>
          <w:rFonts w:asciiTheme="minorHAnsi" w:hAnsiTheme="minorHAnsi" w:cstheme="minorHAnsi"/>
          <w:sz w:val="22"/>
          <w:szCs w:val="22"/>
        </w:rPr>
        <w:t xml:space="preserve">new </w:t>
      </w:r>
      <w:r w:rsidRPr="008F1034">
        <w:rPr>
          <w:rFonts w:asciiTheme="minorHAnsi" w:hAnsiTheme="minorHAnsi" w:cstheme="minorHAnsi"/>
          <w:i/>
          <w:sz w:val="22"/>
          <w:szCs w:val="22"/>
        </w:rPr>
        <w:t>Federal Circuit and Family Court of Australia (Family Law) Rules 2021.</w:t>
      </w:r>
      <w:r w:rsidR="000A4215">
        <w:rPr>
          <w:rFonts w:asciiTheme="minorHAnsi" w:hAnsiTheme="minorHAnsi" w:cstheme="minorHAnsi"/>
          <w:i/>
          <w:sz w:val="22"/>
          <w:szCs w:val="22"/>
        </w:rPr>
        <w:t xml:space="preserve"> </w:t>
      </w:r>
      <w:r w:rsidR="000A4215">
        <w:rPr>
          <w:rFonts w:asciiTheme="minorHAnsi" w:hAnsiTheme="minorHAnsi" w:cstheme="minorHAnsi"/>
          <w:sz w:val="22"/>
          <w:szCs w:val="22"/>
        </w:rPr>
        <w:t>In the new Court, most duty lists and case management events will be presided over by Judicial Registrars and as many interim applications as possible will be determined by Senior Judicial Registrars.</w:t>
      </w:r>
    </w:p>
    <w:p w14:paraId="212D46E5" w14:textId="7A679DE3" w:rsidR="009B5C19" w:rsidRPr="009B5C19" w:rsidRDefault="009B5C19" w:rsidP="00924A51">
      <w:pPr>
        <w:shd w:val="clear" w:color="auto" w:fill="FFFFFF"/>
        <w:jc w:val="both"/>
        <w:rPr>
          <w:rFonts w:asciiTheme="minorHAnsi" w:hAnsiTheme="minorHAnsi" w:cstheme="minorHAnsi"/>
          <w:b/>
          <w:sz w:val="22"/>
          <w:szCs w:val="22"/>
        </w:rPr>
      </w:pPr>
      <w:r>
        <w:rPr>
          <w:rFonts w:asciiTheme="minorHAnsi" w:hAnsiTheme="minorHAnsi" w:cstheme="minorHAnsi"/>
          <w:b/>
          <w:sz w:val="22"/>
          <w:szCs w:val="22"/>
        </w:rPr>
        <w:t xml:space="preserve">Changes to </w:t>
      </w:r>
      <w:r w:rsidR="00D1350C">
        <w:rPr>
          <w:rFonts w:asciiTheme="minorHAnsi" w:hAnsiTheme="minorHAnsi" w:cstheme="minorHAnsi"/>
          <w:b/>
          <w:sz w:val="22"/>
          <w:szCs w:val="22"/>
        </w:rPr>
        <w:t>c</w:t>
      </w:r>
      <w:r>
        <w:rPr>
          <w:rFonts w:asciiTheme="minorHAnsi" w:hAnsiTheme="minorHAnsi" w:cstheme="minorHAnsi"/>
          <w:b/>
          <w:sz w:val="22"/>
          <w:szCs w:val="22"/>
        </w:rPr>
        <w:t xml:space="preserve">hild </w:t>
      </w:r>
      <w:r w:rsidR="00D1350C">
        <w:rPr>
          <w:rFonts w:asciiTheme="minorHAnsi" w:hAnsiTheme="minorHAnsi" w:cstheme="minorHAnsi"/>
          <w:b/>
          <w:sz w:val="22"/>
          <w:szCs w:val="22"/>
        </w:rPr>
        <w:t>related s</w:t>
      </w:r>
      <w:r>
        <w:rPr>
          <w:rFonts w:asciiTheme="minorHAnsi" w:hAnsiTheme="minorHAnsi" w:cstheme="minorHAnsi"/>
          <w:b/>
          <w:sz w:val="22"/>
          <w:szCs w:val="22"/>
        </w:rPr>
        <w:t>ervices</w:t>
      </w:r>
    </w:p>
    <w:p w14:paraId="584DE393" w14:textId="4FF97060" w:rsidR="009B5C19" w:rsidRDefault="009B5C19" w:rsidP="00A64020">
      <w:pPr>
        <w:spacing w:after="240"/>
        <w:rPr>
          <w:rFonts w:asciiTheme="minorHAnsi" w:hAnsiTheme="minorHAnsi" w:cstheme="minorHAnsi"/>
          <w:sz w:val="22"/>
          <w:szCs w:val="22"/>
        </w:rPr>
      </w:pPr>
      <w:r w:rsidRPr="009B5C19">
        <w:rPr>
          <w:rFonts w:asciiTheme="minorHAnsi" w:hAnsiTheme="minorHAnsi" w:cstheme="minorHAnsi"/>
          <w:sz w:val="22"/>
          <w:szCs w:val="22"/>
        </w:rPr>
        <w:t>The launch of the F</w:t>
      </w:r>
      <w:r>
        <w:rPr>
          <w:rFonts w:asciiTheme="minorHAnsi" w:hAnsiTheme="minorHAnsi" w:cstheme="minorHAnsi"/>
          <w:sz w:val="22"/>
          <w:szCs w:val="22"/>
        </w:rPr>
        <w:t>CFCOA</w:t>
      </w:r>
      <w:r w:rsidRPr="009B5C19">
        <w:rPr>
          <w:rFonts w:asciiTheme="minorHAnsi" w:hAnsiTheme="minorHAnsi" w:cstheme="minorHAnsi"/>
          <w:sz w:val="22"/>
          <w:szCs w:val="22"/>
        </w:rPr>
        <w:t xml:space="preserve"> will see Child Dispute Services take on the title of Court Children’s Service (CCS).  This new title is representative of some significant changes that are being introduced to the work done by the Court’s social workers and psychologists.</w:t>
      </w:r>
    </w:p>
    <w:p w14:paraId="3F20734A" w14:textId="76B721FA" w:rsidR="009B5C19" w:rsidRDefault="009B5C19" w:rsidP="00A64020">
      <w:pPr>
        <w:spacing w:after="240"/>
        <w:rPr>
          <w:rFonts w:asciiTheme="minorHAnsi" w:hAnsiTheme="minorHAnsi" w:cstheme="minorHAnsi"/>
          <w:sz w:val="22"/>
          <w:szCs w:val="22"/>
        </w:rPr>
      </w:pPr>
      <w:r w:rsidRPr="009B5C19">
        <w:rPr>
          <w:rFonts w:asciiTheme="minorHAnsi" w:hAnsiTheme="minorHAnsi" w:cstheme="minorHAnsi"/>
          <w:sz w:val="22"/>
          <w:szCs w:val="22"/>
        </w:rPr>
        <w:t xml:space="preserve">The role of CCS staff will be broadened such that they will not only be undertaking duties under their appointment as a family consultant, but they will also be undertaking duties under their authorisation as a family counsellor.  These family counsellor duties will include assisting registrars with the delivery of confidential dispute resolution events and conducting confidential risk assessment interviews in the context of the Court’s Lighthouse Project.  To reflect this expansion of responsibilities, their position title is being changed to Court Child Expert (CCE). </w:t>
      </w:r>
    </w:p>
    <w:p w14:paraId="5AF3C582" w14:textId="0EF65649" w:rsidR="009B5C19" w:rsidRDefault="009B5C19" w:rsidP="00A64020">
      <w:pPr>
        <w:spacing w:after="240"/>
        <w:rPr>
          <w:rFonts w:asciiTheme="minorHAnsi" w:hAnsiTheme="minorHAnsi" w:cstheme="minorHAnsi"/>
          <w:sz w:val="22"/>
          <w:szCs w:val="22"/>
        </w:rPr>
      </w:pPr>
      <w:r w:rsidRPr="009B5C19">
        <w:rPr>
          <w:rFonts w:asciiTheme="minorHAnsi" w:hAnsiTheme="minorHAnsi" w:cstheme="minorHAnsi"/>
          <w:sz w:val="22"/>
          <w:szCs w:val="22"/>
        </w:rPr>
        <w:t>The CCS will also continue to use the services of social workers and psychologists appointed to the role of family consultant under The Regulations.  These practitioners will remain known as Regulation 7 Family Consultants, as they will not be conducting any family counsellor duties, and will continue to provide Family Reports for CCS.</w:t>
      </w:r>
    </w:p>
    <w:p w14:paraId="54ECEE15" w14:textId="77777777" w:rsidR="009B5C19" w:rsidRPr="009B5C19" w:rsidRDefault="009B5C19" w:rsidP="00924A51">
      <w:pPr>
        <w:rPr>
          <w:rFonts w:asciiTheme="minorHAnsi" w:hAnsiTheme="minorHAnsi" w:cstheme="minorHAnsi"/>
          <w:sz w:val="22"/>
          <w:szCs w:val="22"/>
        </w:rPr>
      </w:pPr>
      <w:r w:rsidRPr="009B5C19">
        <w:rPr>
          <w:rFonts w:asciiTheme="minorHAnsi" w:hAnsiTheme="minorHAnsi" w:cstheme="minorHAnsi"/>
          <w:sz w:val="22"/>
          <w:szCs w:val="22"/>
        </w:rPr>
        <w:t>The overarching purpose of the CCS will be to assist families and the Court by:</w:t>
      </w:r>
    </w:p>
    <w:p w14:paraId="20767E03" w14:textId="77777777" w:rsidR="009B5C19" w:rsidRPr="009B5C19" w:rsidRDefault="009B5C19" w:rsidP="00924A51">
      <w:pPr>
        <w:pStyle w:val="paragraph"/>
        <w:numPr>
          <w:ilvl w:val="0"/>
          <w:numId w:val="19"/>
        </w:numPr>
        <w:textAlignment w:val="baseline"/>
        <w:rPr>
          <w:rFonts w:asciiTheme="minorHAnsi" w:hAnsiTheme="minorHAnsi" w:cstheme="minorHAnsi"/>
        </w:rPr>
      </w:pPr>
      <w:r w:rsidRPr="009B5C19">
        <w:rPr>
          <w:rFonts w:asciiTheme="minorHAnsi" w:hAnsiTheme="minorHAnsi" w:cstheme="minorHAnsi"/>
        </w:rPr>
        <w:t>Helping parents understand the needs of their children after separation</w:t>
      </w:r>
    </w:p>
    <w:p w14:paraId="7CCCFF85" w14:textId="77777777" w:rsidR="009B5C19" w:rsidRPr="009B5C19" w:rsidRDefault="009B5C19" w:rsidP="00924A51">
      <w:pPr>
        <w:pStyle w:val="paragraph"/>
        <w:numPr>
          <w:ilvl w:val="0"/>
          <w:numId w:val="19"/>
        </w:numPr>
        <w:textAlignment w:val="baseline"/>
        <w:rPr>
          <w:rFonts w:asciiTheme="minorHAnsi" w:hAnsiTheme="minorHAnsi" w:cstheme="minorHAnsi"/>
        </w:rPr>
      </w:pPr>
      <w:r w:rsidRPr="009B5C19">
        <w:rPr>
          <w:rFonts w:asciiTheme="minorHAnsi" w:hAnsiTheme="minorHAnsi" w:cstheme="minorHAnsi"/>
        </w:rPr>
        <w:t>Identifying risk factors that impact children</w:t>
      </w:r>
    </w:p>
    <w:p w14:paraId="5F7387A0" w14:textId="77777777" w:rsidR="009B5C19" w:rsidRPr="009B5C19" w:rsidRDefault="009B5C19" w:rsidP="00924A51">
      <w:pPr>
        <w:pStyle w:val="paragraph"/>
        <w:numPr>
          <w:ilvl w:val="0"/>
          <w:numId w:val="19"/>
        </w:numPr>
        <w:textAlignment w:val="baseline"/>
        <w:rPr>
          <w:rFonts w:asciiTheme="minorHAnsi" w:hAnsiTheme="minorHAnsi" w:cstheme="minorHAnsi"/>
          <w:sz w:val="22"/>
          <w:szCs w:val="22"/>
        </w:rPr>
      </w:pPr>
      <w:r w:rsidRPr="009B5C19">
        <w:rPr>
          <w:rFonts w:asciiTheme="minorHAnsi" w:hAnsiTheme="minorHAnsi" w:cstheme="minorHAnsi"/>
          <w:sz w:val="22"/>
          <w:szCs w:val="22"/>
        </w:rPr>
        <w:t>Identifying family strengths and protective factors</w:t>
      </w:r>
    </w:p>
    <w:p w14:paraId="6E26FE22" w14:textId="77777777" w:rsidR="009B5C19" w:rsidRPr="009B5C19" w:rsidRDefault="009B5C19" w:rsidP="00924A51">
      <w:pPr>
        <w:pStyle w:val="paragraph"/>
        <w:numPr>
          <w:ilvl w:val="0"/>
          <w:numId w:val="19"/>
        </w:numPr>
        <w:textAlignment w:val="baseline"/>
        <w:rPr>
          <w:rFonts w:asciiTheme="minorHAnsi" w:hAnsiTheme="minorHAnsi" w:cstheme="minorHAnsi"/>
          <w:sz w:val="22"/>
          <w:szCs w:val="22"/>
        </w:rPr>
      </w:pPr>
      <w:r w:rsidRPr="009B5C19">
        <w:rPr>
          <w:rFonts w:asciiTheme="minorHAnsi" w:hAnsiTheme="minorHAnsi" w:cstheme="minorHAnsi"/>
          <w:sz w:val="22"/>
          <w:szCs w:val="22"/>
        </w:rPr>
        <w:t xml:space="preserve">Providing expert evidence through the provision of assessment reports </w:t>
      </w:r>
    </w:p>
    <w:p w14:paraId="68F0459A" w14:textId="77777777" w:rsidR="009B5C19" w:rsidRPr="009B5C19" w:rsidRDefault="009B5C19" w:rsidP="00924A51">
      <w:pPr>
        <w:pStyle w:val="paragraph"/>
        <w:numPr>
          <w:ilvl w:val="0"/>
          <w:numId w:val="19"/>
        </w:numPr>
        <w:textAlignment w:val="baseline"/>
        <w:rPr>
          <w:rFonts w:asciiTheme="minorHAnsi" w:hAnsiTheme="minorHAnsi" w:cstheme="minorHAnsi"/>
          <w:sz w:val="22"/>
          <w:szCs w:val="22"/>
        </w:rPr>
      </w:pPr>
      <w:r w:rsidRPr="009B5C19">
        <w:rPr>
          <w:rFonts w:asciiTheme="minorHAnsi" w:hAnsiTheme="minorHAnsi" w:cstheme="minorHAnsi"/>
          <w:sz w:val="22"/>
          <w:szCs w:val="22"/>
        </w:rPr>
        <w:t>Providing information about resources and support services</w:t>
      </w:r>
    </w:p>
    <w:p w14:paraId="64AB0A79" w14:textId="77777777" w:rsidR="009B5C19" w:rsidRPr="009B5C19" w:rsidRDefault="009B5C19" w:rsidP="00924A51">
      <w:pPr>
        <w:pStyle w:val="ListParagraph"/>
        <w:numPr>
          <w:ilvl w:val="0"/>
          <w:numId w:val="19"/>
        </w:numPr>
        <w:spacing w:after="160" w:line="240" w:lineRule="auto"/>
        <w:rPr>
          <w:rFonts w:asciiTheme="minorHAnsi" w:eastAsia="Times New Roman" w:hAnsiTheme="minorHAnsi" w:cstheme="minorHAnsi"/>
          <w:lang w:eastAsia="en-AU"/>
        </w:rPr>
      </w:pPr>
      <w:r w:rsidRPr="009B5C19">
        <w:rPr>
          <w:rFonts w:asciiTheme="minorHAnsi" w:eastAsia="Times New Roman" w:hAnsiTheme="minorHAnsi" w:cstheme="minorHAnsi"/>
          <w:lang w:eastAsia="en-AU"/>
        </w:rPr>
        <w:t>Assisting in the resolution of disputes</w:t>
      </w:r>
    </w:p>
    <w:p w14:paraId="10BDA285" w14:textId="77777777" w:rsidR="009B5C19" w:rsidRPr="009B5C19" w:rsidRDefault="009B5C19" w:rsidP="00924A51">
      <w:pPr>
        <w:rPr>
          <w:rFonts w:asciiTheme="minorHAnsi" w:hAnsiTheme="minorHAnsi" w:cstheme="minorHAnsi"/>
          <w:sz w:val="22"/>
          <w:szCs w:val="22"/>
        </w:rPr>
      </w:pPr>
      <w:r w:rsidRPr="009B5C19">
        <w:rPr>
          <w:rFonts w:asciiTheme="minorHAnsi" w:hAnsiTheme="minorHAnsi" w:cstheme="minorHAnsi"/>
          <w:sz w:val="22"/>
          <w:szCs w:val="22"/>
        </w:rPr>
        <w:lastRenderedPageBreak/>
        <w:t>In addition to supporting the introduction of dispute resolution into the case pathway, CCEs will be delivering a new type of early assessment event; a Child Impact Report (CIR).  The purpose of this report will be to:</w:t>
      </w:r>
    </w:p>
    <w:p w14:paraId="561084A2" w14:textId="77777777" w:rsidR="009B5C19" w:rsidRPr="009B5C19" w:rsidRDefault="009B5C19" w:rsidP="00924A51">
      <w:pPr>
        <w:pStyle w:val="ListParagraph"/>
        <w:numPr>
          <w:ilvl w:val="0"/>
          <w:numId w:val="20"/>
        </w:numPr>
        <w:shd w:val="clear" w:color="auto" w:fill="FFFFFF"/>
        <w:spacing w:after="0" w:line="240" w:lineRule="auto"/>
        <w:ind w:left="709"/>
        <w:jc w:val="both"/>
        <w:rPr>
          <w:rFonts w:asciiTheme="minorHAnsi" w:eastAsia="Times New Roman" w:hAnsiTheme="minorHAnsi" w:cstheme="minorHAnsi"/>
          <w:lang w:eastAsia="en-AU"/>
        </w:rPr>
      </w:pPr>
      <w:r w:rsidRPr="009B5C19">
        <w:rPr>
          <w:rFonts w:asciiTheme="minorHAnsi" w:eastAsia="Times New Roman" w:hAnsiTheme="minorHAnsi" w:cstheme="minorHAnsi"/>
          <w:lang w:eastAsia="en-AU"/>
        </w:rPr>
        <w:t>Focus the parties on the impact the dispute is having on the child/ren</w:t>
      </w:r>
    </w:p>
    <w:p w14:paraId="52BD1D28" w14:textId="77777777" w:rsidR="009B5C19" w:rsidRPr="009B5C19" w:rsidRDefault="009B5C19" w:rsidP="00924A51">
      <w:pPr>
        <w:pStyle w:val="ListParagraph"/>
        <w:numPr>
          <w:ilvl w:val="0"/>
          <w:numId w:val="20"/>
        </w:numPr>
        <w:shd w:val="clear" w:color="auto" w:fill="FFFFFF"/>
        <w:spacing w:after="0" w:line="240" w:lineRule="auto"/>
        <w:ind w:left="709"/>
        <w:jc w:val="both"/>
        <w:rPr>
          <w:rFonts w:asciiTheme="minorHAnsi" w:eastAsia="Times New Roman" w:hAnsiTheme="minorHAnsi" w:cstheme="minorHAnsi"/>
          <w:lang w:eastAsia="en-AU"/>
        </w:rPr>
      </w:pPr>
      <w:r w:rsidRPr="009B5C19">
        <w:rPr>
          <w:rFonts w:asciiTheme="minorHAnsi" w:eastAsia="Times New Roman" w:hAnsiTheme="minorHAnsi" w:cstheme="minorHAnsi"/>
          <w:lang w:eastAsia="en-AU"/>
        </w:rPr>
        <w:t>Give a voice to the child at the early stage of proceedings</w:t>
      </w:r>
    </w:p>
    <w:p w14:paraId="3C146D5C" w14:textId="77777777" w:rsidR="009B5C19" w:rsidRPr="009B5C19" w:rsidRDefault="009B5C19" w:rsidP="00924A51">
      <w:pPr>
        <w:pStyle w:val="ListParagraph"/>
        <w:numPr>
          <w:ilvl w:val="0"/>
          <w:numId w:val="20"/>
        </w:numPr>
        <w:shd w:val="clear" w:color="auto" w:fill="FFFFFF"/>
        <w:spacing w:after="0" w:line="240" w:lineRule="auto"/>
        <w:ind w:left="709"/>
        <w:jc w:val="both"/>
        <w:rPr>
          <w:rFonts w:asciiTheme="minorHAnsi" w:eastAsia="Times New Roman" w:hAnsiTheme="minorHAnsi" w:cstheme="minorHAnsi"/>
          <w:lang w:eastAsia="en-AU"/>
        </w:rPr>
      </w:pPr>
      <w:r w:rsidRPr="009B5C19">
        <w:rPr>
          <w:rFonts w:asciiTheme="minorHAnsi" w:eastAsia="Times New Roman" w:hAnsiTheme="minorHAnsi" w:cstheme="minorHAnsi"/>
          <w:lang w:eastAsia="en-AU"/>
        </w:rPr>
        <w:t>Inform the dispute resolution event</w:t>
      </w:r>
    </w:p>
    <w:p w14:paraId="76B4367D" w14:textId="77777777" w:rsidR="009B5C19" w:rsidRPr="009B5C19" w:rsidRDefault="009B5C19" w:rsidP="00924A51">
      <w:pPr>
        <w:pStyle w:val="ListParagraph"/>
        <w:numPr>
          <w:ilvl w:val="0"/>
          <w:numId w:val="20"/>
        </w:numPr>
        <w:shd w:val="clear" w:color="auto" w:fill="FFFFFF"/>
        <w:spacing w:after="0" w:line="240" w:lineRule="auto"/>
        <w:ind w:left="709"/>
        <w:jc w:val="both"/>
        <w:rPr>
          <w:rFonts w:asciiTheme="minorHAnsi" w:eastAsia="Times New Roman" w:hAnsiTheme="minorHAnsi" w:cstheme="minorHAnsi"/>
          <w:lang w:eastAsia="en-AU"/>
        </w:rPr>
      </w:pPr>
      <w:r w:rsidRPr="009B5C19">
        <w:rPr>
          <w:rFonts w:asciiTheme="minorHAnsi" w:eastAsia="Times New Roman" w:hAnsiTheme="minorHAnsi" w:cstheme="minorHAnsi"/>
          <w:lang w:eastAsia="en-AU"/>
        </w:rPr>
        <w:t>Provide evidence for an interim hearing where necessary</w:t>
      </w:r>
    </w:p>
    <w:p w14:paraId="7A9B51F7" w14:textId="77777777" w:rsidR="009B5C19" w:rsidRPr="009B5C19" w:rsidRDefault="009B5C19" w:rsidP="00A64020">
      <w:pPr>
        <w:pStyle w:val="ListParagraph"/>
        <w:numPr>
          <w:ilvl w:val="0"/>
          <w:numId w:val="20"/>
        </w:numPr>
        <w:shd w:val="clear" w:color="auto" w:fill="FFFFFF"/>
        <w:spacing w:line="240" w:lineRule="auto"/>
        <w:ind w:left="709"/>
        <w:jc w:val="both"/>
        <w:rPr>
          <w:rFonts w:asciiTheme="minorHAnsi" w:eastAsia="Times New Roman" w:hAnsiTheme="minorHAnsi" w:cstheme="minorHAnsi"/>
          <w:lang w:eastAsia="en-AU"/>
        </w:rPr>
      </w:pPr>
      <w:r w:rsidRPr="009B5C19">
        <w:rPr>
          <w:rFonts w:asciiTheme="minorHAnsi" w:eastAsia="Times New Roman" w:hAnsiTheme="minorHAnsi" w:cstheme="minorHAnsi"/>
          <w:lang w:eastAsia="en-AU"/>
        </w:rPr>
        <w:t>Assist the Court in identifying what evidence may be required for trial</w:t>
      </w:r>
    </w:p>
    <w:p w14:paraId="480E813E" w14:textId="3A77C98E" w:rsidR="009B5C19" w:rsidRPr="009B5C19" w:rsidRDefault="009B5C19" w:rsidP="00A64020">
      <w:pPr>
        <w:shd w:val="clear" w:color="auto" w:fill="FFFFFF"/>
        <w:spacing w:after="200"/>
        <w:jc w:val="both"/>
        <w:rPr>
          <w:rFonts w:asciiTheme="minorHAnsi" w:hAnsiTheme="minorHAnsi" w:cstheme="minorHAnsi"/>
          <w:sz w:val="22"/>
          <w:szCs w:val="22"/>
        </w:rPr>
      </w:pPr>
      <w:r w:rsidRPr="009B5C19">
        <w:rPr>
          <w:rFonts w:asciiTheme="minorHAnsi" w:hAnsiTheme="minorHAnsi" w:cstheme="minorHAnsi"/>
          <w:sz w:val="22"/>
          <w:szCs w:val="22"/>
        </w:rPr>
        <w:t xml:space="preserve">Key to the </w:t>
      </w:r>
      <w:r w:rsidR="00D1350C">
        <w:rPr>
          <w:rFonts w:asciiTheme="minorHAnsi" w:hAnsiTheme="minorHAnsi" w:cstheme="minorHAnsi"/>
          <w:sz w:val="22"/>
          <w:szCs w:val="22"/>
        </w:rPr>
        <w:t xml:space="preserve">importance </w:t>
      </w:r>
      <w:r w:rsidRPr="009B5C19">
        <w:rPr>
          <w:rFonts w:asciiTheme="minorHAnsi" w:hAnsiTheme="minorHAnsi" w:cstheme="minorHAnsi"/>
          <w:sz w:val="22"/>
          <w:szCs w:val="22"/>
        </w:rPr>
        <w:t>of this new event will be the CCE’s access to critical case information through recent initiatives such as the Court’s Notice of Child Abuse, Family Violence and Risk and the colocation of police and child protection services.</w:t>
      </w:r>
    </w:p>
    <w:p w14:paraId="235CEA13" w14:textId="67B1DDD0" w:rsidR="007E1B8A" w:rsidRPr="00404E7C" w:rsidRDefault="007E1B8A" w:rsidP="00924A51">
      <w:pPr>
        <w:rPr>
          <w:rFonts w:asciiTheme="minorHAnsi" w:hAnsiTheme="minorHAnsi" w:cstheme="minorHAnsi"/>
          <w:b/>
          <w:sz w:val="22"/>
          <w:szCs w:val="22"/>
          <w:lang w:eastAsia="zh-CN"/>
        </w:rPr>
      </w:pPr>
      <w:r w:rsidRPr="00404E7C">
        <w:rPr>
          <w:rFonts w:asciiTheme="minorHAnsi" w:hAnsiTheme="minorHAnsi" w:cstheme="minorHAnsi"/>
          <w:b/>
          <w:sz w:val="22"/>
          <w:szCs w:val="22"/>
          <w:lang w:eastAsia="zh-CN"/>
        </w:rPr>
        <w:t>New email addresses</w:t>
      </w:r>
    </w:p>
    <w:p w14:paraId="3E8C9E43" w14:textId="3DFE62AE" w:rsidR="007E1B8A" w:rsidRPr="00404E7C" w:rsidRDefault="007E1B8A" w:rsidP="00A64020">
      <w:pPr>
        <w:pStyle w:val="xxmsonormal"/>
        <w:spacing w:after="240"/>
        <w:rPr>
          <w:rFonts w:asciiTheme="minorHAnsi" w:eastAsia="Times New Roman" w:hAnsiTheme="minorHAnsi" w:cstheme="minorHAnsi"/>
          <w:bCs/>
          <w:lang w:eastAsia="zh-CN"/>
        </w:rPr>
      </w:pPr>
      <w:r w:rsidRPr="00404E7C">
        <w:rPr>
          <w:rFonts w:asciiTheme="minorHAnsi" w:eastAsia="Times New Roman" w:hAnsiTheme="minorHAnsi" w:cstheme="minorHAnsi"/>
          <w:bCs/>
          <w:lang w:eastAsia="zh-CN"/>
        </w:rPr>
        <w:t>P</w:t>
      </w:r>
      <w:r>
        <w:rPr>
          <w:rFonts w:asciiTheme="minorHAnsi" w:eastAsia="Times New Roman" w:hAnsiTheme="minorHAnsi" w:cstheme="minorHAnsi"/>
          <w:bCs/>
          <w:lang w:eastAsia="zh-CN"/>
        </w:rPr>
        <w:t xml:space="preserve">ractitioners and parties, unless otherwise advised, </w:t>
      </w:r>
      <w:r w:rsidRPr="00404E7C">
        <w:rPr>
          <w:rFonts w:asciiTheme="minorHAnsi" w:eastAsia="Times New Roman" w:hAnsiTheme="minorHAnsi" w:cstheme="minorHAnsi"/>
          <w:bCs/>
          <w:lang w:eastAsia="zh-CN"/>
        </w:rPr>
        <w:t xml:space="preserve">can </w:t>
      </w:r>
      <w:r w:rsidR="005E30FA">
        <w:rPr>
          <w:rFonts w:asciiTheme="minorHAnsi" w:eastAsia="Times New Roman" w:hAnsiTheme="minorHAnsi" w:cstheme="minorHAnsi"/>
          <w:bCs/>
          <w:lang w:eastAsia="zh-CN"/>
        </w:rPr>
        <w:t>expect</w:t>
      </w:r>
      <w:r w:rsidRPr="00404E7C">
        <w:rPr>
          <w:rFonts w:asciiTheme="minorHAnsi" w:eastAsia="Times New Roman" w:hAnsiTheme="minorHAnsi" w:cstheme="minorHAnsi"/>
          <w:bCs/>
          <w:lang w:eastAsia="zh-CN"/>
        </w:rPr>
        <w:t xml:space="preserve"> that current court email addresses with @familycourt.gov.au @federalcircuitcourt.gov.au or @familylawcourts.gov.au domains, will be converted to @fcfcoa.gov.au email addresses with the same formatting before the @. In the short term, existing email addresses will automatically redirect to the new @fcfcoa.gov.au address. </w:t>
      </w:r>
    </w:p>
    <w:p w14:paraId="5FA8811A" w14:textId="7CD71880" w:rsidR="00996444" w:rsidRPr="00733662" w:rsidRDefault="00996444" w:rsidP="00924A51">
      <w:pPr>
        <w:jc w:val="both"/>
        <w:rPr>
          <w:rFonts w:asciiTheme="minorHAnsi" w:eastAsia="Calibri" w:hAnsiTheme="minorHAnsi" w:cstheme="minorHAnsi"/>
          <w:b/>
          <w:bCs/>
          <w:sz w:val="22"/>
          <w:szCs w:val="22"/>
        </w:rPr>
      </w:pPr>
      <w:r w:rsidRPr="00733662">
        <w:rPr>
          <w:rFonts w:asciiTheme="minorHAnsi" w:eastAsia="Calibri" w:hAnsiTheme="minorHAnsi" w:cstheme="minorHAnsi"/>
          <w:b/>
          <w:bCs/>
          <w:sz w:val="22"/>
          <w:szCs w:val="22"/>
        </w:rPr>
        <w:t>Furth</w:t>
      </w:r>
      <w:r w:rsidR="00DF4CDB" w:rsidRPr="00733662">
        <w:rPr>
          <w:rFonts w:asciiTheme="minorHAnsi" w:eastAsia="Calibri" w:hAnsiTheme="minorHAnsi" w:cstheme="minorHAnsi"/>
          <w:b/>
          <w:bCs/>
          <w:sz w:val="22"/>
          <w:szCs w:val="22"/>
        </w:rPr>
        <w:t>e</w:t>
      </w:r>
      <w:r w:rsidRPr="00733662">
        <w:rPr>
          <w:rFonts w:asciiTheme="minorHAnsi" w:eastAsia="Calibri" w:hAnsiTheme="minorHAnsi" w:cstheme="minorHAnsi"/>
          <w:b/>
          <w:bCs/>
          <w:sz w:val="22"/>
          <w:szCs w:val="22"/>
        </w:rPr>
        <w:t>r information</w:t>
      </w:r>
    </w:p>
    <w:p w14:paraId="40A093D3" w14:textId="06FE341B" w:rsidR="00F63881" w:rsidRDefault="00996444" w:rsidP="00A64020">
      <w:pPr>
        <w:jc w:val="both"/>
        <w:rPr>
          <w:rFonts w:asciiTheme="minorHAnsi" w:hAnsiTheme="minorHAnsi" w:cstheme="minorHAnsi"/>
          <w:sz w:val="22"/>
          <w:szCs w:val="22"/>
        </w:rPr>
      </w:pPr>
      <w:r w:rsidRPr="00C4092C">
        <w:rPr>
          <w:rFonts w:asciiTheme="minorHAnsi" w:hAnsiTheme="minorHAnsi" w:cstheme="minorHAnsi"/>
          <w:sz w:val="22"/>
          <w:szCs w:val="22"/>
        </w:rPr>
        <w:t>P</w:t>
      </w:r>
      <w:r w:rsidR="00B2641A" w:rsidRPr="00C4092C">
        <w:rPr>
          <w:rFonts w:asciiTheme="minorHAnsi" w:hAnsiTheme="minorHAnsi" w:cstheme="minorHAnsi"/>
          <w:sz w:val="22"/>
          <w:szCs w:val="22"/>
        </w:rPr>
        <w:t>ractitioners are encouraged to</w:t>
      </w:r>
      <w:r w:rsidRPr="00C4092C">
        <w:rPr>
          <w:rFonts w:asciiTheme="minorHAnsi" w:hAnsiTheme="minorHAnsi" w:cstheme="minorHAnsi"/>
          <w:sz w:val="22"/>
          <w:szCs w:val="22"/>
        </w:rPr>
        <w:t xml:space="preserve"> review previous updates which can be accessed from the </w:t>
      </w:r>
      <w:hyperlink r:id="rId14" w:history="1">
        <w:r w:rsidRPr="00C4092C">
          <w:rPr>
            <w:rStyle w:val="Hyperlink"/>
            <w:rFonts w:asciiTheme="minorHAnsi" w:hAnsiTheme="minorHAnsi" w:cstheme="minorHAnsi"/>
            <w:sz w:val="22"/>
            <w:szCs w:val="22"/>
          </w:rPr>
          <w:t>FCoA website</w:t>
        </w:r>
      </w:hyperlink>
      <w:r w:rsidRPr="00C4092C">
        <w:rPr>
          <w:rFonts w:asciiTheme="minorHAnsi" w:hAnsiTheme="minorHAnsi" w:cstheme="minorHAnsi"/>
          <w:sz w:val="22"/>
          <w:szCs w:val="22"/>
        </w:rPr>
        <w:t xml:space="preserve"> and </w:t>
      </w:r>
      <w:hyperlink r:id="rId15" w:history="1">
        <w:r w:rsidRPr="00C4092C">
          <w:rPr>
            <w:rStyle w:val="Hyperlink"/>
            <w:rFonts w:asciiTheme="minorHAnsi" w:hAnsiTheme="minorHAnsi" w:cstheme="minorHAnsi"/>
            <w:sz w:val="22"/>
            <w:szCs w:val="22"/>
          </w:rPr>
          <w:t>FCC website</w:t>
        </w:r>
      </w:hyperlink>
      <w:r w:rsidRPr="00C4092C">
        <w:rPr>
          <w:rFonts w:asciiTheme="minorHAnsi" w:hAnsiTheme="minorHAnsi" w:cstheme="minorHAnsi"/>
          <w:sz w:val="22"/>
          <w:szCs w:val="22"/>
        </w:rPr>
        <w:t xml:space="preserve">. </w:t>
      </w:r>
      <w:r w:rsidR="00EA680E">
        <w:rPr>
          <w:rFonts w:asciiTheme="minorHAnsi" w:hAnsiTheme="minorHAnsi" w:cstheme="minorHAnsi"/>
          <w:sz w:val="22"/>
          <w:szCs w:val="22"/>
        </w:rPr>
        <w:t xml:space="preserve">From 1 September, the new (single) website address will be </w:t>
      </w:r>
      <w:r w:rsidR="00EA680E" w:rsidRPr="00A64020">
        <w:rPr>
          <w:rFonts w:asciiTheme="minorHAnsi" w:hAnsiTheme="minorHAnsi" w:cstheme="minorHAnsi"/>
          <w:sz w:val="22"/>
          <w:szCs w:val="22"/>
        </w:rPr>
        <w:t>www.fcfcoa.gov.au</w:t>
      </w:r>
      <w:r w:rsidR="00EA680E">
        <w:rPr>
          <w:rFonts w:asciiTheme="minorHAnsi" w:hAnsiTheme="minorHAnsi" w:cstheme="minorHAnsi"/>
          <w:sz w:val="22"/>
          <w:szCs w:val="22"/>
        </w:rPr>
        <w:t xml:space="preserve"> </w:t>
      </w:r>
    </w:p>
    <w:p w14:paraId="11677A4D" w14:textId="6C59DA26" w:rsidR="00550AC0" w:rsidRPr="005C0EBF" w:rsidRDefault="00550AC0" w:rsidP="00A64020">
      <w:pPr>
        <w:autoSpaceDE w:val="0"/>
        <w:autoSpaceDN w:val="0"/>
        <w:spacing w:before="3360" w:line="276" w:lineRule="auto"/>
        <w:jc w:val="both"/>
        <w:rPr>
          <w:rFonts w:asciiTheme="minorHAnsi" w:eastAsiaTheme="minorEastAsia" w:hAnsiTheme="minorHAnsi" w:cstheme="minorHAnsi"/>
          <w:noProof/>
          <w:color w:val="666666"/>
          <w:sz w:val="18"/>
          <w:szCs w:val="18"/>
        </w:rPr>
      </w:pPr>
      <w:bookmarkStart w:id="1" w:name="_MailAutoSig"/>
      <w:r w:rsidRPr="005C0EBF">
        <w:rPr>
          <w:rFonts w:asciiTheme="minorHAnsi" w:eastAsiaTheme="minorEastAsia" w:hAnsiTheme="minorHAnsi" w:cstheme="minorHAnsi"/>
          <w:b/>
          <w:bCs/>
          <w:noProof/>
          <w:color w:val="44546A"/>
          <w:sz w:val="18"/>
          <w:szCs w:val="18"/>
        </w:rPr>
        <w:t>Media enquiries:</w:t>
      </w:r>
      <w:r w:rsidR="007D56C9">
        <w:rPr>
          <w:rFonts w:asciiTheme="minorHAnsi" w:eastAsiaTheme="minorEastAsia" w:hAnsiTheme="minorHAnsi" w:cstheme="minorHAnsi"/>
          <w:b/>
          <w:bCs/>
          <w:noProof/>
          <w:color w:val="44546A"/>
          <w:sz w:val="18"/>
          <w:szCs w:val="18"/>
        </w:rPr>
        <w:t xml:space="preserve">  </w:t>
      </w:r>
      <w:r w:rsidRPr="005C0EBF">
        <w:rPr>
          <w:rFonts w:asciiTheme="minorHAnsi" w:eastAsiaTheme="minorEastAsia" w:hAnsiTheme="minorHAnsi" w:cstheme="minorHAnsi"/>
          <w:b/>
          <w:bCs/>
          <w:noProof/>
          <w:color w:val="44546A"/>
          <w:sz w:val="18"/>
          <w:szCs w:val="18"/>
        </w:rPr>
        <w:t xml:space="preserve">Denise Healy, </w:t>
      </w:r>
      <w:r w:rsidRPr="005C0EBF">
        <w:rPr>
          <w:rFonts w:asciiTheme="minorHAnsi" w:eastAsiaTheme="minorEastAsia" w:hAnsiTheme="minorHAnsi" w:cstheme="minorHAnsi"/>
          <w:noProof/>
          <w:color w:val="666666"/>
          <w:sz w:val="18"/>
          <w:szCs w:val="18"/>
        </w:rPr>
        <w:t xml:space="preserve">Director – Media &amp; Public Affairs </w:t>
      </w:r>
    </w:p>
    <w:p w14:paraId="49CBA986" w14:textId="77777777" w:rsidR="00550AC0" w:rsidRPr="005C0EBF" w:rsidRDefault="00550AC0" w:rsidP="007E1B8A">
      <w:pPr>
        <w:autoSpaceDE w:val="0"/>
        <w:autoSpaceDN w:val="0"/>
        <w:spacing w:line="276" w:lineRule="auto"/>
        <w:jc w:val="both"/>
        <w:rPr>
          <w:rFonts w:asciiTheme="minorHAnsi" w:eastAsiaTheme="minorEastAsia" w:hAnsiTheme="minorHAnsi" w:cstheme="minorHAnsi"/>
          <w:noProof/>
          <w:color w:val="666666"/>
          <w:sz w:val="18"/>
          <w:szCs w:val="18"/>
        </w:rPr>
      </w:pPr>
      <w:r w:rsidRPr="005C0EBF">
        <w:rPr>
          <w:rFonts w:asciiTheme="minorHAnsi" w:eastAsiaTheme="minorEastAsia" w:hAnsiTheme="minorHAnsi" w:cstheme="minorHAnsi"/>
          <w:noProof/>
          <w:color w:val="666666"/>
          <w:sz w:val="18"/>
          <w:szCs w:val="18"/>
        </w:rPr>
        <w:t>Family Court of Australia |</w:t>
      </w:r>
      <w:r w:rsidRPr="005C0EBF">
        <w:rPr>
          <w:rFonts w:asciiTheme="minorHAnsi" w:eastAsiaTheme="minorEastAsia" w:hAnsiTheme="minorHAnsi" w:cstheme="minorHAnsi"/>
          <w:b/>
          <w:bCs/>
          <w:noProof/>
          <w:color w:val="666666"/>
          <w:sz w:val="18"/>
          <w:szCs w:val="18"/>
        </w:rPr>
        <w:t xml:space="preserve"> </w:t>
      </w:r>
      <w:r w:rsidRPr="005C0EBF">
        <w:rPr>
          <w:rFonts w:asciiTheme="minorHAnsi" w:eastAsiaTheme="minorEastAsia" w:hAnsiTheme="minorHAnsi" w:cstheme="minorHAnsi"/>
          <w:noProof/>
          <w:color w:val="666666"/>
          <w:sz w:val="18"/>
          <w:szCs w:val="18"/>
        </w:rPr>
        <w:t xml:space="preserve">Federal Circuit Court of Australia </w:t>
      </w:r>
    </w:p>
    <w:p w14:paraId="3D15071E" w14:textId="77777777" w:rsidR="00550AC0" w:rsidRPr="005C0EBF" w:rsidRDefault="00550AC0" w:rsidP="007E1B8A">
      <w:pPr>
        <w:spacing w:line="276" w:lineRule="auto"/>
        <w:jc w:val="both"/>
        <w:rPr>
          <w:rFonts w:asciiTheme="minorHAnsi" w:eastAsiaTheme="minorEastAsia" w:hAnsiTheme="minorHAnsi" w:cstheme="minorHAnsi"/>
          <w:noProof/>
          <w:color w:val="666666"/>
          <w:sz w:val="18"/>
          <w:szCs w:val="18"/>
        </w:rPr>
      </w:pPr>
      <w:r w:rsidRPr="005C0EBF">
        <w:rPr>
          <w:rFonts w:asciiTheme="minorHAnsi" w:eastAsiaTheme="minorEastAsia" w:hAnsiTheme="minorHAnsi" w:cstheme="minorHAnsi"/>
          <w:b/>
          <w:bCs/>
          <w:noProof/>
          <w:color w:val="44546A"/>
          <w:sz w:val="18"/>
          <w:szCs w:val="18"/>
        </w:rPr>
        <w:t>p.</w:t>
      </w:r>
      <w:r w:rsidRPr="005C0EBF">
        <w:rPr>
          <w:rFonts w:asciiTheme="minorHAnsi" w:eastAsiaTheme="minorEastAsia" w:hAnsiTheme="minorHAnsi" w:cstheme="minorHAnsi"/>
          <w:b/>
          <w:bCs/>
          <w:noProof/>
          <w:color w:val="000000"/>
          <w:sz w:val="18"/>
          <w:szCs w:val="18"/>
        </w:rPr>
        <w:t xml:space="preserve"> </w:t>
      </w:r>
      <w:r w:rsidRPr="005C0EBF">
        <w:rPr>
          <w:rFonts w:asciiTheme="minorHAnsi" w:eastAsiaTheme="minorEastAsia" w:hAnsiTheme="minorHAnsi" w:cstheme="minorHAnsi"/>
          <w:noProof/>
          <w:color w:val="666666"/>
          <w:sz w:val="18"/>
          <w:szCs w:val="18"/>
        </w:rPr>
        <w:t xml:space="preserve">(03) 8638 6436 | </w:t>
      </w:r>
      <w:r w:rsidRPr="005C0EBF">
        <w:rPr>
          <w:rFonts w:asciiTheme="minorHAnsi" w:eastAsiaTheme="minorEastAsia" w:hAnsiTheme="minorHAnsi" w:cstheme="minorHAnsi"/>
          <w:b/>
          <w:bCs/>
          <w:noProof/>
          <w:color w:val="44546A"/>
          <w:sz w:val="18"/>
          <w:szCs w:val="18"/>
        </w:rPr>
        <w:t xml:space="preserve">m. </w:t>
      </w:r>
      <w:r w:rsidRPr="005C0EBF">
        <w:rPr>
          <w:rFonts w:asciiTheme="minorHAnsi" w:eastAsiaTheme="minorEastAsia" w:hAnsiTheme="minorHAnsi" w:cstheme="minorHAnsi"/>
          <w:noProof/>
          <w:color w:val="666666"/>
          <w:sz w:val="18"/>
          <w:szCs w:val="18"/>
        </w:rPr>
        <w:t>0409 743 695</w:t>
      </w:r>
    </w:p>
    <w:p w14:paraId="5976D51A" w14:textId="45E9034F" w:rsidR="00D50A7F" w:rsidRPr="005C0EBF" w:rsidRDefault="00550AC0" w:rsidP="007E1B8A">
      <w:pPr>
        <w:spacing w:line="276" w:lineRule="auto"/>
        <w:jc w:val="both"/>
        <w:rPr>
          <w:rFonts w:asciiTheme="minorHAnsi" w:hAnsiTheme="minorHAnsi" w:cstheme="minorHAnsi"/>
          <w:bCs/>
          <w:lang w:eastAsia="zh-CN"/>
        </w:rPr>
      </w:pPr>
      <w:r w:rsidRPr="005C0EBF">
        <w:rPr>
          <w:rFonts w:asciiTheme="minorHAnsi" w:eastAsiaTheme="minorEastAsia" w:hAnsiTheme="minorHAnsi" w:cstheme="minorHAnsi"/>
          <w:b/>
          <w:bCs/>
          <w:noProof/>
          <w:color w:val="44546A"/>
          <w:sz w:val="18"/>
          <w:szCs w:val="18"/>
        </w:rPr>
        <w:t>e.</w:t>
      </w:r>
      <w:r w:rsidRPr="005C0EBF">
        <w:rPr>
          <w:rFonts w:asciiTheme="minorHAnsi" w:eastAsiaTheme="minorEastAsia" w:hAnsiTheme="minorHAnsi" w:cstheme="minorHAnsi"/>
          <w:b/>
          <w:bCs/>
          <w:noProof/>
          <w:color w:val="000000"/>
          <w:sz w:val="18"/>
          <w:szCs w:val="18"/>
        </w:rPr>
        <w:t xml:space="preserve"> </w:t>
      </w:r>
      <w:hyperlink r:id="rId16" w:history="1">
        <w:r w:rsidRPr="005C0EBF">
          <w:rPr>
            <w:rStyle w:val="Hyperlink"/>
            <w:rFonts w:asciiTheme="minorHAnsi" w:eastAsiaTheme="minorEastAsia" w:hAnsiTheme="minorHAnsi" w:cstheme="minorHAnsi"/>
            <w:noProof/>
            <w:sz w:val="18"/>
            <w:szCs w:val="18"/>
          </w:rPr>
          <w:t>denise.healy@familycourt.gov.au</w:t>
        </w:r>
      </w:hyperlink>
      <w:bookmarkEnd w:id="1"/>
    </w:p>
    <w:sectPr w:rsidR="00D50A7F" w:rsidRPr="005C0EBF" w:rsidSect="009901DC">
      <w:headerReference w:type="default" r:id="rId17"/>
      <w:footerReference w:type="default" r:id="rId18"/>
      <w:pgSz w:w="11906" w:h="16838"/>
      <w:pgMar w:top="1134" w:right="1133" w:bottom="70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59D43E" w14:textId="77777777" w:rsidR="00724F18" w:rsidRDefault="00724F18">
      <w:r>
        <w:separator/>
      </w:r>
    </w:p>
  </w:endnote>
  <w:endnote w:type="continuationSeparator" w:id="0">
    <w:p w14:paraId="7415F79B" w14:textId="77777777" w:rsidR="00724F18" w:rsidRDefault="00724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Open Sans Light">
    <w:panose1 w:val="00000000000000000000"/>
    <w:charset w:val="00"/>
    <w:family w:val="swiss"/>
    <w:notTrueType/>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cstheme="minorHAnsi"/>
        <w:sz w:val="16"/>
        <w:szCs w:val="16"/>
      </w:rPr>
      <w:id w:val="-1475902656"/>
      <w:docPartObj>
        <w:docPartGallery w:val="Page Numbers (Bottom of Page)"/>
        <w:docPartUnique/>
      </w:docPartObj>
    </w:sdtPr>
    <w:sdtEndPr>
      <w:rPr>
        <w:color w:val="7F7F7F" w:themeColor="background1" w:themeShade="7F"/>
        <w:spacing w:val="60"/>
      </w:rPr>
    </w:sdtEndPr>
    <w:sdtContent>
      <w:p w14:paraId="6E7C664E" w14:textId="119A3A83" w:rsidR="00D055AD" w:rsidRPr="00A64020" w:rsidRDefault="006853FE" w:rsidP="00A64020">
        <w:pPr>
          <w:pStyle w:val="Footer"/>
          <w:pBdr>
            <w:top w:val="single" w:sz="4" w:space="1" w:color="D9D9D9" w:themeColor="background1" w:themeShade="D9"/>
          </w:pBdr>
          <w:jc w:val="right"/>
          <w:rPr>
            <w:rFonts w:asciiTheme="minorHAnsi" w:hAnsiTheme="minorHAnsi" w:cstheme="minorHAnsi"/>
            <w:b/>
            <w:bCs/>
            <w:sz w:val="16"/>
            <w:szCs w:val="16"/>
          </w:rPr>
        </w:pPr>
        <w:r w:rsidRPr="00A64020">
          <w:rPr>
            <w:rFonts w:asciiTheme="minorHAnsi" w:hAnsiTheme="minorHAnsi" w:cstheme="minorHAnsi"/>
            <w:sz w:val="16"/>
            <w:szCs w:val="16"/>
          </w:rPr>
          <w:fldChar w:fldCharType="begin"/>
        </w:r>
        <w:r w:rsidRPr="00A64020">
          <w:rPr>
            <w:rFonts w:asciiTheme="minorHAnsi" w:hAnsiTheme="minorHAnsi" w:cstheme="minorHAnsi"/>
            <w:sz w:val="16"/>
            <w:szCs w:val="16"/>
          </w:rPr>
          <w:instrText xml:space="preserve"> PAGE   \* MERGEFORMAT </w:instrText>
        </w:r>
        <w:r w:rsidRPr="00A64020">
          <w:rPr>
            <w:rFonts w:asciiTheme="minorHAnsi" w:hAnsiTheme="minorHAnsi" w:cstheme="minorHAnsi"/>
            <w:sz w:val="16"/>
            <w:szCs w:val="16"/>
          </w:rPr>
          <w:fldChar w:fldCharType="separate"/>
        </w:r>
        <w:r w:rsidR="00790732" w:rsidRPr="00790732">
          <w:rPr>
            <w:rFonts w:asciiTheme="minorHAnsi" w:hAnsiTheme="minorHAnsi" w:cstheme="minorHAnsi"/>
            <w:b/>
            <w:bCs/>
            <w:noProof/>
            <w:sz w:val="16"/>
            <w:szCs w:val="16"/>
          </w:rPr>
          <w:t>1</w:t>
        </w:r>
        <w:r w:rsidRPr="00A64020">
          <w:rPr>
            <w:rFonts w:asciiTheme="minorHAnsi" w:hAnsiTheme="minorHAnsi" w:cstheme="minorHAnsi"/>
            <w:b/>
            <w:bCs/>
            <w:noProof/>
            <w:sz w:val="16"/>
            <w:szCs w:val="16"/>
          </w:rPr>
          <w:fldChar w:fldCharType="end"/>
        </w:r>
        <w:r w:rsidRPr="00A64020">
          <w:rPr>
            <w:rFonts w:asciiTheme="minorHAnsi" w:hAnsiTheme="minorHAnsi" w:cstheme="minorHAnsi"/>
            <w:b/>
            <w:bCs/>
            <w:sz w:val="16"/>
            <w:szCs w:val="16"/>
          </w:rPr>
          <w:t xml:space="preserve"> | </w:t>
        </w:r>
        <w:r w:rsidRPr="00A64020">
          <w:rPr>
            <w:rFonts w:asciiTheme="minorHAnsi" w:hAnsiTheme="minorHAnsi" w:cstheme="minorHAnsi"/>
            <w:color w:val="7F7F7F" w:themeColor="background1" w:themeShade="7F"/>
            <w:spacing w:val="60"/>
            <w:sz w:val="16"/>
            <w:szCs w:val="16"/>
          </w:rPr>
          <w:t>Page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142254" w14:textId="77777777" w:rsidR="00724F18" w:rsidRDefault="00724F18">
      <w:r>
        <w:separator/>
      </w:r>
    </w:p>
  </w:footnote>
  <w:footnote w:type="continuationSeparator" w:id="0">
    <w:p w14:paraId="35464BC1" w14:textId="77777777" w:rsidR="00724F18" w:rsidRDefault="00724F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35419C" w14:textId="4142245F" w:rsidR="00037ADB" w:rsidRDefault="00AE34E6" w:rsidP="008E0DA5">
    <w:pPr>
      <w:pStyle w:val="Footer"/>
    </w:pPr>
    <w:r w:rsidRPr="00AB7BFC">
      <w:rPr>
        <w:b/>
        <w:noProof/>
      </w:rPr>
      <w:drawing>
        <wp:inline distT="0" distB="0" distL="0" distR="0" wp14:anchorId="21B29893" wp14:editId="5B93F25A">
          <wp:extent cx="4007005" cy="61460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oA_FCC_LONG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56208" cy="622154"/>
                  </a:xfrm>
                  <a:prstGeom prst="rect">
                    <a:avLst/>
                  </a:prstGeom>
                </pic:spPr>
              </pic:pic>
            </a:graphicData>
          </a:graphic>
        </wp:inline>
      </w:drawing>
    </w:r>
  </w:p>
  <w:p w14:paraId="3F22D06E" w14:textId="77777777" w:rsidR="00643FCF" w:rsidRPr="00643FCF" w:rsidRDefault="00AE34E6" w:rsidP="007F5F48">
    <w:pPr>
      <w:keepNext/>
      <w:spacing w:before="80"/>
      <w:outlineLvl w:val="0"/>
      <w:rPr>
        <w:rFonts w:ascii="Arial" w:hAnsi="Arial" w:cs="Arial"/>
        <w:sz w:val="20"/>
        <w:lang w:eastAsia="en-US"/>
      </w:rPr>
    </w:pPr>
    <w:r>
      <w:rPr>
        <w:noProof/>
      </w:rPr>
      <mc:AlternateContent>
        <mc:Choice Requires="wps">
          <w:drawing>
            <wp:anchor distT="0" distB="0" distL="114300" distR="114300" simplePos="0" relativeHeight="251657216" behindDoc="0" locked="0" layoutInCell="1" allowOverlap="1" wp14:anchorId="55C55450" wp14:editId="0E40774D">
              <wp:simplePos x="0" y="0"/>
              <wp:positionH relativeFrom="margin">
                <wp:posOffset>727446</wp:posOffset>
              </wp:positionH>
              <wp:positionV relativeFrom="paragraph">
                <wp:posOffset>10160</wp:posOffset>
              </wp:positionV>
              <wp:extent cx="5162400" cy="0"/>
              <wp:effectExtent l="0" t="0" r="1968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62400" cy="0"/>
                      </a:xfrm>
                      <a:prstGeom prst="line">
                        <a:avLst/>
                      </a:prstGeom>
                      <a:noFill/>
                      <a:ln w="24765">
                        <a:solidFill>
                          <a:schemeClr val="bg1">
                            <a:lumMod val="8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6B08FA5F" id="Straight Connector 4" o:spid="_x0000_s1026" style="position:absolute;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7.3pt,.8pt" to="463.8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" strokecolor="#d8d8d8 [2732]" strokeweight="1.95pt">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1525D9"/>
    <w:multiLevelType w:val="hybridMultilevel"/>
    <w:tmpl w:val="825CA7FC"/>
    <w:lvl w:ilvl="0" w:tplc="0196494E">
      <w:start w:val="5600"/>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92856E0"/>
    <w:multiLevelType w:val="hybridMultilevel"/>
    <w:tmpl w:val="22DCC508"/>
    <w:lvl w:ilvl="0" w:tplc="5FC0A7AE">
      <w:start w:val="1"/>
      <w:numFmt w:val="decimal"/>
      <w:lvlText w:val="%1)"/>
      <w:lvlJc w:val="left"/>
      <w:pPr>
        <w:ind w:left="720" w:hanging="360"/>
      </w:pPr>
      <w:rPr>
        <w:b/>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 w15:restartNumberingAfterBreak="0">
    <w:nsid w:val="19922571"/>
    <w:multiLevelType w:val="hybridMultilevel"/>
    <w:tmpl w:val="99F83C96"/>
    <w:lvl w:ilvl="0" w:tplc="CF6CED0C">
      <w:start w:val="1"/>
      <w:numFmt w:val="lowerLetter"/>
      <w:lvlText w:val="(%1)"/>
      <w:lvlJc w:val="left"/>
      <w:pPr>
        <w:ind w:left="720" w:hanging="360"/>
      </w:pPr>
      <w:rPr>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 w15:restartNumberingAfterBreak="0">
    <w:nsid w:val="2A110833"/>
    <w:multiLevelType w:val="multilevel"/>
    <w:tmpl w:val="7306311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2CA74146"/>
    <w:multiLevelType w:val="hybridMultilevel"/>
    <w:tmpl w:val="9F32BE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A731059"/>
    <w:multiLevelType w:val="hybridMultilevel"/>
    <w:tmpl w:val="9C34DE8A"/>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6" w15:restartNumberingAfterBreak="0">
    <w:nsid w:val="41324B0C"/>
    <w:multiLevelType w:val="hybridMultilevel"/>
    <w:tmpl w:val="A3E28C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075677C"/>
    <w:multiLevelType w:val="hybridMultilevel"/>
    <w:tmpl w:val="AC547E36"/>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8" w15:restartNumberingAfterBreak="0">
    <w:nsid w:val="536C0C60"/>
    <w:multiLevelType w:val="hybridMultilevel"/>
    <w:tmpl w:val="DEAC0BD8"/>
    <w:lvl w:ilvl="0" w:tplc="A21EEB20">
      <w:start w:val="1"/>
      <w:numFmt w:val="bullet"/>
      <w:lvlText w:val="•"/>
      <w:lvlJc w:val="left"/>
      <w:pPr>
        <w:tabs>
          <w:tab w:val="num" w:pos="720"/>
        </w:tabs>
        <w:ind w:left="720" w:hanging="360"/>
      </w:pPr>
      <w:rPr>
        <w:rFonts w:ascii="Arial" w:hAnsi="Arial" w:cs="Times New Roman" w:hint="default"/>
      </w:rPr>
    </w:lvl>
    <w:lvl w:ilvl="1" w:tplc="D2CED0D6">
      <w:start w:val="558"/>
      <w:numFmt w:val="bullet"/>
      <w:lvlText w:val="•"/>
      <w:lvlJc w:val="left"/>
      <w:pPr>
        <w:tabs>
          <w:tab w:val="num" w:pos="1440"/>
        </w:tabs>
        <w:ind w:left="1440" w:hanging="360"/>
      </w:pPr>
      <w:rPr>
        <w:rFonts w:ascii="Arial" w:hAnsi="Arial" w:cs="Times New Roman" w:hint="default"/>
      </w:rPr>
    </w:lvl>
    <w:lvl w:ilvl="2" w:tplc="5014751C">
      <w:start w:val="1"/>
      <w:numFmt w:val="bullet"/>
      <w:lvlText w:val="•"/>
      <w:lvlJc w:val="left"/>
      <w:pPr>
        <w:tabs>
          <w:tab w:val="num" w:pos="2160"/>
        </w:tabs>
        <w:ind w:left="2160" w:hanging="360"/>
      </w:pPr>
      <w:rPr>
        <w:rFonts w:ascii="Arial" w:hAnsi="Arial" w:cs="Times New Roman" w:hint="default"/>
      </w:rPr>
    </w:lvl>
    <w:lvl w:ilvl="3" w:tplc="3D58D534">
      <w:start w:val="1"/>
      <w:numFmt w:val="bullet"/>
      <w:lvlText w:val="•"/>
      <w:lvlJc w:val="left"/>
      <w:pPr>
        <w:tabs>
          <w:tab w:val="num" w:pos="2880"/>
        </w:tabs>
        <w:ind w:left="2880" w:hanging="360"/>
      </w:pPr>
      <w:rPr>
        <w:rFonts w:ascii="Arial" w:hAnsi="Arial" w:cs="Times New Roman" w:hint="default"/>
      </w:rPr>
    </w:lvl>
    <w:lvl w:ilvl="4" w:tplc="ACC0D1B0">
      <w:start w:val="1"/>
      <w:numFmt w:val="bullet"/>
      <w:lvlText w:val="•"/>
      <w:lvlJc w:val="left"/>
      <w:pPr>
        <w:tabs>
          <w:tab w:val="num" w:pos="3600"/>
        </w:tabs>
        <w:ind w:left="3600" w:hanging="360"/>
      </w:pPr>
      <w:rPr>
        <w:rFonts w:ascii="Arial" w:hAnsi="Arial" w:cs="Times New Roman" w:hint="default"/>
      </w:rPr>
    </w:lvl>
    <w:lvl w:ilvl="5" w:tplc="02FAA194">
      <w:start w:val="1"/>
      <w:numFmt w:val="bullet"/>
      <w:lvlText w:val="•"/>
      <w:lvlJc w:val="left"/>
      <w:pPr>
        <w:tabs>
          <w:tab w:val="num" w:pos="4320"/>
        </w:tabs>
        <w:ind w:left="4320" w:hanging="360"/>
      </w:pPr>
      <w:rPr>
        <w:rFonts w:ascii="Arial" w:hAnsi="Arial" w:cs="Times New Roman" w:hint="default"/>
      </w:rPr>
    </w:lvl>
    <w:lvl w:ilvl="6" w:tplc="4238C64E">
      <w:start w:val="1"/>
      <w:numFmt w:val="bullet"/>
      <w:lvlText w:val="•"/>
      <w:lvlJc w:val="left"/>
      <w:pPr>
        <w:tabs>
          <w:tab w:val="num" w:pos="5040"/>
        </w:tabs>
        <w:ind w:left="5040" w:hanging="360"/>
      </w:pPr>
      <w:rPr>
        <w:rFonts w:ascii="Arial" w:hAnsi="Arial" w:cs="Times New Roman" w:hint="default"/>
      </w:rPr>
    </w:lvl>
    <w:lvl w:ilvl="7" w:tplc="4A12E0D8">
      <w:start w:val="1"/>
      <w:numFmt w:val="bullet"/>
      <w:lvlText w:val="•"/>
      <w:lvlJc w:val="left"/>
      <w:pPr>
        <w:tabs>
          <w:tab w:val="num" w:pos="5760"/>
        </w:tabs>
        <w:ind w:left="5760" w:hanging="360"/>
      </w:pPr>
      <w:rPr>
        <w:rFonts w:ascii="Arial" w:hAnsi="Arial" w:cs="Times New Roman" w:hint="default"/>
      </w:rPr>
    </w:lvl>
    <w:lvl w:ilvl="8" w:tplc="6B9E119A">
      <w:start w:val="1"/>
      <w:numFmt w:val="bullet"/>
      <w:lvlText w:val="•"/>
      <w:lvlJc w:val="left"/>
      <w:pPr>
        <w:tabs>
          <w:tab w:val="num" w:pos="6480"/>
        </w:tabs>
        <w:ind w:left="6480" w:hanging="360"/>
      </w:pPr>
      <w:rPr>
        <w:rFonts w:ascii="Arial" w:hAnsi="Arial" w:cs="Times New Roman" w:hint="default"/>
      </w:rPr>
    </w:lvl>
  </w:abstractNum>
  <w:abstractNum w:abstractNumId="9" w15:restartNumberingAfterBreak="0">
    <w:nsid w:val="67B438BE"/>
    <w:multiLevelType w:val="hybridMultilevel"/>
    <w:tmpl w:val="10CE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A7C6A3A"/>
    <w:multiLevelType w:val="hybridMultilevel"/>
    <w:tmpl w:val="C3A8761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7D476FAA"/>
    <w:multiLevelType w:val="hybridMultilevel"/>
    <w:tmpl w:val="3A7ACE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7E4A312F"/>
    <w:multiLevelType w:val="hybridMultilevel"/>
    <w:tmpl w:val="4726CF6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9"/>
  </w:num>
  <w:num w:numId="4">
    <w:abstractNumId w:val="0"/>
  </w:num>
  <w:num w:numId="5">
    <w:abstractNumId w:val="1"/>
  </w:num>
  <w:num w:numId="6">
    <w:abstractNumId w:val="3"/>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4"/>
  </w:num>
  <w:num w:numId="13">
    <w:abstractNumId w:val="0"/>
  </w:num>
  <w:num w:numId="14">
    <w:abstractNumId w:val="8"/>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11"/>
  </w:num>
  <w:num w:numId="18">
    <w:abstractNumId w:val="0"/>
  </w:num>
  <w:num w:numId="19">
    <w:abstractNumId w:val="6"/>
  </w:num>
  <w:num w:numId="20">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E6"/>
    <w:rsid w:val="00002E4A"/>
    <w:rsid w:val="000044A4"/>
    <w:rsid w:val="000047AA"/>
    <w:rsid w:val="000175DA"/>
    <w:rsid w:val="00020523"/>
    <w:rsid w:val="0002483E"/>
    <w:rsid w:val="00025663"/>
    <w:rsid w:val="000310AB"/>
    <w:rsid w:val="0003201B"/>
    <w:rsid w:val="00032494"/>
    <w:rsid w:val="000451E7"/>
    <w:rsid w:val="00047782"/>
    <w:rsid w:val="00050023"/>
    <w:rsid w:val="0005139C"/>
    <w:rsid w:val="0005311A"/>
    <w:rsid w:val="00057FCA"/>
    <w:rsid w:val="00063B72"/>
    <w:rsid w:val="00063F91"/>
    <w:rsid w:val="00066209"/>
    <w:rsid w:val="00067A83"/>
    <w:rsid w:val="00071B48"/>
    <w:rsid w:val="000726AF"/>
    <w:rsid w:val="00073EEE"/>
    <w:rsid w:val="00077BC4"/>
    <w:rsid w:val="000857BD"/>
    <w:rsid w:val="000917EA"/>
    <w:rsid w:val="00091AEA"/>
    <w:rsid w:val="00094A2D"/>
    <w:rsid w:val="00095D9B"/>
    <w:rsid w:val="00097873"/>
    <w:rsid w:val="000A3339"/>
    <w:rsid w:val="000A4215"/>
    <w:rsid w:val="000B30F9"/>
    <w:rsid w:val="000B4FDD"/>
    <w:rsid w:val="000B5B20"/>
    <w:rsid w:val="000B7BC8"/>
    <w:rsid w:val="000D2131"/>
    <w:rsid w:val="000D377A"/>
    <w:rsid w:val="000D4A68"/>
    <w:rsid w:val="000D7C15"/>
    <w:rsid w:val="000E163D"/>
    <w:rsid w:val="000F6A9F"/>
    <w:rsid w:val="000F704C"/>
    <w:rsid w:val="000F75AA"/>
    <w:rsid w:val="00110ABD"/>
    <w:rsid w:val="00111321"/>
    <w:rsid w:val="00111B11"/>
    <w:rsid w:val="00115698"/>
    <w:rsid w:val="00115CED"/>
    <w:rsid w:val="001178B1"/>
    <w:rsid w:val="00122402"/>
    <w:rsid w:val="00122A30"/>
    <w:rsid w:val="00130971"/>
    <w:rsid w:val="00130DB5"/>
    <w:rsid w:val="001418A7"/>
    <w:rsid w:val="00142415"/>
    <w:rsid w:val="001426D1"/>
    <w:rsid w:val="00143E33"/>
    <w:rsid w:val="00147DC2"/>
    <w:rsid w:val="00152C4E"/>
    <w:rsid w:val="0015697C"/>
    <w:rsid w:val="0016107E"/>
    <w:rsid w:val="00161AFE"/>
    <w:rsid w:val="00161E28"/>
    <w:rsid w:val="00167D4E"/>
    <w:rsid w:val="001722C0"/>
    <w:rsid w:val="0018277D"/>
    <w:rsid w:val="00184CAC"/>
    <w:rsid w:val="00190678"/>
    <w:rsid w:val="00193C43"/>
    <w:rsid w:val="00193EDE"/>
    <w:rsid w:val="0019619D"/>
    <w:rsid w:val="00197EEE"/>
    <w:rsid w:val="001A004C"/>
    <w:rsid w:val="001A3C7E"/>
    <w:rsid w:val="001A4EBF"/>
    <w:rsid w:val="001B5CD6"/>
    <w:rsid w:val="001C21F7"/>
    <w:rsid w:val="001C3D24"/>
    <w:rsid w:val="001E0B76"/>
    <w:rsid w:val="001E4C5F"/>
    <w:rsid w:val="001E7C64"/>
    <w:rsid w:val="00201267"/>
    <w:rsid w:val="00203F9D"/>
    <w:rsid w:val="00210CB4"/>
    <w:rsid w:val="00211D90"/>
    <w:rsid w:val="002130F3"/>
    <w:rsid w:val="00224B94"/>
    <w:rsid w:val="00225C5C"/>
    <w:rsid w:val="00225D79"/>
    <w:rsid w:val="002361A6"/>
    <w:rsid w:val="002522B6"/>
    <w:rsid w:val="002546A9"/>
    <w:rsid w:val="00256489"/>
    <w:rsid w:val="00264DCF"/>
    <w:rsid w:val="0026629E"/>
    <w:rsid w:val="00272566"/>
    <w:rsid w:val="00275FAF"/>
    <w:rsid w:val="00282C31"/>
    <w:rsid w:val="00286FB9"/>
    <w:rsid w:val="00287FA8"/>
    <w:rsid w:val="002A04EB"/>
    <w:rsid w:val="002A112A"/>
    <w:rsid w:val="002A1798"/>
    <w:rsid w:val="002D0038"/>
    <w:rsid w:val="002E006A"/>
    <w:rsid w:val="002E0207"/>
    <w:rsid w:val="002E0843"/>
    <w:rsid w:val="002E347D"/>
    <w:rsid w:val="002E4EC1"/>
    <w:rsid w:val="002E71F9"/>
    <w:rsid w:val="002F5CD8"/>
    <w:rsid w:val="002F73C5"/>
    <w:rsid w:val="0030227F"/>
    <w:rsid w:val="003047E9"/>
    <w:rsid w:val="003053CE"/>
    <w:rsid w:val="0030689E"/>
    <w:rsid w:val="0031295D"/>
    <w:rsid w:val="00317400"/>
    <w:rsid w:val="00317A22"/>
    <w:rsid w:val="00322E77"/>
    <w:rsid w:val="00326F16"/>
    <w:rsid w:val="003302AF"/>
    <w:rsid w:val="00330BF9"/>
    <w:rsid w:val="00331792"/>
    <w:rsid w:val="00331855"/>
    <w:rsid w:val="003328DC"/>
    <w:rsid w:val="00340861"/>
    <w:rsid w:val="0034498E"/>
    <w:rsid w:val="003461EC"/>
    <w:rsid w:val="003506F5"/>
    <w:rsid w:val="00353339"/>
    <w:rsid w:val="00361190"/>
    <w:rsid w:val="003619E5"/>
    <w:rsid w:val="0036627A"/>
    <w:rsid w:val="00367C23"/>
    <w:rsid w:val="00370039"/>
    <w:rsid w:val="00371B83"/>
    <w:rsid w:val="00375533"/>
    <w:rsid w:val="003760A2"/>
    <w:rsid w:val="00382666"/>
    <w:rsid w:val="00385CD8"/>
    <w:rsid w:val="003871D1"/>
    <w:rsid w:val="00390A78"/>
    <w:rsid w:val="00390EB6"/>
    <w:rsid w:val="00391908"/>
    <w:rsid w:val="003A0900"/>
    <w:rsid w:val="003A0E0A"/>
    <w:rsid w:val="003A3639"/>
    <w:rsid w:val="003B0856"/>
    <w:rsid w:val="003B25E4"/>
    <w:rsid w:val="003C1CAE"/>
    <w:rsid w:val="003C2319"/>
    <w:rsid w:val="003D3209"/>
    <w:rsid w:val="003D58BA"/>
    <w:rsid w:val="003E24BD"/>
    <w:rsid w:val="003E2517"/>
    <w:rsid w:val="003E4F9E"/>
    <w:rsid w:val="003E7C8A"/>
    <w:rsid w:val="003F0D25"/>
    <w:rsid w:val="003F20EF"/>
    <w:rsid w:val="003F42CD"/>
    <w:rsid w:val="00404E7C"/>
    <w:rsid w:val="004053D0"/>
    <w:rsid w:val="00410658"/>
    <w:rsid w:val="004156B1"/>
    <w:rsid w:val="00424813"/>
    <w:rsid w:val="00430EE0"/>
    <w:rsid w:val="00431149"/>
    <w:rsid w:val="00436F4D"/>
    <w:rsid w:val="00437202"/>
    <w:rsid w:val="00442AA1"/>
    <w:rsid w:val="00442D13"/>
    <w:rsid w:val="0044451E"/>
    <w:rsid w:val="004504DA"/>
    <w:rsid w:val="004517D5"/>
    <w:rsid w:val="004543E3"/>
    <w:rsid w:val="0046024F"/>
    <w:rsid w:val="00463D85"/>
    <w:rsid w:val="00465380"/>
    <w:rsid w:val="004660B2"/>
    <w:rsid w:val="00467410"/>
    <w:rsid w:val="00474EBE"/>
    <w:rsid w:val="00476E4E"/>
    <w:rsid w:val="0047773B"/>
    <w:rsid w:val="00483A51"/>
    <w:rsid w:val="00486FB3"/>
    <w:rsid w:val="004A0245"/>
    <w:rsid w:val="004A3948"/>
    <w:rsid w:val="004A6925"/>
    <w:rsid w:val="004A6E07"/>
    <w:rsid w:val="004B0E57"/>
    <w:rsid w:val="004B2770"/>
    <w:rsid w:val="004B6254"/>
    <w:rsid w:val="004C1F2A"/>
    <w:rsid w:val="004C5CB4"/>
    <w:rsid w:val="004D0238"/>
    <w:rsid w:val="004E0831"/>
    <w:rsid w:val="004E422F"/>
    <w:rsid w:val="004F4582"/>
    <w:rsid w:val="005004B1"/>
    <w:rsid w:val="00502805"/>
    <w:rsid w:val="005037F8"/>
    <w:rsid w:val="005038D9"/>
    <w:rsid w:val="00504A78"/>
    <w:rsid w:val="005061A7"/>
    <w:rsid w:val="00506C0E"/>
    <w:rsid w:val="00512D5C"/>
    <w:rsid w:val="00513842"/>
    <w:rsid w:val="00513B94"/>
    <w:rsid w:val="00521785"/>
    <w:rsid w:val="005255A8"/>
    <w:rsid w:val="00530616"/>
    <w:rsid w:val="00534E37"/>
    <w:rsid w:val="00534FBB"/>
    <w:rsid w:val="00536F07"/>
    <w:rsid w:val="00550375"/>
    <w:rsid w:val="00550AC0"/>
    <w:rsid w:val="00561307"/>
    <w:rsid w:val="00564E14"/>
    <w:rsid w:val="0057433A"/>
    <w:rsid w:val="0057682F"/>
    <w:rsid w:val="00577AD9"/>
    <w:rsid w:val="00580F3C"/>
    <w:rsid w:val="00587A62"/>
    <w:rsid w:val="00591FB9"/>
    <w:rsid w:val="005A3986"/>
    <w:rsid w:val="005A4AA1"/>
    <w:rsid w:val="005A5FC2"/>
    <w:rsid w:val="005B6C08"/>
    <w:rsid w:val="005C0EBF"/>
    <w:rsid w:val="005C5449"/>
    <w:rsid w:val="005C5DA0"/>
    <w:rsid w:val="005D1027"/>
    <w:rsid w:val="005D2D86"/>
    <w:rsid w:val="005D550F"/>
    <w:rsid w:val="005D6DB0"/>
    <w:rsid w:val="005E18C8"/>
    <w:rsid w:val="005E30FA"/>
    <w:rsid w:val="005E32BF"/>
    <w:rsid w:val="005F56CC"/>
    <w:rsid w:val="00604360"/>
    <w:rsid w:val="006070D9"/>
    <w:rsid w:val="00611C53"/>
    <w:rsid w:val="00616C3C"/>
    <w:rsid w:val="00617062"/>
    <w:rsid w:val="006171D4"/>
    <w:rsid w:val="0062047D"/>
    <w:rsid w:val="00621925"/>
    <w:rsid w:val="00622617"/>
    <w:rsid w:val="00623AFB"/>
    <w:rsid w:val="00633F2D"/>
    <w:rsid w:val="0063495D"/>
    <w:rsid w:val="00635017"/>
    <w:rsid w:val="00636360"/>
    <w:rsid w:val="00636A37"/>
    <w:rsid w:val="00637A1D"/>
    <w:rsid w:val="0064018A"/>
    <w:rsid w:val="00640F80"/>
    <w:rsid w:val="00641869"/>
    <w:rsid w:val="00642005"/>
    <w:rsid w:val="00647436"/>
    <w:rsid w:val="00653B9F"/>
    <w:rsid w:val="00654C6F"/>
    <w:rsid w:val="00661E00"/>
    <w:rsid w:val="0066241D"/>
    <w:rsid w:val="00664B4E"/>
    <w:rsid w:val="00676E73"/>
    <w:rsid w:val="006802E5"/>
    <w:rsid w:val="006853FE"/>
    <w:rsid w:val="00695641"/>
    <w:rsid w:val="006A15F7"/>
    <w:rsid w:val="006A3527"/>
    <w:rsid w:val="006A45AC"/>
    <w:rsid w:val="006B2C22"/>
    <w:rsid w:val="006C142A"/>
    <w:rsid w:val="006C64D7"/>
    <w:rsid w:val="006D6F85"/>
    <w:rsid w:val="006D78FA"/>
    <w:rsid w:val="006E06B1"/>
    <w:rsid w:val="006E41BF"/>
    <w:rsid w:val="006F0274"/>
    <w:rsid w:val="006F2301"/>
    <w:rsid w:val="006F6A04"/>
    <w:rsid w:val="00704F29"/>
    <w:rsid w:val="0071071D"/>
    <w:rsid w:val="0071225F"/>
    <w:rsid w:val="00712610"/>
    <w:rsid w:val="00712686"/>
    <w:rsid w:val="00713317"/>
    <w:rsid w:val="00722B4F"/>
    <w:rsid w:val="0072403E"/>
    <w:rsid w:val="00724F18"/>
    <w:rsid w:val="0073112F"/>
    <w:rsid w:val="00732CC8"/>
    <w:rsid w:val="00733662"/>
    <w:rsid w:val="0073585B"/>
    <w:rsid w:val="00736032"/>
    <w:rsid w:val="00737E48"/>
    <w:rsid w:val="00743470"/>
    <w:rsid w:val="00744031"/>
    <w:rsid w:val="00744BFE"/>
    <w:rsid w:val="00751196"/>
    <w:rsid w:val="00754653"/>
    <w:rsid w:val="0075585A"/>
    <w:rsid w:val="0076242F"/>
    <w:rsid w:val="007631D6"/>
    <w:rsid w:val="00765BDC"/>
    <w:rsid w:val="007726AA"/>
    <w:rsid w:val="007743D6"/>
    <w:rsid w:val="00782AFD"/>
    <w:rsid w:val="00790732"/>
    <w:rsid w:val="00790AFA"/>
    <w:rsid w:val="00793114"/>
    <w:rsid w:val="007939A2"/>
    <w:rsid w:val="00794041"/>
    <w:rsid w:val="007A138B"/>
    <w:rsid w:val="007A15D5"/>
    <w:rsid w:val="007A3FA6"/>
    <w:rsid w:val="007A55C6"/>
    <w:rsid w:val="007A5B2D"/>
    <w:rsid w:val="007B0DD0"/>
    <w:rsid w:val="007B1FCC"/>
    <w:rsid w:val="007C088F"/>
    <w:rsid w:val="007C4FF0"/>
    <w:rsid w:val="007C5781"/>
    <w:rsid w:val="007D13E8"/>
    <w:rsid w:val="007D19D4"/>
    <w:rsid w:val="007D56C9"/>
    <w:rsid w:val="007D7BC4"/>
    <w:rsid w:val="007E1B8A"/>
    <w:rsid w:val="007E2824"/>
    <w:rsid w:val="007E3157"/>
    <w:rsid w:val="007F2645"/>
    <w:rsid w:val="007F2E19"/>
    <w:rsid w:val="007F37AE"/>
    <w:rsid w:val="007F3F05"/>
    <w:rsid w:val="007F730D"/>
    <w:rsid w:val="007F75C8"/>
    <w:rsid w:val="00812D7B"/>
    <w:rsid w:val="0082413C"/>
    <w:rsid w:val="008257C1"/>
    <w:rsid w:val="00825C4E"/>
    <w:rsid w:val="00831CC7"/>
    <w:rsid w:val="00832E50"/>
    <w:rsid w:val="00833724"/>
    <w:rsid w:val="00834728"/>
    <w:rsid w:val="00835336"/>
    <w:rsid w:val="0083601E"/>
    <w:rsid w:val="008406CC"/>
    <w:rsid w:val="008412FA"/>
    <w:rsid w:val="00841A83"/>
    <w:rsid w:val="008517D8"/>
    <w:rsid w:val="00851ECA"/>
    <w:rsid w:val="00852A52"/>
    <w:rsid w:val="00857F5D"/>
    <w:rsid w:val="0086067F"/>
    <w:rsid w:val="00870CBF"/>
    <w:rsid w:val="00874688"/>
    <w:rsid w:val="00877360"/>
    <w:rsid w:val="00882A88"/>
    <w:rsid w:val="008832E4"/>
    <w:rsid w:val="00883C54"/>
    <w:rsid w:val="00886FA3"/>
    <w:rsid w:val="00893524"/>
    <w:rsid w:val="00893A0D"/>
    <w:rsid w:val="00896DE1"/>
    <w:rsid w:val="008A4B6A"/>
    <w:rsid w:val="008A67C9"/>
    <w:rsid w:val="008A68DA"/>
    <w:rsid w:val="008B12D7"/>
    <w:rsid w:val="008B2BD2"/>
    <w:rsid w:val="008B434B"/>
    <w:rsid w:val="008C1DAE"/>
    <w:rsid w:val="008D0B71"/>
    <w:rsid w:val="008D1D83"/>
    <w:rsid w:val="008D3E29"/>
    <w:rsid w:val="008D468A"/>
    <w:rsid w:val="008D4E4E"/>
    <w:rsid w:val="008E124D"/>
    <w:rsid w:val="008E52AE"/>
    <w:rsid w:val="008F0241"/>
    <w:rsid w:val="008F1034"/>
    <w:rsid w:val="008F4B04"/>
    <w:rsid w:val="008F5305"/>
    <w:rsid w:val="008F638E"/>
    <w:rsid w:val="0090270E"/>
    <w:rsid w:val="00903C2A"/>
    <w:rsid w:val="0090620C"/>
    <w:rsid w:val="0090716E"/>
    <w:rsid w:val="009155F8"/>
    <w:rsid w:val="00924A51"/>
    <w:rsid w:val="00924B4B"/>
    <w:rsid w:val="009276C3"/>
    <w:rsid w:val="00932622"/>
    <w:rsid w:val="00933420"/>
    <w:rsid w:val="00935015"/>
    <w:rsid w:val="00936161"/>
    <w:rsid w:val="0093783A"/>
    <w:rsid w:val="009421C6"/>
    <w:rsid w:val="009448B3"/>
    <w:rsid w:val="00945993"/>
    <w:rsid w:val="0094652E"/>
    <w:rsid w:val="009526A5"/>
    <w:rsid w:val="00953633"/>
    <w:rsid w:val="00955CAC"/>
    <w:rsid w:val="00956102"/>
    <w:rsid w:val="00956BB3"/>
    <w:rsid w:val="00956E03"/>
    <w:rsid w:val="00961917"/>
    <w:rsid w:val="00961C4D"/>
    <w:rsid w:val="00965264"/>
    <w:rsid w:val="00972A14"/>
    <w:rsid w:val="00974647"/>
    <w:rsid w:val="0098762C"/>
    <w:rsid w:val="009901DC"/>
    <w:rsid w:val="00996444"/>
    <w:rsid w:val="009969E1"/>
    <w:rsid w:val="00996CEA"/>
    <w:rsid w:val="009A6AA2"/>
    <w:rsid w:val="009B5C19"/>
    <w:rsid w:val="009B6C43"/>
    <w:rsid w:val="009C0342"/>
    <w:rsid w:val="009C0D53"/>
    <w:rsid w:val="009C1FE6"/>
    <w:rsid w:val="009C3162"/>
    <w:rsid w:val="009C5FB5"/>
    <w:rsid w:val="009D0CB0"/>
    <w:rsid w:val="009D168F"/>
    <w:rsid w:val="009D1733"/>
    <w:rsid w:val="009D57B9"/>
    <w:rsid w:val="009D7A91"/>
    <w:rsid w:val="00A00DF2"/>
    <w:rsid w:val="00A125B7"/>
    <w:rsid w:val="00A144B5"/>
    <w:rsid w:val="00A15E20"/>
    <w:rsid w:val="00A2342A"/>
    <w:rsid w:val="00A23E00"/>
    <w:rsid w:val="00A24696"/>
    <w:rsid w:val="00A25ABC"/>
    <w:rsid w:val="00A26491"/>
    <w:rsid w:val="00A26D12"/>
    <w:rsid w:val="00A36D4A"/>
    <w:rsid w:val="00A45603"/>
    <w:rsid w:val="00A521A3"/>
    <w:rsid w:val="00A53854"/>
    <w:rsid w:val="00A60331"/>
    <w:rsid w:val="00A6068D"/>
    <w:rsid w:val="00A64020"/>
    <w:rsid w:val="00A64E0D"/>
    <w:rsid w:val="00A6566E"/>
    <w:rsid w:val="00A65EB1"/>
    <w:rsid w:val="00A67E79"/>
    <w:rsid w:val="00A700A7"/>
    <w:rsid w:val="00A7166E"/>
    <w:rsid w:val="00A779B9"/>
    <w:rsid w:val="00A80091"/>
    <w:rsid w:val="00A80DA4"/>
    <w:rsid w:val="00A86BF7"/>
    <w:rsid w:val="00A870C2"/>
    <w:rsid w:val="00A92FC4"/>
    <w:rsid w:val="00A9477C"/>
    <w:rsid w:val="00A9531A"/>
    <w:rsid w:val="00A96F01"/>
    <w:rsid w:val="00AA0874"/>
    <w:rsid w:val="00AA5B27"/>
    <w:rsid w:val="00AA6477"/>
    <w:rsid w:val="00AB0E68"/>
    <w:rsid w:val="00AB213B"/>
    <w:rsid w:val="00AB4269"/>
    <w:rsid w:val="00AB7BFC"/>
    <w:rsid w:val="00AC1EE2"/>
    <w:rsid w:val="00AC2198"/>
    <w:rsid w:val="00AD00FA"/>
    <w:rsid w:val="00AD024B"/>
    <w:rsid w:val="00AD0B8C"/>
    <w:rsid w:val="00AD0D82"/>
    <w:rsid w:val="00AD2A7B"/>
    <w:rsid w:val="00AD4134"/>
    <w:rsid w:val="00AD58F3"/>
    <w:rsid w:val="00AD74A3"/>
    <w:rsid w:val="00AE1DFA"/>
    <w:rsid w:val="00AE2AC6"/>
    <w:rsid w:val="00AE2D7E"/>
    <w:rsid w:val="00AE34E6"/>
    <w:rsid w:val="00AE6317"/>
    <w:rsid w:val="00AF3C40"/>
    <w:rsid w:val="00AF5C42"/>
    <w:rsid w:val="00B02645"/>
    <w:rsid w:val="00B05FEE"/>
    <w:rsid w:val="00B07C37"/>
    <w:rsid w:val="00B1052F"/>
    <w:rsid w:val="00B14937"/>
    <w:rsid w:val="00B2417B"/>
    <w:rsid w:val="00B2423A"/>
    <w:rsid w:val="00B24A19"/>
    <w:rsid w:val="00B2641A"/>
    <w:rsid w:val="00B27746"/>
    <w:rsid w:val="00B43CA3"/>
    <w:rsid w:val="00B44E8C"/>
    <w:rsid w:val="00B47337"/>
    <w:rsid w:val="00B52487"/>
    <w:rsid w:val="00B53A35"/>
    <w:rsid w:val="00B54252"/>
    <w:rsid w:val="00B6370B"/>
    <w:rsid w:val="00B63ACD"/>
    <w:rsid w:val="00B71688"/>
    <w:rsid w:val="00B73790"/>
    <w:rsid w:val="00B73CFE"/>
    <w:rsid w:val="00B74497"/>
    <w:rsid w:val="00B90851"/>
    <w:rsid w:val="00B90C43"/>
    <w:rsid w:val="00B972DB"/>
    <w:rsid w:val="00BA10A9"/>
    <w:rsid w:val="00BA4AC8"/>
    <w:rsid w:val="00BB07C9"/>
    <w:rsid w:val="00BB5D69"/>
    <w:rsid w:val="00BC24B2"/>
    <w:rsid w:val="00BC52AF"/>
    <w:rsid w:val="00BC6BB7"/>
    <w:rsid w:val="00BD1C74"/>
    <w:rsid w:val="00BD1E33"/>
    <w:rsid w:val="00BD36B7"/>
    <w:rsid w:val="00BD3C12"/>
    <w:rsid w:val="00BD4F8D"/>
    <w:rsid w:val="00BD58AD"/>
    <w:rsid w:val="00BD7B59"/>
    <w:rsid w:val="00BE2B9B"/>
    <w:rsid w:val="00BE4391"/>
    <w:rsid w:val="00C00EC1"/>
    <w:rsid w:val="00C053BE"/>
    <w:rsid w:val="00C06603"/>
    <w:rsid w:val="00C10F66"/>
    <w:rsid w:val="00C15310"/>
    <w:rsid w:val="00C16D49"/>
    <w:rsid w:val="00C23266"/>
    <w:rsid w:val="00C2713F"/>
    <w:rsid w:val="00C3397C"/>
    <w:rsid w:val="00C340A5"/>
    <w:rsid w:val="00C37918"/>
    <w:rsid w:val="00C4092C"/>
    <w:rsid w:val="00C44F66"/>
    <w:rsid w:val="00C51D5E"/>
    <w:rsid w:val="00C532C2"/>
    <w:rsid w:val="00C5459A"/>
    <w:rsid w:val="00C71BD4"/>
    <w:rsid w:val="00C72435"/>
    <w:rsid w:val="00C7321E"/>
    <w:rsid w:val="00C74449"/>
    <w:rsid w:val="00C777C1"/>
    <w:rsid w:val="00C77CAC"/>
    <w:rsid w:val="00C82827"/>
    <w:rsid w:val="00C861C9"/>
    <w:rsid w:val="00C9452B"/>
    <w:rsid w:val="00C97D4D"/>
    <w:rsid w:val="00CA5101"/>
    <w:rsid w:val="00CA52F8"/>
    <w:rsid w:val="00CB31B1"/>
    <w:rsid w:val="00CB4906"/>
    <w:rsid w:val="00CC011C"/>
    <w:rsid w:val="00CC0EEE"/>
    <w:rsid w:val="00CC334C"/>
    <w:rsid w:val="00CC77A0"/>
    <w:rsid w:val="00CD5D7F"/>
    <w:rsid w:val="00CE120B"/>
    <w:rsid w:val="00CE15F7"/>
    <w:rsid w:val="00CE3D17"/>
    <w:rsid w:val="00CE7C6C"/>
    <w:rsid w:val="00CF0A36"/>
    <w:rsid w:val="00CF1913"/>
    <w:rsid w:val="00CF3812"/>
    <w:rsid w:val="00CF71E9"/>
    <w:rsid w:val="00D04152"/>
    <w:rsid w:val="00D055AD"/>
    <w:rsid w:val="00D12D12"/>
    <w:rsid w:val="00D1350C"/>
    <w:rsid w:val="00D15FE5"/>
    <w:rsid w:val="00D17BD3"/>
    <w:rsid w:val="00D211E7"/>
    <w:rsid w:val="00D32B8C"/>
    <w:rsid w:val="00D36651"/>
    <w:rsid w:val="00D43B79"/>
    <w:rsid w:val="00D45EDF"/>
    <w:rsid w:val="00D471E2"/>
    <w:rsid w:val="00D5000A"/>
    <w:rsid w:val="00D504A8"/>
    <w:rsid w:val="00D505FA"/>
    <w:rsid w:val="00D50723"/>
    <w:rsid w:val="00D50A7F"/>
    <w:rsid w:val="00D62995"/>
    <w:rsid w:val="00D63021"/>
    <w:rsid w:val="00D70D4C"/>
    <w:rsid w:val="00D71FFB"/>
    <w:rsid w:val="00D735E7"/>
    <w:rsid w:val="00D753F1"/>
    <w:rsid w:val="00D76CCB"/>
    <w:rsid w:val="00D77150"/>
    <w:rsid w:val="00D771F0"/>
    <w:rsid w:val="00D823DB"/>
    <w:rsid w:val="00D8287F"/>
    <w:rsid w:val="00D92ACC"/>
    <w:rsid w:val="00D93012"/>
    <w:rsid w:val="00D93905"/>
    <w:rsid w:val="00D94232"/>
    <w:rsid w:val="00DA5535"/>
    <w:rsid w:val="00DB0D8A"/>
    <w:rsid w:val="00DB3FDA"/>
    <w:rsid w:val="00DC1195"/>
    <w:rsid w:val="00DC394B"/>
    <w:rsid w:val="00DC3B61"/>
    <w:rsid w:val="00DC42EF"/>
    <w:rsid w:val="00DC6D1D"/>
    <w:rsid w:val="00DD6DBF"/>
    <w:rsid w:val="00DE1592"/>
    <w:rsid w:val="00DE2DE8"/>
    <w:rsid w:val="00DE2DED"/>
    <w:rsid w:val="00DE4866"/>
    <w:rsid w:val="00DE56FC"/>
    <w:rsid w:val="00DF4CDB"/>
    <w:rsid w:val="00E002A8"/>
    <w:rsid w:val="00E01416"/>
    <w:rsid w:val="00E0325A"/>
    <w:rsid w:val="00E03716"/>
    <w:rsid w:val="00E056B2"/>
    <w:rsid w:val="00E073B8"/>
    <w:rsid w:val="00E11EB8"/>
    <w:rsid w:val="00E12977"/>
    <w:rsid w:val="00E14336"/>
    <w:rsid w:val="00E21B99"/>
    <w:rsid w:val="00E243B1"/>
    <w:rsid w:val="00E32AD7"/>
    <w:rsid w:val="00E430F1"/>
    <w:rsid w:val="00E4419B"/>
    <w:rsid w:val="00E47B1B"/>
    <w:rsid w:val="00E56D5A"/>
    <w:rsid w:val="00E573EB"/>
    <w:rsid w:val="00E646EE"/>
    <w:rsid w:val="00E70B87"/>
    <w:rsid w:val="00E72046"/>
    <w:rsid w:val="00E72B53"/>
    <w:rsid w:val="00E73A7A"/>
    <w:rsid w:val="00E74D1F"/>
    <w:rsid w:val="00E751BF"/>
    <w:rsid w:val="00E75B13"/>
    <w:rsid w:val="00E853CF"/>
    <w:rsid w:val="00E87EA4"/>
    <w:rsid w:val="00E905E8"/>
    <w:rsid w:val="00E90E24"/>
    <w:rsid w:val="00E912CC"/>
    <w:rsid w:val="00E9616F"/>
    <w:rsid w:val="00E97055"/>
    <w:rsid w:val="00EA0C9D"/>
    <w:rsid w:val="00EA65A5"/>
    <w:rsid w:val="00EA680E"/>
    <w:rsid w:val="00EA76AA"/>
    <w:rsid w:val="00EB2A7A"/>
    <w:rsid w:val="00EB4106"/>
    <w:rsid w:val="00EB501F"/>
    <w:rsid w:val="00EB6204"/>
    <w:rsid w:val="00EC1A56"/>
    <w:rsid w:val="00EC4404"/>
    <w:rsid w:val="00EC4BF0"/>
    <w:rsid w:val="00EC5075"/>
    <w:rsid w:val="00EC540F"/>
    <w:rsid w:val="00ED3D43"/>
    <w:rsid w:val="00ED517E"/>
    <w:rsid w:val="00ED6121"/>
    <w:rsid w:val="00ED7930"/>
    <w:rsid w:val="00ED7B8F"/>
    <w:rsid w:val="00EE7B99"/>
    <w:rsid w:val="00EF0326"/>
    <w:rsid w:val="00EF107B"/>
    <w:rsid w:val="00EF15B1"/>
    <w:rsid w:val="00EF3FA9"/>
    <w:rsid w:val="00EF4FBB"/>
    <w:rsid w:val="00EF547B"/>
    <w:rsid w:val="00EF5DEA"/>
    <w:rsid w:val="00F04077"/>
    <w:rsid w:val="00F06CE6"/>
    <w:rsid w:val="00F12300"/>
    <w:rsid w:val="00F15819"/>
    <w:rsid w:val="00F23EFC"/>
    <w:rsid w:val="00F24EED"/>
    <w:rsid w:val="00F33378"/>
    <w:rsid w:val="00F335B8"/>
    <w:rsid w:val="00F513C8"/>
    <w:rsid w:val="00F560B2"/>
    <w:rsid w:val="00F57C02"/>
    <w:rsid w:val="00F6000B"/>
    <w:rsid w:val="00F62EFC"/>
    <w:rsid w:val="00F63881"/>
    <w:rsid w:val="00F64CED"/>
    <w:rsid w:val="00F664C7"/>
    <w:rsid w:val="00F7030E"/>
    <w:rsid w:val="00F722E8"/>
    <w:rsid w:val="00F732AC"/>
    <w:rsid w:val="00F747B3"/>
    <w:rsid w:val="00F750A2"/>
    <w:rsid w:val="00F85C40"/>
    <w:rsid w:val="00F90C95"/>
    <w:rsid w:val="00F92F60"/>
    <w:rsid w:val="00F94095"/>
    <w:rsid w:val="00F9477A"/>
    <w:rsid w:val="00F97641"/>
    <w:rsid w:val="00FA0226"/>
    <w:rsid w:val="00FA21B9"/>
    <w:rsid w:val="00FA6CD2"/>
    <w:rsid w:val="00FA7053"/>
    <w:rsid w:val="00FB0F15"/>
    <w:rsid w:val="00FB422E"/>
    <w:rsid w:val="00FB61CA"/>
    <w:rsid w:val="00FC0FF3"/>
    <w:rsid w:val="00FC3BC6"/>
    <w:rsid w:val="00FD7D5E"/>
    <w:rsid w:val="00FE141C"/>
    <w:rsid w:val="00FE23F4"/>
    <w:rsid w:val="00FE31FB"/>
    <w:rsid w:val="00FE576A"/>
    <w:rsid w:val="00FE7DAA"/>
    <w:rsid w:val="00FF1F12"/>
    <w:rsid w:val="00FF38EB"/>
    <w:rsid w:val="00FF39FE"/>
    <w:rsid w:val="00FF4D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118CE66"/>
  <w15:chartTrackingRefBased/>
  <w15:docId w15:val="{40DFC7A7-C8EF-4295-BA09-D24A46F92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E6"/>
    <w:pPr>
      <w:spacing w:after="0" w:line="240" w:lineRule="auto"/>
    </w:pPr>
    <w:rPr>
      <w:rFonts w:ascii="Times New Roman" w:eastAsia="Times New Roman" w:hAnsi="Times New Roman" w:cs="Times New Roman"/>
      <w:sz w:val="24"/>
      <w:szCs w:val="24"/>
      <w:lang w:eastAsia="en-AU"/>
    </w:rPr>
  </w:style>
  <w:style w:type="paragraph" w:styleId="Heading1">
    <w:name w:val="heading 1"/>
    <w:basedOn w:val="Normal"/>
    <w:next w:val="Normal"/>
    <w:link w:val="Heading1Char"/>
    <w:qFormat/>
    <w:rsid w:val="001A4EBF"/>
    <w:pPr>
      <w:ind w:left="142" w:right="425"/>
      <w:jc w:val="center"/>
      <w:outlineLvl w:val="0"/>
    </w:pPr>
    <w:rPr>
      <w:rFonts w:asciiTheme="minorHAnsi" w:eastAsiaTheme="majorEastAsia" w:hAnsiTheme="minorHAnsi" w:cstheme="minorHAnsi"/>
      <w:b/>
      <w:bCs/>
      <w:color w:val="2E74B5" w:themeColor="accent1" w:themeShade="BF"/>
      <w:sz w:val="28"/>
      <w:szCs w:val="28"/>
    </w:rPr>
  </w:style>
  <w:style w:type="paragraph" w:styleId="Heading2">
    <w:name w:val="heading 2"/>
    <w:basedOn w:val="Normal"/>
    <w:next w:val="Normal"/>
    <w:link w:val="Heading2Char"/>
    <w:uiPriority w:val="9"/>
    <w:unhideWhenUsed/>
    <w:qFormat/>
    <w:rsid w:val="00B27746"/>
    <w:pPr>
      <w:keepNext/>
      <w:spacing w:before="240" w:after="120"/>
      <w:outlineLvl w:val="1"/>
    </w:pPr>
    <w:rPr>
      <w:rFonts w:asciiTheme="minorHAnsi" w:eastAsia="Calibri" w:hAnsiTheme="minorHAnsi" w:cstheme="minorHAnsi"/>
      <w:b/>
      <w:bCs/>
      <w:i/>
      <w:sz w:val="28"/>
      <w:szCs w:val="28"/>
    </w:rPr>
  </w:style>
  <w:style w:type="paragraph" w:styleId="Heading3">
    <w:name w:val="heading 3"/>
    <w:basedOn w:val="Normal"/>
    <w:next w:val="Normal"/>
    <w:link w:val="Heading3Char"/>
    <w:uiPriority w:val="9"/>
    <w:semiHidden/>
    <w:unhideWhenUsed/>
    <w:qFormat/>
    <w:rsid w:val="00CF3812"/>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semiHidden/>
    <w:unhideWhenUsed/>
    <w:qFormat/>
    <w:rsid w:val="00712686"/>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E34E6"/>
    <w:rPr>
      <w:color w:val="0563C1" w:themeColor="hyperlink"/>
      <w:u w:val="single"/>
    </w:rPr>
  </w:style>
  <w:style w:type="character" w:customStyle="1" w:styleId="apple-converted-space">
    <w:name w:val="apple-converted-space"/>
    <w:basedOn w:val="DefaultParagraphFont"/>
    <w:rsid w:val="00AE34E6"/>
  </w:style>
  <w:style w:type="paragraph" w:styleId="Header">
    <w:name w:val="header"/>
    <w:basedOn w:val="Normal"/>
    <w:link w:val="HeaderChar"/>
    <w:rsid w:val="00AE34E6"/>
    <w:pPr>
      <w:tabs>
        <w:tab w:val="center" w:pos="4513"/>
        <w:tab w:val="right" w:pos="9026"/>
      </w:tabs>
    </w:pPr>
  </w:style>
  <w:style w:type="character" w:customStyle="1" w:styleId="HeaderChar">
    <w:name w:val="Header Char"/>
    <w:basedOn w:val="DefaultParagraphFont"/>
    <w:link w:val="Header"/>
    <w:rsid w:val="00AE34E6"/>
    <w:rPr>
      <w:rFonts w:ascii="Times New Roman" w:eastAsia="Times New Roman" w:hAnsi="Times New Roman" w:cs="Times New Roman"/>
      <w:sz w:val="24"/>
      <w:szCs w:val="24"/>
      <w:lang w:eastAsia="en-AU"/>
    </w:rPr>
  </w:style>
  <w:style w:type="paragraph" w:styleId="Footer">
    <w:name w:val="footer"/>
    <w:basedOn w:val="Normal"/>
    <w:link w:val="FooterChar"/>
    <w:uiPriority w:val="99"/>
    <w:rsid w:val="00AE34E6"/>
    <w:pPr>
      <w:tabs>
        <w:tab w:val="center" w:pos="4513"/>
        <w:tab w:val="right" w:pos="9026"/>
      </w:tabs>
    </w:pPr>
  </w:style>
  <w:style w:type="character" w:customStyle="1" w:styleId="FooterChar">
    <w:name w:val="Footer Char"/>
    <w:basedOn w:val="DefaultParagraphFont"/>
    <w:link w:val="Footer"/>
    <w:uiPriority w:val="99"/>
    <w:rsid w:val="00AE34E6"/>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rsid w:val="001A4EBF"/>
    <w:rPr>
      <w:rFonts w:eastAsiaTheme="majorEastAsia" w:cstheme="minorHAnsi"/>
      <w:b/>
      <w:bCs/>
      <w:color w:val="2E74B5" w:themeColor="accent1" w:themeShade="BF"/>
      <w:sz w:val="28"/>
      <w:szCs w:val="28"/>
      <w:lang w:eastAsia="en-AU"/>
    </w:rPr>
  </w:style>
  <w:style w:type="paragraph" w:styleId="BalloonText">
    <w:name w:val="Balloon Text"/>
    <w:basedOn w:val="Normal"/>
    <w:link w:val="BalloonTextChar"/>
    <w:uiPriority w:val="99"/>
    <w:semiHidden/>
    <w:unhideWhenUsed/>
    <w:rsid w:val="00D92A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2ACC"/>
    <w:rPr>
      <w:rFonts w:ascii="Segoe UI" w:eastAsia="Times New Roman" w:hAnsi="Segoe UI" w:cs="Segoe UI"/>
      <w:sz w:val="18"/>
      <w:szCs w:val="18"/>
      <w:lang w:eastAsia="en-AU"/>
    </w:rPr>
  </w:style>
  <w:style w:type="paragraph" w:styleId="CommentText">
    <w:name w:val="annotation text"/>
    <w:basedOn w:val="Normal"/>
    <w:link w:val="CommentTextChar"/>
    <w:uiPriority w:val="99"/>
    <w:unhideWhenUsed/>
    <w:rsid w:val="005A5FC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5A5FC2"/>
    <w:rPr>
      <w:sz w:val="20"/>
      <w:szCs w:val="20"/>
    </w:rPr>
  </w:style>
  <w:style w:type="paragraph" w:customStyle="1" w:styleId="CM13">
    <w:name w:val="CM13"/>
    <w:basedOn w:val="Normal"/>
    <w:next w:val="Normal"/>
    <w:uiPriority w:val="99"/>
    <w:rsid w:val="00E002A8"/>
    <w:pPr>
      <w:autoSpaceDE w:val="0"/>
      <w:autoSpaceDN w:val="0"/>
      <w:adjustRightInd w:val="0"/>
    </w:pPr>
    <w:rPr>
      <w:rFonts w:ascii="Open Sans Light" w:eastAsiaTheme="minorHAnsi" w:hAnsi="Open Sans Light" w:cstheme="minorBidi"/>
      <w:lang w:eastAsia="en-US"/>
    </w:rPr>
  </w:style>
  <w:style w:type="paragraph" w:styleId="PlainText">
    <w:name w:val="Plain Text"/>
    <w:basedOn w:val="Normal"/>
    <w:link w:val="PlainTextChar"/>
    <w:uiPriority w:val="99"/>
    <w:unhideWhenUsed/>
    <w:rsid w:val="009276C3"/>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9276C3"/>
    <w:rPr>
      <w:rFonts w:ascii="Calibri" w:hAnsi="Calibri" w:cs="Calibri"/>
    </w:rPr>
  </w:style>
  <w:style w:type="paragraph" w:customStyle="1" w:styleId="Default">
    <w:name w:val="Default"/>
    <w:basedOn w:val="Normal"/>
    <w:rsid w:val="009276C3"/>
    <w:pPr>
      <w:autoSpaceDE w:val="0"/>
      <w:autoSpaceDN w:val="0"/>
    </w:pPr>
    <w:rPr>
      <w:rFonts w:eastAsiaTheme="minorHAnsi"/>
      <w:color w:val="000000"/>
      <w:lang w:eastAsia="en-US"/>
    </w:rPr>
  </w:style>
  <w:style w:type="character" w:styleId="CommentReference">
    <w:name w:val="annotation reference"/>
    <w:basedOn w:val="DefaultParagraphFont"/>
    <w:uiPriority w:val="99"/>
    <w:semiHidden/>
    <w:unhideWhenUsed/>
    <w:rsid w:val="00FA6CD2"/>
    <w:rPr>
      <w:sz w:val="16"/>
      <w:szCs w:val="16"/>
    </w:rPr>
  </w:style>
  <w:style w:type="paragraph" w:styleId="CommentSubject">
    <w:name w:val="annotation subject"/>
    <w:basedOn w:val="CommentText"/>
    <w:next w:val="CommentText"/>
    <w:link w:val="CommentSubjectChar"/>
    <w:uiPriority w:val="99"/>
    <w:semiHidden/>
    <w:unhideWhenUsed/>
    <w:rsid w:val="00FA6CD2"/>
    <w:pPr>
      <w:spacing w:after="0"/>
    </w:pPr>
    <w:rPr>
      <w:rFonts w:ascii="Times New Roman" w:eastAsia="Times New Roman" w:hAnsi="Times New Roman" w:cs="Times New Roman"/>
      <w:b/>
      <w:bCs/>
      <w:lang w:eastAsia="en-AU"/>
    </w:rPr>
  </w:style>
  <w:style w:type="character" w:customStyle="1" w:styleId="CommentSubjectChar">
    <w:name w:val="Comment Subject Char"/>
    <w:basedOn w:val="CommentTextChar"/>
    <w:link w:val="CommentSubject"/>
    <w:uiPriority w:val="99"/>
    <w:semiHidden/>
    <w:rsid w:val="00FA6CD2"/>
    <w:rPr>
      <w:rFonts w:ascii="Times New Roman" w:eastAsia="Times New Roman" w:hAnsi="Times New Roman" w:cs="Times New Roman"/>
      <w:b/>
      <w:bCs/>
      <w:sz w:val="20"/>
      <w:szCs w:val="20"/>
      <w:lang w:eastAsia="en-AU"/>
    </w:rPr>
  </w:style>
  <w:style w:type="character" w:customStyle="1" w:styleId="Heading2Char">
    <w:name w:val="Heading 2 Char"/>
    <w:basedOn w:val="DefaultParagraphFont"/>
    <w:link w:val="Heading2"/>
    <w:uiPriority w:val="9"/>
    <w:rsid w:val="00B27746"/>
    <w:rPr>
      <w:rFonts w:eastAsia="Calibri" w:cstheme="minorHAnsi"/>
      <w:b/>
      <w:bCs/>
      <w:i/>
      <w:sz w:val="28"/>
      <w:szCs w:val="28"/>
      <w:lang w:eastAsia="en-AU"/>
    </w:rPr>
  </w:style>
  <w:style w:type="paragraph" w:styleId="NormalWeb">
    <w:name w:val="Normal (Web)"/>
    <w:basedOn w:val="Normal"/>
    <w:uiPriority w:val="99"/>
    <w:unhideWhenUsed/>
    <w:rsid w:val="007A55C6"/>
    <w:pPr>
      <w:spacing w:before="100" w:beforeAutospacing="1" w:after="100" w:afterAutospacing="1"/>
    </w:p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604360"/>
    <w:pPr>
      <w:spacing w:after="200" w:line="276" w:lineRule="auto"/>
      <w:ind w:left="720"/>
      <w:contextualSpacing/>
    </w:pPr>
    <w:rPr>
      <w:rFonts w:ascii="Calibri" w:eastAsiaTheme="minorHAnsi" w:hAnsi="Calibri" w:cs="Calibri"/>
      <w:sz w:val="22"/>
      <w:szCs w:val="22"/>
      <w:lang w:eastAsia="en-US"/>
    </w:rPr>
  </w:style>
  <w:style w:type="character" w:customStyle="1" w:styleId="Heading3Char">
    <w:name w:val="Heading 3 Char"/>
    <w:basedOn w:val="DefaultParagraphFont"/>
    <w:link w:val="Heading3"/>
    <w:uiPriority w:val="9"/>
    <w:semiHidden/>
    <w:rsid w:val="00CF3812"/>
    <w:rPr>
      <w:rFonts w:asciiTheme="majorHAnsi" w:eastAsiaTheme="majorEastAsia" w:hAnsiTheme="majorHAnsi" w:cstheme="majorBidi"/>
      <w:color w:val="1F4D78" w:themeColor="accent1" w:themeShade="7F"/>
      <w:sz w:val="24"/>
      <w:szCs w:val="24"/>
      <w:lang w:eastAsia="en-AU"/>
    </w:rPr>
  </w:style>
  <w:style w:type="paragraph" w:styleId="NoSpacing">
    <w:name w:val="No Spacing"/>
    <w:link w:val="NoSpacingChar"/>
    <w:uiPriority w:val="1"/>
    <w:qFormat/>
    <w:rsid w:val="00CF381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CF3812"/>
    <w:rPr>
      <w:rFonts w:eastAsiaTheme="minorEastAsia"/>
      <w:lang w:val="en-US"/>
    </w:rPr>
  </w:style>
  <w:style w:type="table" w:styleId="TableGrid">
    <w:name w:val="Table Grid"/>
    <w:basedOn w:val="TableNormal"/>
    <w:uiPriority w:val="39"/>
    <w:rsid w:val="00CB31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CB31B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1Light-Accent1">
    <w:name w:val="List Table 1 Light Accent 1"/>
    <w:basedOn w:val="TableNormal"/>
    <w:uiPriority w:val="46"/>
    <w:rsid w:val="00CB31B1"/>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2-Accent1">
    <w:name w:val="List Table 2 Accent 1"/>
    <w:basedOn w:val="TableNormal"/>
    <w:uiPriority w:val="47"/>
    <w:rsid w:val="00CB31B1"/>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odyText">
    <w:name w:val="Body Text"/>
    <w:basedOn w:val="Normal"/>
    <w:link w:val="BodyTextChar"/>
    <w:rsid w:val="00BC6BB7"/>
    <w:pPr>
      <w:spacing w:after="120"/>
    </w:pPr>
    <w:rPr>
      <w:sz w:val="20"/>
      <w:szCs w:val="20"/>
      <w:lang w:eastAsia="zh-CN"/>
    </w:rPr>
  </w:style>
  <w:style w:type="character" w:customStyle="1" w:styleId="BodyTextChar">
    <w:name w:val="Body Text Char"/>
    <w:basedOn w:val="DefaultParagraphFont"/>
    <w:link w:val="BodyText"/>
    <w:rsid w:val="00BC6BB7"/>
    <w:rPr>
      <w:rFonts w:ascii="Times New Roman" w:eastAsia="Times New Roman" w:hAnsi="Times New Roman" w:cs="Times New Roman"/>
      <w:sz w:val="20"/>
      <w:szCs w:val="20"/>
      <w:lang w:eastAsia="zh-CN"/>
    </w:rPr>
  </w:style>
  <w:style w:type="paragraph" w:customStyle="1" w:styleId="m-b-0">
    <w:name w:val="m-b-0"/>
    <w:basedOn w:val="Normal"/>
    <w:rsid w:val="00521785"/>
    <w:pPr>
      <w:spacing w:before="100" w:beforeAutospacing="1" w:after="100" w:afterAutospacing="1"/>
    </w:pPr>
  </w:style>
  <w:style w:type="character" w:styleId="FollowedHyperlink">
    <w:name w:val="FollowedHyperlink"/>
    <w:basedOn w:val="DefaultParagraphFont"/>
    <w:uiPriority w:val="99"/>
    <w:semiHidden/>
    <w:unhideWhenUsed/>
    <w:rsid w:val="0026629E"/>
    <w:rPr>
      <w:color w:val="954F72" w:themeColor="followedHyperlink"/>
      <w:u w:val="single"/>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34"/>
    <w:locked/>
    <w:rsid w:val="00E11EB8"/>
    <w:rPr>
      <w:rFonts w:ascii="Calibri" w:hAnsi="Calibri" w:cs="Calibri"/>
    </w:rPr>
  </w:style>
  <w:style w:type="character" w:customStyle="1" w:styleId="Heading4Char">
    <w:name w:val="Heading 4 Char"/>
    <w:basedOn w:val="DefaultParagraphFont"/>
    <w:link w:val="Heading4"/>
    <w:uiPriority w:val="9"/>
    <w:semiHidden/>
    <w:rsid w:val="00712686"/>
    <w:rPr>
      <w:rFonts w:asciiTheme="majorHAnsi" w:eastAsiaTheme="majorEastAsia" w:hAnsiTheme="majorHAnsi" w:cstheme="majorBidi"/>
      <w:i/>
      <w:iCs/>
      <w:color w:val="2E74B5" w:themeColor="accent1" w:themeShade="BF"/>
      <w:sz w:val="24"/>
      <w:szCs w:val="24"/>
      <w:lang w:eastAsia="en-AU"/>
    </w:rPr>
  </w:style>
  <w:style w:type="character" w:styleId="Strong">
    <w:name w:val="Strong"/>
    <w:basedOn w:val="DefaultParagraphFont"/>
    <w:uiPriority w:val="22"/>
    <w:qFormat/>
    <w:rsid w:val="007E2824"/>
    <w:rPr>
      <w:b/>
      <w:bCs/>
    </w:rPr>
  </w:style>
  <w:style w:type="paragraph" w:styleId="Revision">
    <w:name w:val="Revision"/>
    <w:hidden/>
    <w:uiPriority w:val="99"/>
    <w:semiHidden/>
    <w:rsid w:val="00057FCA"/>
    <w:pPr>
      <w:spacing w:after="0" w:line="240" w:lineRule="auto"/>
    </w:pPr>
    <w:rPr>
      <w:rFonts w:ascii="Times New Roman" w:eastAsia="Times New Roman" w:hAnsi="Times New Roman" w:cs="Times New Roman"/>
      <w:sz w:val="24"/>
      <w:szCs w:val="24"/>
      <w:lang w:eastAsia="en-AU"/>
    </w:rPr>
  </w:style>
  <w:style w:type="paragraph" w:customStyle="1" w:styleId="ShortT">
    <w:name w:val="ShortT"/>
    <w:basedOn w:val="Normal"/>
    <w:uiPriority w:val="99"/>
    <w:rsid w:val="009D7A91"/>
    <w:rPr>
      <w:rFonts w:eastAsiaTheme="minorHAnsi"/>
      <w:b/>
      <w:bCs/>
      <w:sz w:val="40"/>
      <w:szCs w:val="40"/>
    </w:rPr>
  </w:style>
  <w:style w:type="paragraph" w:customStyle="1" w:styleId="xxmsonormal">
    <w:name w:val="x_xmsonormal"/>
    <w:basedOn w:val="Normal"/>
    <w:rsid w:val="00404E7C"/>
    <w:rPr>
      <w:rFonts w:ascii="Calibri" w:eastAsiaTheme="minorHAnsi" w:hAnsi="Calibri" w:cs="Calibri"/>
      <w:sz w:val="22"/>
      <w:szCs w:val="22"/>
    </w:rPr>
  </w:style>
  <w:style w:type="character" w:styleId="Emphasis">
    <w:name w:val="Emphasis"/>
    <w:basedOn w:val="DefaultParagraphFont"/>
    <w:uiPriority w:val="20"/>
    <w:qFormat/>
    <w:rsid w:val="005E30FA"/>
    <w:rPr>
      <w:i/>
      <w:iCs/>
    </w:rPr>
  </w:style>
  <w:style w:type="paragraph" w:customStyle="1" w:styleId="paragraph">
    <w:name w:val="paragraph"/>
    <w:basedOn w:val="Normal"/>
    <w:rsid w:val="009B5C19"/>
  </w:style>
  <w:style w:type="character" w:customStyle="1" w:styleId="eop">
    <w:name w:val="eop"/>
    <w:basedOn w:val="DefaultParagraphFont"/>
    <w:rsid w:val="009B5C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295029">
      <w:bodyDiv w:val="1"/>
      <w:marLeft w:val="0"/>
      <w:marRight w:val="0"/>
      <w:marTop w:val="0"/>
      <w:marBottom w:val="0"/>
      <w:divBdr>
        <w:top w:val="none" w:sz="0" w:space="0" w:color="auto"/>
        <w:left w:val="none" w:sz="0" w:space="0" w:color="auto"/>
        <w:bottom w:val="none" w:sz="0" w:space="0" w:color="auto"/>
        <w:right w:val="none" w:sz="0" w:space="0" w:color="auto"/>
      </w:divBdr>
    </w:div>
    <w:div w:id="97255717">
      <w:bodyDiv w:val="1"/>
      <w:marLeft w:val="0"/>
      <w:marRight w:val="0"/>
      <w:marTop w:val="0"/>
      <w:marBottom w:val="0"/>
      <w:divBdr>
        <w:top w:val="none" w:sz="0" w:space="0" w:color="auto"/>
        <w:left w:val="none" w:sz="0" w:space="0" w:color="auto"/>
        <w:bottom w:val="none" w:sz="0" w:space="0" w:color="auto"/>
        <w:right w:val="none" w:sz="0" w:space="0" w:color="auto"/>
      </w:divBdr>
    </w:div>
    <w:div w:id="241525303">
      <w:bodyDiv w:val="1"/>
      <w:marLeft w:val="0"/>
      <w:marRight w:val="0"/>
      <w:marTop w:val="0"/>
      <w:marBottom w:val="0"/>
      <w:divBdr>
        <w:top w:val="none" w:sz="0" w:space="0" w:color="auto"/>
        <w:left w:val="none" w:sz="0" w:space="0" w:color="auto"/>
        <w:bottom w:val="none" w:sz="0" w:space="0" w:color="auto"/>
        <w:right w:val="none" w:sz="0" w:space="0" w:color="auto"/>
      </w:divBdr>
    </w:div>
    <w:div w:id="250966581">
      <w:bodyDiv w:val="1"/>
      <w:marLeft w:val="0"/>
      <w:marRight w:val="0"/>
      <w:marTop w:val="0"/>
      <w:marBottom w:val="0"/>
      <w:divBdr>
        <w:top w:val="none" w:sz="0" w:space="0" w:color="auto"/>
        <w:left w:val="none" w:sz="0" w:space="0" w:color="auto"/>
        <w:bottom w:val="none" w:sz="0" w:space="0" w:color="auto"/>
        <w:right w:val="none" w:sz="0" w:space="0" w:color="auto"/>
      </w:divBdr>
    </w:div>
    <w:div w:id="258217417">
      <w:bodyDiv w:val="1"/>
      <w:marLeft w:val="0"/>
      <w:marRight w:val="0"/>
      <w:marTop w:val="0"/>
      <w:marBottom w:val="0"/>
      <w:divBdr>
        <w:top w:val="none" w:sz="0" w:space="0" w:color="auto"/>
        <w:left w:val="none" w:sz="0" w:space="0" w:color="auto"/>
        <w:bottom w:val="none" w:sz="0" w:space="0" w:color="auto"/>
        <w:right w:val="none" w:sz="0" w:space="0" w:color="auto"/>
      </w:divBdr>
    </w:div>
    <w:div w:id="259224748">
      <w:bodyDiv w:val="1"/>
      <w:marLeft w:val="0"/>
      <w:marRight w:val="0"/>
      <w:marTop w:val="0"/>
      <w:marBottom w:val="0"/>
      <w:divBdr>
        <w:top w:val="none" w:sz="0" w:space="0" w:color="auto"/>
        <w:left w:val="none" w:sz="0" w:space="0" w:color="auto"/>
        <w:bottom w:val="none" w:sz="0" w:space="0" w:color="auto"/>
        <w:right w:val="none" w:sz="0" w:space="0" w:color="auto"/>
      </w:divBdr>
    </w:div>
    <w:div w:id="264462616">
      <w:bodyDiv w:val="1"/>
      <w:marLeft w:val="0"/>
      <w:marRight w:val="0"/>
      <w:marTop w:val="0"/>
      <w:marBottom w:val="0"/>
      <w:divBdr>
        <w:top w:val="none" w:sz="0" w:space="0" w:color="auto"/>
        <w:left w:val="none" w:sz="0" w:space="0" w:color="auto"/>
        <w:bottom w:val="none" w:sz="0" w:space="0" w:color="auto"/>
        <w:right w:val="none" w:sz="0" w:space="0" w:color="auto"/>
      </w:divBdr>
    </w:div>
    <w:div w:id="264921996">
      <w:bodyDiv w:val="1"/>
      <w:marLeft w:val="0"/>
      <w:marRight w:val="0"/>
      <w:marTop w:val="0"/>
      <w:marBottom w:val="0"/>
      <w:divBdr>
        <w:top w:val="none" w:sz="0" w:space="0" w:color="auto"/>
        <w:left w:val="none" w:sz="0" w:space="0" w:color="auto"/>
        <w:bottom w:val="none" w:sz="0" w:space="0" w:color="auto"/>
        <w:right w:val="none" w:sz="0" w:space="0" w:color="auto"/>
      </w:divBdr>
    </w:div>
    <w:div w:id="271322845">
      <w:bodyDiv w:val="1"/>
      <w:marLeft w:val="0"/>
      <w:marRight w:val="0"/>
      <w:marTop w:val="0"/>
      <w:marBottom w:val="0"/>
      <w:divBdr>
        <w:top w:val="none" w:sz="0" w:space="0" w:color="auto"/>
        <w:left w:val="none" w:sz="0" w:space="0" w:color="auto"/>
        <w:bottom w:val="none" w:sz="0" w:space="0" w:color="auto"/>
        <w:right w:val="none" w:sz="0" w:space="0" w:color="auto"/>
      </w:divBdr>
    </w:div>
    <w:div w:id="331488840">
      <w:bodyDiv w:val="1"/>
      <w:marLeft w:val="0"/>
      <w:marRight w:val="0"/>
      <w:marTop w:val="0"/>
      <w:marBottom w:val="0"/>
      <w:divBdr>
        <w:top w:val="none" w:sz="0" w:space="0" w:color="auto"/>
        <w:left w:val="none" w:sz="0" w:space="0" w:color="auto"/>
        <w:bottom w:val="none" w:sz="0" w:space="0" w:color="auto"/>
        <w:right w:val="none" w:sz="0" w:space="0" w:color="auto"/>
      </w:divBdr>
    </w:div>
    <w:div w:id="437995046">
      <w:bodyDiv w:val="1"/>
      <w:marLeft w:val="0"/>
      <w:marRight w:val="0"/>
      <w:marTop w:val="0"/>
      <w:marBottom w:val="0"/>
      <w:divBdr>
        <w:top w:val="none" w:sz="0" w:space="0" w:color="auto"/>
        <w:left w:val="none" w:sz="0" w:space="0" w:color="auto"/>
        <w:bottom w:val="none" w:sz="0" w:space="0" w:color="auto"/>
        <w:right w:val="none" w:sz="0" w:space="0" w:color="auto"/>
      </w:divBdr>
      <w:divsChild>
        <w:div w:id="1809856123">
          <w:marLeft w:val="0"/>
          <w:marRight w:val="0"/>
          <w:marTop w:val="0"/>
          <w:marBottom w:val="0"/>
          <w:divBdr>
            <w:top w:val="none" w:sz="0" w:space="0" w:color="auto"/>
            <w:left w:val="none" w:sz="0" w:space="0" w:color="auto"/>
            <w:bottom w:val="none" w:sz="0" w:space="0" w:color="auto"/>
            <w:right w:val="none" w:sz="0" w:space="0" w:color="auto"/>
          </w:divBdr>
        </w:div>
      </w:divsChild>
    </w:div>
    <w:div w:id="446890872">
      <w:bodyDiv w:val="1"/>
      <w:marLeft w:val="0"/>
      <w:marRight w:val="0"/>
      <w:marTop w:val="0"/>
      <w:marBottom w:val="0"/>
      <w:divBdr>
        <w:top w:val="none" w:sz="0" w:space="0" w:color="auto"/>
        <w:left w:val="none" w:sz="0" w:space="0" w:color="auto"/>
        <w:bottom w:val="none" w:sz="0" w:space="0" w:color="auto"/>
        <w:right w:val="none" w:sz="0" w:space="0" w:color="auto"/>
      </w:divBdr>
    </w:div>
    <w:div w:id="496193940">
      <w:bodyDiv w:val="1"/>
      <w:marLeft w:val="0"/>
      <w:marRight w:val="0"/>
      <w:marTop w:val="0"/>
      <w:marBottom w:val="0"/>
      <w:divBdr>
        <w:top w:val="none" w:sz="0" w:space="0" w:color="auto"/>
        <w:left w:val="none" w:sz="0" w:space="0" w:color="auto"/>
        <w:bottom w:val="none" w:sz="0" w:space="0" w:color="auto"/>
        <w:right w:val="none" w:sz="0" w:space="0" w:color="auto"/>
      </w:divBdr>
    </w:div>
    <w:div w:id="504516663">
      <w:bodyDiv w:val="1"/>
      <w:marLeft w:val="0"/>
      <w:marRight w:val="0"/>
      <w:marTop w:val="0"/>
      <w:marBottom w:val="0"/>
      <w:divBdr>
        <w:top w:val="none" w:sz="0" w:space="0" w:color="auto"/>
        <w:left w:val="none" w:sz="0" w:space="0" w:color="auto"/>
        <w:bottom w:val="none" w:sz="0" w:space="0" w:color="auto"/>
        <w:right w:val="none" w:sz="0" w:space="0" w:color="auto"/>
      </w:divBdr>
    </w:div>
    <w:div w:id="512955634">
      <w:bodyDiv w:val="1"/>
      <w:marLeft w:val="0"/>
      <w:marRight w:val="0"/>
      <w:marTop w:val="0"/>
      <w:marBottom w:val="0"/>
      <w:divBdr>
        <w:top w:val="none" w:sz="0" w:space="0" w:color="auto"/>
        <w:left w:val="none" w:sz="0" w:space="0" w:color="auto"/>
        <w:bottom w:val="none" w:sz="0" w:space="0" w:color="auto"/>
        <w:right w:val="none" w:sz="0" w:space="0" w:color="auto"/>
      </w:divBdr>
    </w:div>
    <w:div w:id="521435959">
      <w:bodyDiv w:val="1"/>
      <w:marLeft w:val="0"/>
      <w:marRight w:val="0"/>
      <w:marTop w:val="0"/>
      <w:marBottom w:val="0"/>
      <w:divBdr>
        <w:top w:val="none" w:sz="0" w:space="0" w:color="auto"/>
        <w:left w:val="none" w:sz="0" w:space="0" w:color="auto"/>
        <w:bottom w:val="none" w:sz="0" w:space="0" w:color="auto"/>
        <w:right w:val="none" w:sz="0" w:space="0" w:color="auto"/>
      </w:divBdr>
    </w:div>
    <w:div w:id="542448427">
      <w:bodyDiv w:val="1"/>
      <w:marLeft w:val="0"/>
      <w:marRight w:val="0"/>
      <w:marTop w:val="0"/>
      <w:marBottom w:val="0"/>
      <w:divBdr>
        <w:top w:val="none" w:sz="0" w:space="0" w:color="auto"/>
        <w:left w:val="none" w:sz="0" w:space="0" w:color="auto"/>
        <w:bottom w:val="none" w:sz="0" w:space="0" w:color="auto"/>
        <w:right w:val="none" w:sz="0" w:space="0" w:color="auto"/>
      </w:divBdr>
    </w:div>
    <w:div w:id="573975214">
      <w:bodyDiv w:val="1"/>
      <w:marLeft w:val="0"/>
      <w:marRight w:val="0"/>
      <w:marTop w:val="0"/>
      <w:marBottom w:val="0"/>
      <w:divBdr>
        <w:top w:val="none" w:sz="0" w:space="0" w:color="auto"/>
        <w:left w:val="none" w:sz="0" w:space="0" w:color="auto"/>
        <w:bottom w:val="none" w:sz="0" w:space="0" w:color="auto"/>
        <w:right w:val="none" w:sz="0" w:space="0" w:color="auto"/>
      </w:divBdr>
    </w:div>
    <w:div w:id="587345644">
      <w:bodyDiv w:val="1"/>
      <w:marLeft w:val="0"/>
      <w:marRight w:val="0"/>
      <w:marTop w:val="0"/>
      <w:marBottom w:val="0"/>
      <w:divBdr>
        <w:top w:val="none" w:sz="0" w:space="0" w:color="auto"/>
        <w:left w:val="none" w:sz="0" w:space="0" w:color="auto"/>
        <w:bottom w:val="none" w:sz="0" w:space="0" w:color="auto"/>
        <w:right w:val="none" w:sz="0" w:space="0" w:color="auto"/>
      </w:divBdr>
      <w:divsChild>
        <w:div w:id="985623045">
          <w:marLeft w:val="0"/>
          <w:marRight w:val="0"/>
          <w:marTop w:val="225"/>
          <w:marBottom w:val="0"/>
          <w:divBdr>
            <w:top w:val="none" w:sz="0" w:space="0" w:color="auto"/>
            <w:left w:val="none" w:sz="0" w:space="0" w:color="auto"/>
            <w:bottom w:val="none" w:sz="0" w:space="0" w:color="auto"/>
            <w:right w:val="none" w:sz="0" w:space="0" w:color="auto"/>
          </w:divBdr>
          <w:divsChild>
            <w:div w:id="2117403228">
              <w:marLeft w:val="0"/>
              <w:marRight w:val="0"/>
              <w:marTop w:val="0"/>
              <w:marBottom w:val="0"/>
              <w:divBdr>
                <w:top w:val="none" w:sz="0" w:space="0" w:color="auto"/>
                <w:left w:val="none" w:sz="0" w:space="0" w:color="auto"/>
                <w:bottom w:val="none" w:sz="0" w:space="0" w:color="auto"/>
                <w:right w:val="none" w:sz="0" w:space="0" w:color="auto"/>
              </w:divBdr>
            </w:div>
            <w:div w:id="172569935">
              <w:marLeft w:val="0"/>
              <w:marRight w:val="0"/>
              <w:marTop w:val="0"/>
              <w:marBottom w:val="0"/>
              <w:divBdr>
                <w:top w:val="none" w:sz="0" w:space="0" w:color="auto"/>
                <w:left w:val="none" w:sz="0" w:space="0" w:color="auto"/>
                <w:bottom w:val="none" w:sz="0" w:space="0" w:color="auto"/>
                <w:right w:val="none" w:sz="0" w:space="0" w:color="auto"/>
              </w:divBdr>
            </w:div>
          </w:divsChild>
        </w:div>
        <w:div w:id="363411800">
          <w:marLeft w:val="0"/>
          <w:marRight w:val="0"/>
          <w:marTop w:val="225"/>
          <w:marBottom w:val="0"/>
          <w:divBdr>
            <w:top w:val="none" w:sz="0" w:space="0" w:color="auto"/>
            <w:left w:val="none" w:sz="0" w:space="0" w:color="auto"/>
            <w:bottom w:val="none" w:sz="0" w:space="0" w:color="auto"/>
            <w:right w:val="none" w:sz="0" w:space="0" w:color="auto"/>
          </w:divBdr>
          <w:divsChild>
            <w:div w:id="1677154716">
              <w:marLeft w:val="0"/>
              <w:marRight w:val="0"/>
              <w:marTop w:val="0"/>
              <w:marBottom w:val="0"/>
              <w:divBdr>
                <w:top w:val="none" w:sz="0" w:space="0" w:color="auto"/>
                <w:left w:val="none" w:sz="0" w:space="0" w:color="auto"/>
                <w:bottom w:val="none" w:sz="0" w:space="0" w:color="auto"/>
                <w:right w:val="none" w:sz="0" w:space="0" w:color="auto"/>
              </w:divBdr>
            </w:div>
            <w:div w:id="1549100737">
              <w:marLeft w:val="0"/>
              <w:marRight w:val="0"/>
              <w:marTop w:val="0"/>
              <w:marBottom w:val="0"/>
              <w:divBdr>
                <w:top w:val="none" w:sz="0" w:space="0" w:color="auto"/>
                <w:left w:val="none" w:sz="0" w:space="0" w:color="auto"/>
                <w:bottom w:val="none" w:sz="0" w:space="0" w:color="auto"/>
                <w:right w:val="none" w:sz="0" w:space="0" w:color="auto"/>
              </w:divBdr>
            </w:div>
          </w:divsChild>
        </w:div>
        <w:div w:id="1324360265">
          <w:marLeft w:val="0"/>
          <w:marRight w:val="0"/>
          <w:marTop w:val="225"/>
          <w:marBottom w:val="0"/>
          <w:divBdr>
            <w:top w:val="none" w:sz="0" w:space="0" w:color="auto"/>
            <w:left w:val="none" w:sz="0" w:space="0" w:color="auto"/>
            <w:bottom w:val="none" w:sz="0" w:space="0" w:color="auto"/>
            <w:right w:val="none" w:sz="0" w:space="0" w:color="auto"/>
          </w:divBdr>
          <w:divsChild>
            <w:div w:id="2084328724">
              <w:marLeft w:val="0"/>
              <w:marRight w:val="0"/>
              <w:marTop w:val="0"/>
              <w:marBottom w:val="0"/>
              <w:divBdr>
                <w:top w:val="none" w:sz="0" w:space="0" w:color="auto"/>
                <w:left w:val="none" w:sz="0" w:space="0" w:color="auto"/>
                <w:bottom w:val="none" w:sz="0" w:space="0" w:color="auto"/>
                <w:right w:val="none" w:sz="0" w:space="0" w:color="auto"/>
              </w:divBdr>
            </w:div>
            <w:div w:id="2105765511">
              <w:marLeft w:val="0"/>
              <w:marRight w:val="0"/>
              <w:marTop w:val="0"/>
              <w:marBottom w:val="0"/>
              <w:divBdr>
                <w:top w:val="none" w:sz="0" w:space="0" w:color="auto"/>
                <w:left w:val="none" w:sz="0" w:space="0" w:color="auto"/>
                <w:bottom w:val="none" w:sz="0" w:space="0" w:color="auto"/>
                <w:right w:val="none" w:sz="0" w:space="0" w:color="auto"/>
              </w:divBdr>
            </w:div>
          </w:divsChild>
        </w:div>
        <w:div w:id="1753817021">
          <w:marLeft w:val="0"/>
          <w:marRight w:val="0"/>
          <w:marTop w:val="225"/>
          <w:marBottom w:val="0"/>
          <w:divBdr>
            <w:top w:val="none" w:sz="0" w:space="0" w:color="auto"/>
            <w:left w:val="none" w:sz="0" w:space="0" w:color="auto"/>
            <w:bottom w:val="none" w:sz="0" w:space="0" w:color="auto"/>
            <w:right w:val="none" w:sz="0" w:space="0" w:color="auto"/>
          </w:divBdr>
          <w:divsChild>
            <w:div w:id="1689214177">
              <w:marLeft w:val="0"/>
              <w:marRight w:val="0"/>
              <w:marTop w:val="0"/>
              <w:marBottom w:val="0"/>
              <w:divBdr>
                <w:top w:val="none" w:sz="0" w:space="0" w:color="auto"/>
                <w:left w:val="none" w:sz="0" w:space="0" w:color="auto"/>
                <w:bottom w:val="none" w:sz="0" w:space="0" w:color="auto"/>
                <w:right w:val="none" w:sz="0" w:space="0" w:color="auto"/>
              </w:divBdr>
            </w:div>
            <w:div w:id="149599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513759">
      <w:bodyDiv w:val="1"/>
      <w:marLeft w:val="0"/>
      <w:marRight w:val="0"/>
      <w:marTop w:val="0"/>
      <w:marBottom w:val="0"/>
      <w:divBdr>
        <w:top w:val="none" w:sz="0" w:space="0" w:color="auto"/>
        <w:left w:val="none" w:sz="0" w:space="0" w:color="auto"/>
        <w:bottom w:val="none" w:sz="0" w:space="0" w:color="auto"/>
        <w:right w:val="none" w:sz="0" w:space="0" w:color="auto"/>
      </w:divBdr>
      <w:divsChild>
        <w:div w:id="717703791">
          <w:marLeft w:val="0"/>
          <w:marRight w:val="0"/>
          <w:marTop w:val="0"/>
          <w:marBottom w:val="0"/>
          <w:divBdr>
            <w:top w:val="none" w:sz="0" w:space="0" w:color="auto"/>
            <w:left w:val="none" w:sz="0" w:space="0" w:color="auto"/>
            <w:bottom w:val="none" w:sz="0" w:space="0" w:color="auto"/>
            <w:right w:val="none" w:sz="0" w:space="0" w:color="auto"/>
          </w:divBdr>
        </w:div>
      </w:divsChild>
    </w:div>
    <w:div w:id="675574751">
      <w:bodyDiv w:val="1"/>
      <w:marLeft w:val="0"/>
      <w:marRight w:val="0"/>
      <w:marTop w:val="0"/>
      <w:marBottom w:val="0"/>
      <w:divBdr>
        <w:top w:val="none" w:sz="0" w:space="0" w:color="auto"/>
        <w:left w:val="none" w:sz="0" w:space="0" w:color="auto"/>
        <w:bottom w:val="none" w:sz="0" w:space="0" w:color="auto"/>
        <w:right w:val="none" w:sz="0" w:space="0" w:color="auto"/>
      </w:divBdr>
    </w:div>
    <w:div w:id="746683495">
      <w:bodyDiv w:val="1"/>
      <w:marLeft w:val="0"/>
      <w:marRight w:val="0"/>
      <w:marTop w:val="0"/>
      <w:marBottom w:val="0"/>
      <w:divBdr>
        <w:top w:val="none" w:sz="0" w:space="0" w:color="auto"/>
        <w:left w:val="none" w:sz="0" w:space="0" w:color="auto"/>
        <w:bottom w:val="none" w:sz="0" w:space="0" w:color="auto"/>
        <w:right w:val="none" w:sz="0" w:space="0" w:color="auto"/>
      </w:divBdr>
    </w:div>
    <w:div w:id="758212748">
      <w:bodyDiv w:val="1"/>
      <w:marLeft w:val="0"/>
      <w:marRight w:val="0"/>
      <w:marTop w:val="0"/>
      <w:marBottom w:val="0"/>
      <w:divBdr>
        <w:top w:val="none" w:sz="0" w:space="0" w:color="auto"/>
        <w:left w:val="none" w:sz="0" w:space="0" w:color="auto"/>
        <w:bottom w:val="none" w:sz="0" w:space="0" w:color="auto"/>
        <w:right w:val="none" w:sz="0" w:space="0" w:color="auto"/>
      </w:divBdr>
    </w:div>
    <w:div w:id="760830501">
      <w:bodyDiv w:val="1"/>
      <w:marLeft w:val="0"/>
      <w:marRight w:val="0"/>
      <w:marTop w:val="0"/>
      <w:marBottom w:val="0"/>
      <w:divBdr>
        <w:top w:val="none" w:sz="0" w:space="0" w:color="auto"/>
        <w:left w:val="none" w:sz="0" w:space="0" w:color="auto"/>
        <w:bottom w:val="none" w:sz="0" w:space="0" w:color="auto"/>
        <w:right w:val="none" w:sz="0" w:space="0" w:color="auto"/>
      </w:divBdr>
    </w:div>
    <w:div w:id="765151175">
      <w:bodyDiv w:val="1"/>
      <w:marLeft w:val="0"/>
      <w:marRight w:val="0"/>
      <w:marTop w:val="0"/>
      <w:marBottom w:val="0"/>
      <w:divBdr>
        <w:top w:val="none" w:sz="0" w:space="0" w:color="auto"/>
        <w:left w:val="none" w:sz="0" w:space="0" w:color="auto"/>
        <w:bottom w:val="none" w:sz="0" w:space="0" w:color="auto"/>
        <w:right w:val="none" w:sz="0" w:space="0" w:color="auto"/>
      </w:divBdr>
    </w:div>
    <w:div w:id="784035976">
      <w:bodyDiv w:val="1"/>
      <w:marLeft w:val="0"/>
      <w:marRight w:val="0"/>
      <w:marTop w:val="0"/>
      <w:marBottom w:val="0"/>
      <w:divBdr>
        <w:top w:val="none" w:sz="0" w:space="0" w:color="auto"/>
        <w:left w:val="none" w:sz="0" w:space="0" w:color="auto"/>
        <w:bottom w:val="none" w:sz="0" w:space="0" w:color="auto"/>
        <w:right w:val="none" w:sz="0" w:space="0" w:color="auto"/>
      </w:divBdr>
    </w:div>
    <w:div w:id="798378837">
      <w:bodyDiv w:val="1"/>
      <w:marLeft w:val="0"/>
      <w:marRight w:val="0"/>
      <w:marTop w:val="0"/>
      <w:marBottom w:val="0"/>
      <w:divBdr>
        <w:top w:val="none" w:sz="0" w:space="0" w:color="auto"/>
        <w:left w:val="none" w:sz="0" w:space="0" w:color="auto"/>
        <w:bottom w:val="none" w:sz="0" w:space="0" w:color="auto"/>
        <w:right w:val="none" w:sz="0" w:space="0" w:color="auto"/>
      </w:divBdr>
    </w:div>
    <w:div w:id="808324543">
      <w:bodyDiv w:val="1"/>
      <w:marLeft w:val="0"/>
      <w:marRight w:val="0"/>
      <w:marTop w:val="0"/>
      <w:marBottom w:val="0"/>
      <w:divBdr>
        <w:top w:val="none" w:sz="0" w:space="0" w:color="auto"/>
        <w:left w:val="none" w:sz="0" w:space="0" w:color="auto"/>
        <w:bottom w:val="none" w:sz="0" w:space="0" w:color="auto"/>
        <w:right w:val="none" w:sz="0" w:space="0" w:color="auto"/>
      </w:divBdr>
    </w:div>
    <w:div w:id="810247375">
      <w:bodyDiv w:val="1"/>
      <w:marLeft w:val="0"/>
      <w:marRight w:val="0"/>
      <w:marTop w:val="0"/>
      <w:marBottom w:val="0"/>
      <w:divBdr>
        <w:top w:val="none" w:sz="0" w:space="0" w:color="auto"/>
        <w:left w:val="none" w:sz="0" w:space="0" w:color="auto"/>
        <w:bottom w:val="none" w:sz="0" w:space="0" w:color="auto"/>
        <w:right w:val="none" w:sz="0" w:space="0" w:color="auto"/>
      </w:divBdr>
    </w:div>
    <w:div w:id="847602249">
      <w:bodyDiv w:val="1"/>
      <w:marLeft w:val="0"/>
      <w:marRight w:val="0"/>
      <w:marTop w:val="0"/>
      <w:marBottom w:val="0"/>
      <w:divBdr>
        <w:top w:val="none" w:sz="0" w:space="0" w:color="auto"/>
        <w:left w:val="none" w:sz="0" w:space="0" w:color="auto"/>
        <w:bottom w:val="none" w:sz="0" w:space="0" w:color="auto"/>
        <w:right w:val="none" w:sz="0" w:space="0" w:color="auto"/>
      </w:divBdr>
    </w:div>
    <w:div w:id="871191342">
      <w:bodyDiv w:val="1"/>
      <w:marLeft w:val="0"/>
      <w:marRight w:val="0"/>
      <w:marTop w:val="0"/>
      <w:marBottom w:val="0"/>
      <w:divBdr>
        <w:top w:val="none" w:sz="0" w:space="0" w:color="auto"/>
        <w:left w:val="none" w:sz="0" w:space="0" w:color="auto"/>
        <w:bottom w:val="none" w:sz="0" w:space="0" w:color="auto"/>
        <w:right w:val="none" w:sz="0" w:space="0" w:color="auto"/>
      </w:divBdr>
    </w:div>
    <w:div w:id="945892414">
      <w:bodyDiv w:val="1"/>
      <w:marLeft w:val="0"/>
      <w:marRight w:val="0"/>
      <w:marTop w:val="0"/>
      <w:marBottom w:val="0"/>
      <w:divBdr>
        <w:top w:val="none" w:sz="0" w:space="0" w:color="auto"/>
        <w:left w:val="none" w:sz="0" w:space="0" w:color="auto"/>
        <w:bottom w:val="none" w:sz="0" w:space="0" w:color="auto"/>
        <w:right w:val="none" w:sz="0" w:space="0" w:color="auto"/>
      </w:divBdr>
    </w:div>
    <w:div w:id="1035616700">
      <w:bodyDiv w:val="1"/>
      <w:marLeft w:val="0"/>
      <w:marRight w:val="0"/>
      <w:marTop w:val="0"/>
      <w:marBottom w:val="0"/>
      <w:divBdr>
        <w:top w:val="none" w:sz="0" w:space="0" w:color="auto"/>
        <w:left w:val="none" w:sz="0" w:space="0" w:color="auto"/>
        <w:bottom w:val="none" w:sz="0" w:space="0" w:color="auto"/>
        <w:right w:val="none" w:sz="0" w:space="0" w:color="auto"/>
      </w:divBdr>
    </w:div>
    <w:div w:id="1037393321">
      <w:bodyDiv w:val="1"/>
      <w:marLeft w:val="0"/>
      <w:marRight w:val="0"/>
      <w:marTop w:val="0"/>
      <w:marBottom w:val="0"/>
      <w:divBdr>
        <w:top w:val="none" w:sz="0" w:space="0" w:color="auto"/>
        <w:left w:val="none" w:sz="0" w:space="0" w:color="auto"/>
        <w:bottom w:val="none" w:sz="0" w:space="0" w:color="auto"/>
        <w:right w:val="none" w:sz="0" w:space="0" w:color="auto"/>
      </w:divBdr>
    </w:div>
    <w:div w:id="1049958568">
      <w:bodyDiv w:val="1"/>
      <w:marLeft w:val="0"/>
      <w:marRight w:val="0"/>
      <w:marTop w:val="0"/>
      <w:marBottom w:val="0"/>
      <w:divBdr>
        <w:top w:val="none" w:sz="0" w:space="0" w:color="auto"/>
        <w:left w:val="none" w:sz="0" w:space="0" w:color="auto"/>
        <w:bottom w:val="none" w:sz="0" w:space="0" w:color="auto"/>
        <w:right w:val="none" w:sz="0" w:space="0" w:color="auto"/>
      </w:divBdr>
    </w:div>
    <w:div w:id="1140999465">
      <w:bodyDiv w:val="1"/>
      <w:marLeft w:val="0"/>
      <w:marRight w:val="0"/>
      <w:marTop w:val="0"/>
      <w:marBottom w:val="0"/>
      <w:divBdr>
        <w:top w:val="none" w:sz="0" w:space="0" w:color="auto"/>
        <w:left w:val="none" w:sz="0" w:space="0" w:color="auto"/>
        <w:bottom w:val="none" w:sz="0" w:space="0" w:color="auto"/>
        <w:right w:val="none" w:sz="0" w:space="0" w:color="auto"/>
      </w:divBdr>
    </w:div>
    <w:div w:id="1180969746">
      <w:bodyDiv w:val="1"/>
      <w:marLeft w:val="0"/>
      <w:marRight w:val="0"/>
      <w:marTop w:val="0"/>
      <w:marBottom w:val="0"/>
      <w:divBdr>
        <w:top w:val="none" w:sz="0" w:space="0" w:color="auto"/>
        <w:left w:val="none" w:sz="0" w:space="0" w:color="auto"/>
        <w:bottom w:val="none" w:sz="0" w:space="0" w:color="auto"/>
        <w:right w:val="none" w:sz="0" w:space="0" w:color="auto"/>
      </w:divBdr>
    </w:div>
    <w:div w:id="1276714142">
      <w:bodyDiv w:val="1"/>
      <w:marLeft w:val="0"/>
      <w:marRight w:val="0"/>
      <w:marTop w:val="0"/>
      <w:marBottom w:val="0"/>
      <w:divBdr>
        <w:top w:val="none" w:sz="0" w:space="0" w:color="auto"/>
        <w:left w:val="none" w:sz="0" w:space="0" w:color="auto"/>
        <w:bottom w:val="none" w:sz="0" w:space="0" w:color="auto"/>
        <w:right w:val="none" w:sz="0" w:space="0" w:color="auto"/>
      </w:divBdr>
      <w:divsChild>
        <w:div w:id="1312292902">
          <w:marLeft w:val="0"/>
          <w:marRight w:val="0"/>
          <w:marTop w:val="0"/>
          <w:marBottom w:val="0"/>
          <w:divBdr>
            <w:top w:val="none" w:sz="0" w:space="0" w:color="auto"/>
            <w:left w:val="none" w:sz="0" w:space="0" w:color="auto"/>
            <w:bottom w:val="none" w:sz="0" w:space="0" w:color="auto"/>
            <w:right w:val="none" w:sz="0" w:space="0" w:color="auto"/>
          </w:divBdr>
        </w:div>
      </w:divsChild>
    </w:div>
    <w:div w:id="1291588971">
      <w:bodyDiv w:val="1"/>
      <w:marLeft w:val="0"/>
      <w:marRight w:val="0"/>
      <w:marTop w:val="0"/>
      <w:marBottom w:val="0"/>
      <w:divBdr>
        <w:top w:val="none" w:sz="0" w:space="0" w:color="auto"/>
        <w:left w:val="none" w:sz="0" w:space="0" w:color="auto"/>
        <w:bottom w:val="none" w:sz="0" w:space="0" w:color="auto"/>
        <w:right w:val="none" w:sz="0" w:space="0" w:color="auto"/>
      </w:divBdr>
    </w:div>
    <w:div w:id="1382634375">
      <w:bodyDiv w:val="1"/>
      <w:marLeft w:val="0"/>
      <w:marRight w:val="0"/>
      <w:marTop w:val="0"/>
      <w:marBottom w:val="0"/>
      <w:divBdr>
        <w:top w:val="none" w:sz="0" w:space="0" w:color="auto"/>
        <w:left w:val="none" w:sz="0" w:space="0" w:color="auto"/>
        <w:bottom w:val="none" w:sz="0" w:space="0" w:color="auto"/>
        <w:right w:val="none" w:sz="0" w:space="0" w:color="auto"/>
      </w:divBdr>
    </w:div>
    <w:div w:id="1399589974">
      <w:bodyDiv w:val="1"/>
      <w:marLeft w:val="0"/>
      <w:marRight w:val="0"/>
      <w:marTop w:val="0"/>
      <w:marBottom w:val="0"/>
      <w:divBdr>
        <w:top w:val="none" w:sz="0" w:space="0" w:color="auto"/>
        <w:left w:val="none" w:sz="0" w:space="0" w:color="auto"/>
        <w:bottom w:val="none" w:sz="0" w:space="0" w:color="auto"/>
        <w:right w:val="none" w:sz="0" w:space="0" w:color="auto"/>
      </w:divBdr>
    </w:div>
    <w:div w:id="1459446597">
      <w:bodyDiv w:val="1"/>
      <w:marLeft w:val="0"/>
      <w:marRight w:val="0"/>
      <w:marTop w:val="0"/>
      <w:marBottom w:val="0"/>
      <w:divBdr>
        <w:top w:val="none" w:sz="0" w:space="0" w:color="auto"/>
        <w:left w:val="none" w:sz="0" w:space="0" w:color="auto"/>
        <w:bottom w:val="none" w:sz="0" w:space="0" w:color="auto"/>
        <w:right w:val="none" w:sz="0" w:space="0" w:color="auto"/>
      </w:divBdr>
    </w:div>
    <w:div w:id="1515270282">
      <w:bodyDiv w:val="1"/>
      <w:marLeft w:val="0"/>
      <w:marRight w:val="0"/>
      <w:marTop w:val="0"/>
      <w:marBottom w:val="0"/>
      <w:divBdr>
        <w:top w:val="none" w:sz="0" w:space="0" w:color="auto"/>
        <w:left w:val="none" w:sz="0" w:space="0" w:color="auto"/>
        <w:bottom w:val="none" w:sz="0" w:space="0" w:color="auto"/>
        <w:right w:val="none" w:sz="0" w:space="0" w:color="auto"/>
      </w:divBdr>
    </w:div>
    <w:div w:id="1578398638">
      <w:bodyDiv w:val="1"/>
      <w:marLeft w:val="0"/>
      <w:marRight w:val="0"/>
      <w:marTop w:val="0"/>
      <w:marBottom w:val="0"/>
      <w:divBdr>
        <w:top w:val="none" w:sz="0" w:space="0" w:color="auto"/>
        <w:left w:val="none" w:sz="0" w:space="0" w:color="auto"/>
        <w:bottom w:val="none" w:sz="0" w:space="0" w:color="auto"/>
        <w:right w:val="none" w:sz="0" w:space="0" w:color="auto"/>
      </w:divBdr>
    </w:div>
    <w:div w:id="1598515826">
      <w:bodyDiv w:val="1"/>
      <w:marLeft w:val="0"/>
      <w:marRight w:val="0"/>
      <w:marTop w:val="0"/>
      <w:marBottom w:val="0"/>
      <w:divBdr>
        <w:top w:val="none" w:sz="0" w:space="0" w:color="auto"/>
        <w:left w:val="none" w:sz="0" w:space="0" w:color="auto"/>
        <w:bottom w:val="none" w:sz="0" w:space="0" w:color="auto"/>
        <w:right w:val="none" w:sz="0" w:space="0" w:color="auto"/>
      </w:divBdr>
    </w:div>
    <w:div w:id="1653679549">
      <w:bodyDiv w:val="1"/>
      <w:marLeft w:val="0"/>
      <w:marRight w:val="0"/>
      <w:marTop w:val="0"/>
      <w:marBottom w:val="0"/>
      <w:divBdr>
        <w:top w:val="none" w:sz="0" w:space="0" w:color="auto"/>
        <w:left w:val="none" w:sz="0" w:space="0" w:color="auto"/>
        <w:bottom w:val="none" w:sz="0" w:space="0" w:color="auto"/>
        <w:right w:val="none" w:sz="0" w:space="0" w:color="auto"/>
      </w:divBdr>
    </w:div>
    <w:div w:id="1666930569">
      <w:bodyDiv w:val="1"/>
      <w:marLeft w:val="0"/>
      <w:marRight w:val="0"/>
      <w:marTop w:val="0"/>
      <w:marBottom w:val="0"/>
      <w:divBdr>
        <w:top w:val="none" w:sz="0" w:space="0" w:color="auto"/>
        <w:left w:val="none" w:sz="0" w:space="0" w:color="auto"/>
        <w:bottom w:val="none" w:sz="0" w:space="0" w:color="auto"/>
        <w:right w:val="none" w:sz="0" w:space="0" w:color="auto"/>
      </w:divBdr>
    </w:div>
    <w:div w:id="1687562323">
      <w:bodyDiv w:val="1"/>
      <w:marLeft w:val="0"/>
      <w:marRight w:val="0"/>
      <w:marTop w:val="0"/>
      <w:marBottom w:val="0"/>
      <w:divBdr>
        <w:top w:val="none" w:sz="0" w:space="0" w:color="auto"/>
        <w:left w:val="none" w:sz="0" w:space="0" w:color="auto"/>
        <w:bottom w:val="none" w:sz="0" w:space="0" w:color="auto"/>
        <w:right w:val="none" w:sz="0" w:space="0" w:color="auto"/>
      </w:divBdr>
    </w:div>
    <w:div w:id="1816335889">
      <w:bodyDiv w:val="1"/>
      <w:marLeft w:val="0"/>
      <w:marRight w:val="0"/>
      <w:marTop w:val="0"/>
      <w:marBottom w:val="0"/>
      <w:divBdr>
        <w:top w:val="none" w:sz="0" w:space="0" w:color="auto"/>
        <w:left w:val="none" w:sz="0" w:space="0" w:color="auto"/>
        <w:bottom w:val="none" w:sz="0" w:space="0" w:color="auto"/>
        <w:right w:val="none" w:sz="0" w:space="0" w:color="auto"/>
      </w:divBdr>
    </w:div>
    <w:div w:id="1901091509">
      <w:bodyDiv w:val="1"/>
      <w:marLeft w:val="0"/>
      <w:marRight w:val="0"/>
      <w:marTop w:val="0"/>
      <w:marBottom w:val="0"/>
      <w:divBdr>
        <w:top w:val="none" w:sz="0" w:space="0" w:color="auto"/>
        <w:left w:val="none" w:sz="0" w:space="0" w:color="auto"/>
        <w:bottom w:val="none" w:sz="0" w:space="0" w:color="auto"/>
        <w:right w:val="none" w:sz="0" w:space="0" w:color="auto"/>
      </w:divBdr>
    </w:div>
    <w:div w:id="1913351114">
      <w:bodyDiv w:val="1"/>
      <w:marLeft w:val="0"/>
      <w:marRight w:val="0"/>
      <w:marTop w:val="0"/>
      <w:marBottom w:val="0"/>
      <w:divBdr>
        <w:top w:val="none" w:sz="0" w:space="0" w:color="auto"/>
        <w:left w:val="none" w:sz="0" w:space="0" w:color="auto"/>
        <w:bottom w:val="none" w:sz="0" w:space="0" w:color="auto"/>
        <w:right w:val="none" w:sz="0" w:space="0" w:color="auto"/>
      </w:divBdr>
    </w:div>
    <w:div w:id="2051293862">
      <w:bodyDiv w:val="1"/>
      <w:marLeft w:val="0"/>
      <w:marRight w:val="0"/>
      <w:marTop w:val="0"/>
      <w:marBottom w:val="0"/>
      <w:divBdr>
        <w:top w:val="none" w:sz="0" w:space="0" w:color="auto"/>
        <w:left w:val="none" w:sz="0" w:space="0" w:color="auto"/>
        <w:bottom w:val="none" w:sz="0" w:space="0" w:color="auto"/>
        <w:right w:val="none" w:sz="0" w:space="0" w:color="auto"/>
      </w:divBdr>
    </w:div>
    <w:div w:id="208379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deralcircuitcourt.gov.au/wps/wcm/connect/fccweb/court-reform/merger-news-all" TargetMode="External"/><Relationship Id="rId13" Type="http://schemas.openxmlformats.org/officeDocument/2006/relationships/hyperlink" Target="http://www.familycourt.gov.au/wps/wcm/connect/fcoaweb/reports-and-publications/media-releases/2021/mr250821"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fcfcoa.gov.a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denise.healy@familycourt.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ederalcircuitcourt.gov.au/wps/wcm/connect/fccweb/court-reform/fcfcoa-legislation" TargetMode="External"/><Relationship Id="rId5" Type="http://schemas.openxmlformats.org/officeDocument/2006/relationships/webSettings" Target="webSettings.xml"/><Relationship Id="rId15" Type="http://schemas.openxmlformats.org/officeDocument/2006/relationships/hyperlink" Target="http://www.federalcircuitcourt.gov.au/wps/wcm/connect/fccweb/reports-and-publications/media-releases/2021/mr300721" TargetMode="External"/><Relationship Id="rId10" Type="http://schemas.openxmlformats.org/officeDocument/2006/relationships/hyperlink" Target="https://www.legislation.gov.au/Details/F2021L0120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legislation.gov.au/Details/F2021L01197" TargetMode="External"/><Relationship Id="rId14" Type="http://schemas.openxmlformats.org/officeDocument/2006/relationships/hyperlink" Target="http://www.familycourt.gov.au/wps/wcm/connect/fcoaweb/reports-and-publications/media-releases/2021/mr30072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015FF2-70D6-456B-86F7-F0DA5FB90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2944</Words>
  <Characters>12897</Characters>
  <Application>Microsoft Office Word</Application>
  <DocSecurity>4</DocSecurity>
  <Lines>614</Lines>
  <Paragraphs>688</Paragraphs>
  <ScaleCrop>false</ScaleCrop>
  <HeadingPairs>
    <vt:vector size="2" baseType="variant">
      <vt:variant>
        <vt:lpstr>Title</vt:lpstr>
      </vt:variant>
      <vt:variant>
        <vt:i4>1</vt:i4>
      </vt:variant>
    </vt:vector>
  </HeadingPairs>
  <TitlesOfParts>
    <vt:vector size="1" baseType="lpstr">
      <vt:lpstr>Media Release - Update to the profession: Commencement of the new</vt:lpstr>
    </vt:vector>
  </TitlesOfParts>
  <Company>Federal Court of Australia</Company>
  <LinksUpToDate>false</LinksUpToDate>
  <CharactersWithSpaces>15153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 Update to the profession: Commencement of the new</dc:title>
  <dc:subject/>
  <dc:creator>Family Court of Australia;Federal Circuit Court of Australia</dc:creator>
  <cp:keywords/>
  <dc:description/>
  <cp:lastModifiedBy>Christine Tuff</cp:lastModifiedBy>
  <cp:revision>2</cp:revision>
  <cp:lastPrinted>2021-08-27T06:57:00Z</cp:lastPrinted>
  <dcterms:created xsi:type="dcterms:W3CDTF">2021-08-29T00:29:00Z</dcterms:created>
  <dcterms:modified xsi:type="dcterms:W3CDTF">2021-08-29T00:29:00Z</dcterms:modified>
</cp:coreProperties>
</file>