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E029BF" w14:textId="7986C8AC" w:rsidR="00AB213B" w:rsidRPr="005C0EBF" w:rsidRDefault="00AB213B" w:rsidP="00FE7DAA">
      <w:pPr>
        <w:rPr>
          <w:rFonts w:asciiTheme="minorHAnsi" w:hAnsiTheme="minorHAnsi" w:cstheme="minorHAnsi"/>
          <w:noProof/>
        </w:rPr>
      </w:pPr>
      <w:r w:rsidRPr="005C0EBF">
        <w:rPr>
          <w:rFonts w:asciiTheme="minorHAnsi" w:hAnsiTheme="minorHAnsi" w:cstheme="minorHAnsi"/>
          <w:noProof/>
        </w:rPr>
        <mc:AlternateContent>
          <mc:Choice Requires="wps">
            <w:drawing>
              <wp:anchor distT="0" distB="0" distL="114300" distR="114300" simplePos="0" relativeHeight="251659264" behindDoc="0" locked="0" layoutInCell="0" allowOverlap="1" wp14:anchorId="6B9917E8" wp14:editId="263590AD">
                <wp:simplePos x="0" y="0"/>
                <wp:positionH relativeFrom="margin">
                  <wp:posOffset>3230245</wp:posOffset>
                </wp:positionH>
                <wp:positionV relativeFrom="paragraph">
                  <wp:posOffset>-114300</wp:posOffset>
                </wp:positionV>
                <wp:extent cx="2865755" cy="266065"/>
                <wp:effectExtent l="0" t="0" r="10795" b="1968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5755" cy="266065"/>
                        </a:xfrm>
                        <a:prstGeom prst="rect">
                          <a:avLst/>
                        </a:prstGeom>
                        <a:solidFill>
                          <a:schemeClr val="bg1">
                            <a:lumMod val="85000"/>
                          </a:schemeClr>
                        </a:solidFill>
                        <a:ln w="9525">
                          <a:solidFill>
                            <a:schemeClr val="bg1">
                              <a:lumMod val="85000"/>
                            </a:schemeClr>
                          </a:solidFill>
                          <a:miter lim="800000"/>
                          <a:headEnd/>
                          <a:tailEnd/>
                        </a:ln>
                      </wps:spPr>
                      <wps:txbx>
                        <w:txbxContent>
                          <w:p w14:paraId="5A2D9093" w14:textId="690D4A38" w:rsidR="00AB7BFC" w:rsidRPr="001A4EBF" w:rsidRDefault="003506F5"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20</w:t>
                            </w:r>
                            <w:r w:rsidR="008D3E29">
                              <w:rPr>
                                <w:rFonts w:asciiTheme="minorHAnsi" w:hAnsiTheme="minorHAnsi" w:cstheme="minorHAnsi"/>
                                <w:b/>
                                <w:color w:val="2E74B5" w:themeColor="accent1" w:themeShade="BF"/>
                                <w:sz w:val="22"/>
                                <w:szCs w:val="22"/>
                              </w:rPr>
                              <w:t xml:space="preserve"> August</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wps:txbx>
                      <wps:bodyPr rot="0" vert="horz" wrap="square" lIns="7200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9917E8" id="_x0000_t202" coordsize="21600,21600" o:spt="202" path="m,l,21600r21600,l21600,xe">
                <v:stroke joinstyle="miter"/>
                <v:path gradientshapeok="t" o:connecttype="rect"/>
              </v:shapetype>
              <v:shape id="Text Box 3" o:spid="_x0000_s1026" type="#_x0000_t202" style="position:absolute;margin-left:254.35pt;margin-top:-9pt;width:225.65pt;height:20.9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" o:allowincell="f" fillcolor="#d8d8d8 [2732]" strokecolor="#d8d8d8 [2732]">
                <v:textbox inset="2mm,0,0,0">
                  <w:txbxContent>
                    <w:p w14:paraId="5A2D9093" w14:textId="690D4A38" w:rsidR="00AB7BFC" w:rsidRPr="001A4EBF" w:rsidRDefault="003506F5"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20</w:t>
                      </w:r>
                      <w:r w:rsidR="008D3E29">
                        <w:rPr>
                          <w:rFonts w:asciiTheme="minorHAnsi" w:hAnsiTheme="minorHAnsi" w:cstheme="minorHAnsi"/>
                          <w:b/>
                          <w:color w:val="2E74B5" w:themeColor="accent1" w:themeShade="BF"/>
                          <w:sz w:val="22"/>
                          <w:szCs w:val="22"/>
                        </w:rPr>
                        <w:t xml:space="preserve"> August</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v:textbox>
                <w10:wrap anchorx="margin"/>
              </v:shape>
            </w:pict>
          </mc:Fallback>
        </mc:AlternateContent>
      </w:r>
    </w:p>
    <w:p w14:paraId="3B3A5191" w14:textId="242642A1" w:rsidR="00E11EB8" w:rsidRPr="005C0EBF" w:rsidRDefault="008D3E29" w:rsidP="0087523B">
      <w:pPr>
        <w:pStyle w:val="Heading1"/>
        <w:spacing w:after="240" w:line="276" w:lineRule="auto"/>
        <w:rPr>
          <w:noProof/>
          <w:sz w:val="32"/>
          <w:szCs w:val="32"/>
        </w:rPr>
      </w:pPr>
      <w:bookmarkStart w:id="0" w:name="_GoBack"/>
      <w:r w:rsidRPr="005C0EBF">
        <w:rPr>
          <w:noProof/>
          <w:sz w:val="32"/>
          <w:szCs w:val="32"/>
        </w:rPr>
        <w:t>Update to the profession</w:t>
      </w:r>
      <w:r w:rsidR="00A9477C" w:rsidRPr="005C0EBF">
        <w:rPr>
          <w:noProof/>
          <w:sz w:val="32"/>
          <w:szCs w:val="32"/>
        </w:rPr>
        <w:t xml:space="preserve"> (No. </w:t>
      </w:r>
      <w:r w:rsidR="003506F5" w:rsidRPr="005C0EBF">
        <w:rPr>
          <w:noProof/>
          <w:sz w:val="32"/>
          <w:szCs w:val="32"/>
        </w:rPr>
        <w:t>4</w:t>
      </w:r>
      <w:r w:rsidR="00A9477C" w:rsidRPr="005C0EBF">
        <w:rPr>
          <w:noProof/>
          <w:sz w:val="32"/>
          <w:szCs w:val="32"/>
        </w:rPr>
        <w:t>)</w:t>
      </w:r>
      <w:r w:rsidRPr="005C0EBF">
        <w:rPr>
          <w:noProof/>
          <w:sz w:val="32"/>
          <w:szCs w:val="32"/>
        </w:rPr>
        <w:t>: C</w:t>
      </w:r>
      <w:r w:rsidR="00130971" w:rsidRPr="005C0EBF">
        <w:rPr>
          <w:noProof/>
          <w:sz w:val="32"/>
          <w:szCs w:val="32"/>
        </w:rPr>
        <w:t xml:space="preserve">ommencement of </w:t>
      </w:r>
      <w:r w:rsidR="00A24696" w:rsidRPr="005C0EBF">
        <w:rPr>
          <w:noProof/>
          <w:sz w:val="32"/>
          <w:szCs w:val="32"/>
        </w:rPr>
        <w:t xml:space="preserve">the </w:t>
      </w:r>
      <w:r w:rsidR="00130971" w:rsidRPr="005C0EBF">
        <w:rPr>
          <w:noProof/>
          <w:sz w:val="32"/>
          <w:szCs w:val="32"/>
        </w:rPr>
        <w:t xml:space="preserve">new </w:t>
      </w:r>
      <w:r w:rsidR="00A24696" w:rsidRPr="005C0EBF">
        <w:rPr>
          <w:noProof/>
          <w:sz w:val="32"/>
          <w:szCs w:val="32"/>
        </w:rPr>
        <w:br/>
        <w:t>Federal Circuit and Family Court of Austra</w:t>
      </w:r>
      <w:r w:rsidR="00B74497" w:rsidRPr="005C0EBF">
        <w:rPr>
          <w:noProof/>
          <w:sz w:val="32"/>
          <w:szCs w:val="32"/>
        </w:rPr>
        <w:t>l</w:t>
      </w:r>
      <w:r w:rsidR="00A24696" w:rsidRPr="005C0EBF">
        <w:rPr>
          <w:noProof/>
          <w:sz w:val="32"/>
          <w:szCs w:val="32"/>
        </w:rPr>
        <w:t>ia</w:t>
      </w:r>
      <w:bookmarkEnd w:id="0"/>
    </w:p>
    <w:p w14:paraId="74765490" w14:textId="25ADF3E0" w:rsidR="004660B2" w:rsidRPr="005C0EBF" w:rsidRDefault="004660B2" w:rsidP="0087523B">
      <w:pPr>
        <w:spacing w:after="240"/>
        <w:rPr>
          <w:rFonts w:asciiTheme="minorHAnsi" w:hAnsiTheme="minorHAnsi" w:cstheme="minorHAnsi"/>
          <w:sz w:val="22"/>
          <w:szCs w:val="22"/>
        </w:rPr>
      </w:pPr>
      <w:r w:rsidRPr="005C0EBF">
        <w:rPr>
          <w:rFonts w:asciiTheme="minorHAnsi" w:hAnsiTheme="minorHAnsi" w:cstheme="minorHAnsi"/>
          <w:sz w:val="22"/>
          <w:szCs w:val="22"/>
        </w:rPr>
        <w:t xml:space="preserve">On 1 September 2021, </w:t>
      </w:r>
      <w:r w:rsidR="00A64E0D" w:rsidRPr="005C0EBF">
        <w:rPr>
          <w:rFonts w:asciiTheme="minorHAnsi" w:hAnsiTheme="minorHAnsi" w:cstheme="minorHAnsi"/>
          <w:sz w:val="22"/>
          <w:szCs w:val="22"/>
        </w:rPr>
        <w:t xml:space="preserve">the </w:t>
      </w:r>
      <w:r w:rsidR="00877360" w:rsidRPr="005C0EBF">
        <w:rPr>
          <w:rFonts w:asciiTheme="minorHAnsi" w:hAnsiTheme="minorHAnsi" w:cstheme="minorHAnsi"/>
          <w:sz w:val="22"/>
          <w:szCs w:val="22"/>
        </w:rPr>
        <w:t xml:space="preserve">Family Court of Australia </w:t>
      </w:r>
      <w:r w:rsidR="007B1FCC" w:rsidRPr="005C0EBF">
        <w:rPr>
          <w:rFonts w:asciiTheme="minorHAnsi" w:hAnsiTheme="minorHAnsi" w:cstheme="minorHAnsi"/>
          <w:sz w:val="22"/>
          <w:szCs w:val="22"/>
        </w:rPr>
        <w:t xml:space="preserve">(FCoA) </w:t>
      </w:r>
      <w:r w:rsidR="00877360" w:rsidRPr="005C0EBF">
        <w:rPr>
          <w:rFonts w:asciiTheme="minorHAnsi" w:hAnsiTheme="minorHAnsi" w:cstheme="minorHAnsi"/>
          <w:sz w:val="22"/>
          <w:szCs w:val="22"/>
        </w:rPr>
        <w:t>and Federal Circuit Court of Australia</w:t>
      </w:r>
      <w:r w:rsidR="007B1FCC" w:rsidRPr="005C0EBF">
        <w:rPr>
          <w:rFonts w:asciiTheme="minorHAnsi" w:hAnsiTheme="minorHAnsi" w:cstheme="minorHAnsi"/>
          <w:sz w:val="22"/>
          <w:szCs w:val="22"/>
        </w:rPr>
        <w:t xml:space="preserve"> (FCC)</w:t>
      </w:r>
      <w:r w:rsidR="00877360" w:rsidRPr="005C0EBF">
        <w:rPr>
          <w:rFonts w:asciiTheme="minorHAnsi" w:hAnsiTheme="minorHAnsi" w:cstheme="minorHAnsi"/>
          <w:sz w:val="22"/>
          <w:szCs w:val="22"/>
        </w:rPr>
        <w:t xml:space="preserve"> </w:t>
      </w:r>
      <w:r w:rsidRPr="005C0EBF">
        <w:rPr>
          <w:rFonts w:asciiTheme="minorHAnsi" w:hAnsiTheme="minorHAnsi" w:cstheme="minorHAnsi"/>
          <w:sz w:val="22"/>
          <w:szCs w:val="22"/>
        </w:rPr>
        <w:t xml:space="preserve">will be </w:t>
      </w:r>
      <w:r w:rsidR="00C4092C">
        <w:rPr>
          <w:rFonts w:asciiTheme="minorHAnsi" w:hAnsiTheme="minorHAnsi" w:cstheme="minorHAnsi"/>
          <w:sz w:val="22"/>
          <w:szCs w:val="22"/>
        </w:rPr>
        <w:t xml:space="preserve">amalgamated </w:t>
      </w:r>
      <w:r w:rsidRPr="005C0EBF">
        <w:rPr>
          <w:rFonts w:asciiTheme="minorHAnsi" w:hAnsiTheme="minorHAnsi" w:cstheme="minorHAnsi"/>
          <w:sz w:val="22"/>
          <w:szCs w:val="22"/>
        </w:rPr>
        <w:t>to create the Federal Circuit and Family Court of Australia (FCFCOA). Division 1</w:t>
      </w:r>
      <w:r w:rsidR="006F2301" w:rsidRPr="005C0EBF">
        <w:rPr>
          <w:rFonts w:asciiTheme="minorHAnsi" w:hAnsiTheme="minorHAnsi" w:cstheme="minorHAnsi"/>
          <w:sz w:val="22"/>
          <w:szCs w:val="22"/>
        </w:rPr>
        <w:t xml:space="preserve"> of the FCFCOA </w:t>
      </w:r>
      <w:r w:rsidRPr="005C0EBF">
        <w:rPr>
          <w:rFonts w:asciiTheme="minorHAnsi" w:hAnsiTheme="minorHAnsi" w:cstheme="minorHAnsi"/>
          <w:sz w:val="22"/>
          <w:szCs w:val="22"/>
        </w:rPr>
        <w:t xml:space="preserve">will deal only with family law matters, while Division 2 will deal with both family law and general federal law matters. </w:t>
      </w:r>
    </w:p>
    <w:p w14:paraId="77AB9D23" w14:textId="728C438D" w:rsidR="00190678" w:rsidRPr="005C0EBF" w:rsidRDefault="00190678" w:rsidP="0087523B">
      <w:pPr>
        <w:rPr>
          <w:rFonts w:asciiTheme="minorHAnsi" w:hAnsiTheme="minorHAnsi" w:cstheme="minorHAnsi"/>
          <w:sz w:val="22"/>
          <w:szCs w:val="22"/>
        </w:rPr>
      </w:pPr>
      <w:r w:rsidRPr="005C0EBF">
        <w:rPr>
          <w:rFonts w:asciiTheme="minorHAnsi" w:hAnsiTheme="minorHAnsi" w:cstheme="minorHAnsi"/>
          <w:sz w:val="22"/>
          <w:szCs w:val="22"/>
        </w:rPr>
        <w:t xml:space="preserve">The Courts have released a series of </w:t>
      </w:r>
      <w:hyperlink r:id="rId8" w:history="1">
        <w:r w:rsidRPr="005C0EBF">
          <w:rPr>
            <w:rStyle w:val="Hyperlink"/>
            <w:rFonts w:asciiTheme="minorHAnsi" w:hAnsiTheme="minorHAnsi" w:cstheme="minorHAnsi"/>
            <w:sz w:val="22"/>
            <w:szCs w:val="22"/>
          </w:rPr>
          <w:t>updates</w:t>
        </w:r>
      </w:hyperlink>
      <w:r w:rsidRPr="005C0EBF">
        <w:rPr>
          <w:rFonts w:asciiTheme="minorHAnsi" w:hAnsiTheme="minorHAnsi" w:cstheme="minorHAnsi"/>
          <w:sz w:val="22"/>
          <w:szCs w:val="22"/>
        </w:rPr>
        <w:t xml:space="preserve"> for the legal profession and the public to advise them of changes to court operatio</w:t>
      </w:r>
      <w:r w:rsidR="00057FCA">
        <w:rPr>
          <w:rFonts w:asciiTheme="minorHAnsi" w:hAnsiTheme="minorHAnsi" w:cstheme="minorHAnsi"/>
          <w:sz w:val="22"/>
          <w:szCs w:val="22"/>
        </w:rPr>
        <w:t xml:space="preserve">ns. This fourth update provides additional </w:t>
      </w:r>
      <w:r w:rsidRPr="005C0EBF">
        <w:rPr>
          <w:rFonts w:asciiTheme="minorHAnsi" w:hAnsiTheme="minorHAnsi" w:cstheme="minorHAnsi"/>
          <w:sz w:val="22"/>
          <w:szCs w:val="22"/>
        </w:rPr>
        <w:t xml:space="preserve">information that primarily relates to the family law jurisdiction of the FCFCOA, specifically in regard to the new </w:t>
      </w:r>
      <w:r w:rsidR="00C7321E">
        <w:rPr>
          <w:rFonts w:asciiTheme="minorHAnsi" w:hAnsiTheme="minorHAnsi" w:cstheme="minorHAnsi"/>
          <w:sz w:val="22"/>
          <w:szCs w:val="22"/>
        </w:rPr>
        <w:t>h</w:t>
      </w:r>
      <w:r w:rsidRPr="005C0EBF">
        <w:rPr>
          <w:rFonts w:asciiTheme="minorHAnsi" w:hAnsiTheme="minorHAnsi" w:cstheme="minorHAnsi"/>
          <w:sz w:val="22"/>
          <w:szCs w:val="22"/>
        </w:rPr>
        <w:t xml:space="preserve">armonised Rules, the </w:t>
      </w:r>
      <w:r w:rsidR="007D56C9">
        <w:rPr>
          <w:rFonts w:asciiTheme="minorHAnsi" w:hAnsiTheme="minorHAnsi" w:cstheme="minorHAnsi"/>
          <w:sz w:val="22"/>
          <w:szCs w:val="22"/>
        </w:rPr>
        <w:t>Courts’</w:t>
      </w:r>
      <w:r w:rsidRPr="005C0EBF">
        <w:rPr>
          <w:rFonts w:asciiTheme="minorHAnsi" w:hAnsiTheme="minorHAnsi" w:cstheme="minorHAnsi"/>
          <w:sz w:val="22"/>
          <w:szCs w:val="22"/>
        </w:rPr>
        <w:t xml:space="preserve"> Central Practice Direction, and </w:t>
      </w:r>
      <w:r w:rsidR="00DC394B">
        <w:rPr>
          <w:rFonts w:asciiTheme="minorHAnsi" w:hAnsiTheme="minorHAnsi" w:cstheme="minorHAnsi"/>
          <w:sz w:val="22"/>
          <w:szCs w:val="22"/>
        </w:rPr>
        <w:t xml:space="preserve">the new </w:t>
      </w:r>
      <w:r w:rsidRPr="005C0EBF">
        <w:rPr>
          <w:rFonts w:asciiTheme="minorHAnsi" w:hAnsiTheme="minorHAnsi" w:cstheme="minorHAnsi"/>
          <w:sz w:val="22"/>
          <w:szCs w:val="22"/>
        </w:rPr>
        <w:t>case management pathway in family law</w:t>
      </w:r>
      <w:r w:rsidR="00DC394B">
        <w:rPr>
          <w:rFonts w:asciiTheme="minorHAnsi" w:hAnsiTheme="minorHAnsi" w:cstheme="minorHAnsi"/>
          <w:sz w:val="22"/>
          <w:szCs w:val="22"/>
        </w:rPr>
        <w:t xml:space="preserve"> proceedings</w:t>
      </w:r>
      <w:r w:rsidRPr="005C0EBF">
        <w:rPr>
          <w:rFonts w:asciiTheme="minorHAnsi" w:hAnsiTheme="minorHAnsi" w:cstheme="minorHAnsi"/>
          <w:sz w:val="22"/>
          <w:szCs w:val="22"/>
        </w:rPr>
        <w:t xml:space="preserve">. </w:t>
      </w:r>
    </w:p>
    <w:p w14:paraId="4A2D382A" w14:textId="77777777" w:rsidR="00190678" w:rsidRPr="005C0EBF" w:rsidRDefault="00190678" w:rsidP="0087523B">
      <w:pPr>
        <w:pStyle w:val="Heading2"/>
        <w:rPr>
          <w:lang w:eastAsia="en-US"/>
        </w:rPr>
      </w:pPr>
      <w:r w:rsidRPr="005C0EBF">
        <w:rPr>
          <w:lang w:eastAsia="en-US"/>
        </w:rPr>
        <w:t>The family law jurisdiction</w:t>
      </w:r>
    </w:p>
    <w:p w14:paraId="43D0820B" w14:textId="213CEA3C" w:rsidR="00190678" w:rsidRPr="005C0EBF" w:rsidRDefault="00190678" w:rsidP="0087523B">
      <w:pPr>
        <w:spacing w:after="240"/>
        <w:rPr>
          <w:rFonts w:asciiTheme="minorHAnsi" w:hAnsiTheme="minorHAnsi" w:cstheme="minorHAnsi"/>
          <w:sz w:val="22"/>
          <w:szCs w:val="22"/>
        </w:rPr>
      </w:pPr>
      <w:r w:rsidRPr="005C0EBF">
        <w:rPr>
          <w:rFonts w:asciiTheme="minorHAnsi" w:hAnsiTheme="minorHAnsi" w:cstheme="minorHAnsi"/>
          <w:sz w:val="22"/>
          <w:szCs w:val="22"/>
        </w:rPr>
        <w:t>The Courts have been wor</w:t>
      </w:r>
      <w:r w:rsidR="00057FCA">
        <w:rPr>
          <w:rFonts w:asciiTheme="minorHAnsi" w:hAnsiTheme="minorHAnsi" w:cstheme="minorHAnsi"/>
          <w:sz w:val="22"/>
          <w:szCs w:val="22"/>
        </w:rPr>
        <w:t xml:space="preserve">king diligently to build a </w:t>
      </w:r>
      <w:r w:rsidRPr="005C0EBF">
        <w:rPr>
          <w:rFonts w:asciiTheme="minorHAnsi" w:hAnsiTheme="minorHAnsi" w:cstheme="minorHAnsi"/>
          <w:sz w:val="22"/>
          <w:szCs w:val="22"/>
        </w:rPr>
        <w:t>system that is innovative, focuses on the safety of children and vulnerable litigants, and that changes the culture and conversation around family</w:t>
      </w:r>
      <w:r w:rsidR="00C7321E">
        <w:rPr>
          <w:rFonts w:asciiTheme="minorHAnsi" w:hAnsiTheme="minorHAnsi" w:cstheme="minorHAnsi"/>
          <w:sz w:val="22"/>
          <w:szCs w:val="22"/>
        </w:rPr>
        <w:t xml:space="preserve"> law</w:t>
      </w:r>
      <w:r w:rsidRPr="005C0EBF">
        <w:rPr>
          <w:rFonts w:asciiTheme="minorHAnsi" w:hAnsiTheme="minorHAnsi" w:cstheme="minorHAnsi"/>
          <w:sz w:val="22"/>
          <w:szCs w:val="22"/>
        </w:rPr>
        <w:t>.</w:t>
      </w:r>
    </w:p>
    <w:p w14:paraId="3119B138" w14:textId="2DFD3C71" w:rsidR="00190678" w:rsidRPr="005C0EBF" w:rsidRDefault="00190678" w:rsidP="0087523B">
      <w:pPr>
        <w:spacing w:after="240"/>
        <w:rPr>
          <w:rFonts w:asciiTheme="minorHAnsi" w:hAnsiTheme="minorHAnsi" w:cstheme="minorHAnsi"/>
          <w:sz w:val="22"/>
          <w:szCs w:val="22"/>
        </w:rPr>
      </w:pPr>
      <w:r w:rsidRPr="005C0EBF">
        <w:rPr>
          <w:rFonts w:asciiTheme="minorHAnsi" w:hAnsiTheme="minorHAnsi" w:cstheme="minorHAnsi"/>
          <w:sz w:val="22"/>
          <w:szCs w:val="22"/>
        </w:rPr>
        <w:t xml:space="preserve">From 1 September we will see a new structure that is </w:t>
      </w:r>
      <w:r w:rsidR="007D56C9">
        <w:rPr>
          <w:rFonts w:asciiTheme="minorHAnsi" w:hAnsiTheme="minorHAnsi" w:cstheme="minorHAnsi"/>
          <w:sz w:val="22"/>
          <w:szCs w:val="22"/>
        </w:rPr>
        <w:t>modern</w:t>
      </w:r>
      <w:r w:rsidRPr="005C0EBF">
        <w:rPr>
          <w:rFonts w:asciiTheme="minorHAnsi" w:hAnsiTheme="minorHAnsi" w:cstheme="minorHAnsi"/>
          <w:sz w:val="22"/>
          <w:szCs w:val="22"/>
        </w:rPr>
        <w:t xml:space="preserve">, fair and focuses on risk, responsiveness and </w:t>
      </w:r>
      <w:r w:rsidR="00057FCA">
        <w:rPr>
          <w:rFonts w:asciiTheme="minorHAnsi" w:hAnsiTheme="minorHAnsi" w:cstheme="minorHAnsi"/>
          <w:sz w:val="22"/>
          <w:szCs w:val="22"/>
        </w:rPr>
        <w:t xml:space="preserve">earlier </w:t>
      </w:r>
      <w:r w:rsidRPr="005C0EBF">
        <w:rPr>
          <w:rFonts w:asciiTheme="minorHAnsi" w:hAnsiTheme="minorHAnsi" w:cstheme="minorHAnsi"/>
          <w:sz w:val="22"/>
          <w:szCs w:val="22"/>
        </w:rPr>
        <w:t>resolution, by:  </w:t>
      </w:r>
    </w:p>
    <w:p w14:paraId="41B08749" w14:textId="77777777" w:rsidR="00190678" w:rsidRPr="005C0EBF" w:rsidRDefault="00190678" w:rsidP="0087523B">
      <w:pPr>
        <w:pStyle w:val="ListParagraph"/>
        <w:numPr>
          <w:ilvl w:val="0"/>
          <w:numId w:val="2"/>
        </w:numPr>
        <w:spacing w:after="0" w:line="240" w:lineRule="auto"/>
        <w:rPr>
          <w:rFonts w:asciiTheme="minorHAnsi" w:eastAsia="Times New Roman" w:hAnsiTheme="minorHAnsi" w:cstheme="minorHAnsi"/>
          <w:lang w:eastAsia="en-AU"/>
        </w:rPr>
      </w:pPr>
      <w:r w:rsidRPr="005C0EBF">
        <w:rPr>
          <w:rFonts w:asciiTheme="minorHAnsi" w:eastAsia="Times New Roman" w:hAnsiTheme="minorHAnsi" w:cstheme="minorHAnsi"/>
          <w:lang w:eastAsia="en-AU"/>
        </w:rPr>
        <w:t>Improving early risk identification and safety of children and vulnerable parties</w:t>
      </w:r>
    </w:p>
    <w:p w14:paraId="2C42E279" w14:textId="77777777" w:rsidR="00190678" w:rsidRPr="005C0EBF" w:rsidRDefault="00190678" w:rsidP="0087523B">
      <w:pPr>
        <w:pStyle w:val="ListParagraph"/>
        <w:numPr>
          <w:ilvl w:val="0"/>
          <w:numId w:val="2"/>
        </w:numPr>
        <w:spacing w:after="0" w:line="240" w:lineRule="auto"/>
        <w:rPr>
          <w:rFonts w:asciiTheme="minorHAnsi" w:eastAsia="Times New Roman" w:hAnsiTheme="minorHAnsi" w:cstheme="minorHAnsi"/>
          <w:lang w:eastAsia="en-AU"/>
        </w:rPr>
      </w:pPr>
      <w:r w:rsidRPr="005C0EBF">
        <w:rPr>
          <w:rFonts w:asciiTheme="minorHAnsi" w:eastAsia="Times New Roman" w:hAnsiTheme="minorHAnsi" w:cstheme="minorHAnsi"/>
          <w:lang w:eastAsia="en-AU"/>
        </w:rPr>
        <w:t>Encouraging smarter ways to separate with less acrimony, less cost and more dispute resolution, where it is safe to do so</w:t>
      </w:r>
    </w:p>
    <w:p w14:paraId="1CF70577" w14:textId="77777777" w:rsidR="00190678" w:rsidRPr="005C0EBF" w:rsidRDefault="00190678" w:rsidP="0087523B">
      <w:pPr>
        <w:pStyle w:val="ListParagraph"/>
        <w:numPr>
          <w:ilvl w:val="0"/>
          <w:numId w:val="2"/>
        </w:numPr>
        <w:spacing w:after="0" w:line="240" w:lineRule="auto"/>
        <w:rPr>
          <w:rFonts w:asciiTheme="minorHAnsi" w:eastAsia="Times New Roman" w:hAnsiTheme="minorHAnsi" w:cstheme="minorHAnsi"/>
          <w:lang w:eastAsia="en-AU"/>
        </w:rPr>
      </w:pPr>
      <w:r w:rsidRPr="005C0EBF">
        <w:rPr>
          <w:rFonts w:asciiTheme="minorHAnsi" w:eastAsia="Times New Roman" w:hAnsiTheme="minorHAnsi" w:cstheme="minorHAnsi"/>
          <w:lang w:eastAsia="en-AU"/>
        </w:rPr>
        <w:t xml:space="preserve">Expecting compliance with court orders </w:t>
      </w:r>
    </w:p>
    <w:p w14:paraId="4B9960F9" w14:textId="77777777" w:rsidR="00190678" w:rsidRPr="005C0EBF" w:rsidRDefault="00190678" w:rsidP="0087523B">
      <w:pPr>
        <w:pStyle w:val="ListParagraph"/>
        <w:numPr>
          <w:ilvl w:val="0"/>
          <w:numId w:val="2"/>
        </w:numPr>
        <w:spacing w:after="0" w:line="240" w:lineRule="auto"/>
        <w:rPr>
          <w:rFonts w:asciiTheme="minorHAnsi" w:eastAsia="Times New Roman" w:hAnsiTheme="minorHAnsi" w:cstheme="minorHAnsi"/>
          <w:lang w:eastAsia="en-AU"/>
        </w:rPr>
      </w:pPr>
      <w:r w:rsidRPr="005C0EBF">
        <w:rPr>
          <w:rFonts w:asciiTheme="minorHAnsi" w:eastAsia="Times New Roman" w:hAnsiTheme="minorHAnsi" w:cstheme="minorHAnsi"/>
          <w:lang w:eastAsia="en-AU"/>
        </w:rPr>
        <w:t xml:space="preserve">Enhancing national access to justice for vulnerable parties and regional communities through the use of technology, and  </w:t>
      </w:r>
    </w:p>
    <w:p w14:paraId="21AA5BF3" w14:textId="66A9D7DF" w:rsidR="00B14937" w:rsidRPr="0087523B" w:rsidRDefault="00190678" w:rsidP="0087523B">
      <w:pPr>
        <w:pStyle w:val="ListParagraph"/>
        <w:numPr>
          <w:ilvl w:val="0"/>
          <w:numId w:val="2"/>
        </w:numPr>
        <w:spacing w:after="0" w:line="240" w:lineRule="auto"/>
        <w:rPr>
          <w:rFonts w:asciiTheme="minorHAnsi" w:eastAsia="Times New Roman" w:hAnsiTheme="minorHAnsi" w:cstheme="minorHAnsi"/>
          <w:lang w:eastAsia="en-AU"/>
        </w:rPr>
      </w:pPr>
      <w:r w:rsidRPr="005C0EBF">
        <w:rPr>
          <w:rFonts w:asciiTheme="minorHAnsi" w:eastAsia="Times New Roman" w:hAnsiTheme="minorHAnsi" w:cstheme="minorHAnsi"/>
          <w:lang w:eastAsia="en-AU"/>
        </w:rPr>
        <w:t>Aiming to resolv</w:t>
      </w:r>
      <w:r w:rsidR="00C7321E">
        <w:rPr>
          <w:rFonts w:asciiTheme="minorHAnsi" w:eastAsia="Times New Roman" w:hAnsiTheme="minorHAnsi" w:cstheme="minorHAnsi"/>
          <w:lang w:eastAsia="en-AU"/>
        </w:rPr>
        <w:t>e</w:t>
      </w:r>
      <w:r w:rsidRPr="005C0EBF">
        <w:rPr>
          <w:rFonts w:asciiTheme="minorHAnsi" w:eastAsia="Times New Roman" w:hAnsiTheme="minorHAnsi" w:cstheme="minorHAnsi"/>
          <w:lang w:eastAsia="en-AU"/>
        </w:rPr>
        <w:t xml:space="preserve"> up to 90 per cent of cases within 12 months.</w:t>
      </w:r>
    </w:p>
    <w:p w14:paraId="224B17C2" w14:textId="69236FE1" w:rsidR="003506F5" w:rsidRPr="0087523B" w:rsidRDefault="001E7C64" w:rsidP="0087523B">
      <w:pPr>
        <w:pStyle w:val="Heading3"/>
      </w:pPr>
      <w:r w:rsidRPr="0087523B">
        <w:t xml:space="preserve">Finalisation of the Federal Circuit and Family Court of Australia (Family Law) Rules 2021 </w:t>
      </w:r>
    </w:p>
    <w:p w14:paraId="7DDA8177" w14:textId="40A0F853" w:rsidR="005D1027" w:rsidRPr="005C0EBF" w:rsidRDefault="005D1027" w:rsidP="0087523B">
      <w:pPr>
        <w:spacing w:after="240"/>
        <w:rPr>
          <w:rFonts w:asciiTheme="minorHAnsi" w:hAnsiTheme="minorHAnsi" w:cstheme="minorHAnsi"/>
          <w:sz w:val="22"/>
          <w:szCs w:val="22"/>
        </w:rPr>
      </w:pPr>
      <w:r w:rsidRPr="005C0EBF">
        <w:rPr>
          <w:rFonts w:asciiTheme="minorHAnsi" w:hAnsiTheme="minorHAnsi" w:cstheme="minorHAnsi"/>
          <w:sz w:val="22"/>
          <w:szCs w:val="22"/>
        </w:rPr>
        <w:t xml:space="preserve">After more than two years of incredibly hard and complex work undertaken by many individual Judges, Registrars and staff of the Courts, together with the Courts’ Joint Rules Harmonisation Working Group, the FCoA and FCC can today announce that the </w:t>
      </w:r>
      <w:r w:rsidRPr="005C0EBF">
        <w:rPr>
          <w:rFonts w:asciiTheme="minorHAnsi" w:hAnsiTheme="minorHAnsi" w:cstheme="minorHAnsi"/>
          <w:i/>
          <w:iCs/>
          <w:sz w:val="22"/>
          <w:szCs w:val="22"/>
        </w:rPr>
        <w:t>Federal Circuit and Family Court of Australia (Family Law) Rules 2021</w:t>
      </w:r>
      <w:r w:rsidRPr="005C0EBF">
        <w:rPr>
          <w:rFonts w:asciiTheme="minorHAnsi" w:hAnsiTheme="minorHAnsi" w:cstheme="minorHAnsi"/>
          <w:sz w:val="22"/>
          <w:szCs w:val="22"/>
        </w:rPr>
        <w:t xml:space="preserve"> have been voted on and approved by</w:t>
      </w:r>
      <w:r w:rsidR="007D56C9">
        <w:rPr>
          <w:rFonts w:asciiTheme="minorHAnsi" w:hAnsiTheme="minorHAnsi" w:cstheme="minorHAnsi"/>
          <w:sz w:val="22"/>
          <w:szCs w:val="22"/>
        </w:rPr>
        <w:t xml:space="preserve"> </w:t>
      </w:r>
      <w:r w:rsidRPr="005C0EBF">
        <w:rPr>
          <w:rFonts w:asciiTheme="minorHAnsi" w:hAnsiTheme="minorHAnsi" w:cstheme="minorHAnsi"/>
          <w:sz w:val="22"/>
          <w:szCs w:val="22"/>
        </w:rPr>
        <w:t>Judges of the Courts.</w:t>
      </w:r>
      <w:r w:rsidR="00203F9D">
        <w:rPr>
          <w:rFonts w:asciiTheme="minorHAnsi" w:hAnsiTheme="minorHAnsi" w:cstheme="minorHAnsi"/>
          <w:sz w:val="22"/>
          <w:szCs w:val="22"/>
        </w:rPr>
        <w:t xml:space="preserve">  </w:t>
      </w:r>
    </w:p>
    <w:p w14:paraId="3E69AF18" w14:textId="4EFF39AE" w:rsidR="005D1027" w:rsidRPr="005C0EBF" w:rsidRDefault="005D1027" w:rsidP="0087523B">
      <w:pPr>
        <w:spacing w:after="240"/>
        <w:rPr>
          <w:rFonts w:asciiTheme="minorHAnsi" w:hAnsiTheme="minorHAnsi" w:cstheme="minorHAnsi"/>
          <w:sz w:val="22"/>
          <w:szCs w:val="22"/>
        </w:rPr>
      </w:pPr>
      <w:r w:rsidRPr="005C0EBF">
        <w:rPr>
          <w:rFonts w:asciiTheme="minorHAnsi" w:hAnsiTheme="minorHAnsi" w:cstheme="minorHAnsi"/>
          <w:sz w:val="22"/>
          <w:szCs w:val="22"/>
        </w:rPr>
        <w:t>These</w:t>
      </w:r>
      <w:r w:rsidR="007D56C9">
        <w:rPr>
          <w:rFonts w:asciiTheme="minorHAnsi" w:hAnsiTheme="minorHAnsi" w:cstheme="minorHAnsi"/>
          <w:sz w:val="22"/>
          <w:szCs w:val="22"/>
        </w:rPr>
        <w:t xml:space="preserve"> R</w:t>
      </w:r>
      <w:r w:rsidRPr="005C0EBF">
        <w:rPr>
          <w:rFonts w:asciiTheme="minorHAnsi" w:hAnsiTheme="minorHAnsi" w:cstheme="minorHAnsi"/>
          <w:sz w:val="22"/>
          <w:szCs w:val="22"/>
        </w:rPr>
        <w:t>ules will be made</w:t>
      </w:r>
      <w:r w:rsidR="00FF38EB">
        <w:rPr>
          <w:rFonts w:asciiTheme="minorHAnsi" w:hAnsiTheme="minorHAnsi" w:cstheme="minorHAnsi"/>
          <w:sz w:val="22"/>
          <w:szCs w:val="22"/>
        </w:rPr>
        <w:t xml:space="preserve"> in Division 1 of the FCFCOA</w:t>
      </w:r>
      <w:r w:rsidRPr="005C0EBF">
        <w:rPr>
          <w:rFonts w:asciiTheme="minorHAnsi" w:hAnsiTheme="minorHAnsi" w:cstheme="minorHAnsi"/>
          <w:sz w:val="22"/>
          <w:szCs w:val="22"/>
        </w:rPr>
        <w:t xml:space="preserve"> under section 76 of the </w:t>
      </w:r>
      <w:r w:rsidRPr="005C0EBF">
        <w:rPr>
          <w:rFonts w:asciiTheme="minorHAnsi" w:hAnsiTheme="minorHAnsi" w:cstheme="minorHAnsi"/>
          <w:i/>
          <w:iCs/>
          <w:sz w:val="22"/>
          <w:szCs w:val="22"/>
        </w:rPr>
        <w:t>Federal Circuit and Family Court of Australia Act 2021</w:t>
      </w:r>
      <w:r w:rsidRPr="005C0EBF">
        <w:rPr>
          <w:rFonts w:asciiTheme="minorHAnsi" w:hAnsiTheme="minorHAnsi" w:cstheme="minorHAnsi"/>
          <w:sz w:val="22"/>
          <w:szCs w:val="22"/>
        </w:rPr>
        <w:t xml:space="preserve"> with effect from 1 September</w:t>
      </w:r>
      <w:r w:rsidR="00DC394B">
        <w:rPr>
          <w:rFonts w:asciiTheme="minorHAnsi" w:hAnsiTheme="minorHAnsi" w:cstheme="minorHAnsi"/>
          <w:sz w:val="22"/>
          <w:szCs w:val="22"/>
        </w:rPr>
        <w:t xml:space="preserve"> 2021</w:t>
      </w:r>
      <w:r w:rsidRPr="005C0EBF">
        <w:rPr>
          <w:rFonts w:asciiTheme="minorHAnsi" w:hAnsiTheme="minorHAnsi" w:cstheme="minorHAnsi"/>
          <w:sz w:val="22"/>
          <w:szCs w:val="22"/>
        </w:rPr>
        <w:t xml:space="preserve">, and </w:t>
      </w:r>
      <w:r w:rsidR="00FF38EB">
        <w:rPr>
          <w:rFonts w:asciiTheme="minorHAnsi" w:hAnsiTheme="minorHAnsi" w:cstheme="minorHAnsi"/>
          <w:sz w:val="22"/>
          <w:szCs w:val="22"/>
        </w:rPr>
        <w:t xml:space="preserve">will be </w:t>
      </w:r>
      <w:r w:rsidRPr="005C0EBF">
        <w:rPr>
          <w:rFonts w:asciiTheme="minorHAnsi" w:hAnsiTheme="minorHAnsi" w:cstheme="minorHAnsi"/>
          <w:sz w:val="22"/>
          <w:szCs w:val="22"/>
        </w:rPr>
        <w:t xml:space="preserve">adopted by Division 2 under a short rule instrument made under section 217 of the </w:t>
      </w:r>
      <w:r w:rsidRPr="005C0EBF">
        <w:rPr>
          <w:rFonts w:asciiTheme="minorHAnsi" w:hAnsiTheme="minorHAnsi" w:cstheme="minorHAnsi"/>
          <w:i/>
          <w:iCs/>
          <w:sz w:val="22"/>
          <w:szCs w:val="22"/>
        </w:rPr>
        <w:t xml:space="preserve">Federal Circuit and Family Court of Australia Act 2021. </w:t>
      </w:r>
      <w:r w:rsidRPr="005C0EBF">
        <w:rPr>
          <w:rFonts w:asciiTheme="minorHAnsi" w:hAnsiTheme="minorHAnsi" w:cstheme="minorHAnsi"/>
          <w:sz w:val="22"/>
          <w:szCs w:val="22"/>
        </w:rPr>
        <w:t xml:space="preserve">This is necessary to ensure power is delegated by Judges of the FCC/Division 2 to Registrars to exercise the powers in Schedule 4 in Division 2, and also to house certain </w:t>
      </w:r>
      <w:r w:rsidR="007D56C9">
        <w:rPr>
          <w:rFonts w:asciiTheme="minorHAnsi" w:hAnsiTheme="minorHAnsi" w:cstheme="minorHAnsi"/>
          <w:sz w:val="22"/>
          <w:szCs w:val="22"/>
        </w:rPr>
        <w:t>Rules</w:t>
      </w:r>
      <w:r w:rsidRPr="005C0EBF">
        <w:rPr>
          <w:rFonts w:asciiTheme="minorHAnsi" w:hAnsiTheme="minorHAnsi" w:cstheme="minorHAnsi"/>
          <w:sz w:val="22"/>
          <w:szCs w:val="22"/>
        </w:rPr>
        <w:t xml:space="preserve"> not applicable to Division 1 (for example, the </w:t>
      </w:r>
      <w:r w:rsidR="007D56C9">
        <w:rPr>
          <w:rFonts w:asciiTheme="minorHAnsi" w:hAnsiTheme="minorHAnsi" w:cstheme="minorHAnsi"/>
          <w:sz w:val="22"/>
          <w:szCs w:val="22"/>
        </w:rPr>
        <w:t>Rules</w:t>
      </w:r>
      <w:r w:rsidRPr="005C0EBF">
        <w:rPr>
          <w:rFonts w:asciiTheme="minorHAnsi" w:hAnsiTheme="minorHAnsi" w:cstheme="minorHAnsi"/>
          <w:sz w:val="22"/>
          <w:szCs w:val="22"/>
        </w:rPr>
        <w:t xml:space="preserve"> about transfer from Division 2 to Division 1). </w:t>
      </w:r>
    </w:p>
    <w:p w14:paraId="6A4FBFBA" w14:textId="2ECA67FC" w:rsidR="006A15F7" w:rsidRPr="005C0EBF" w:rsidRDefault="00832E50" w:rsidP="0087523B">
      <w:pPr>
        <w:spacing w:after="240"/>
        <w:rPr>
          <w:rFonts w:asciiTheme="minorHAnsi" w:hAnsiTheme="minorHAnsi" w:cstheme="minorHAnsi"/>
          <w:sz w:val="22"/>
          <w:szCs w:val="22"/>
        </w:rPr>
      </w:pPr>
      <w:r w:rsidRPr="005C0EBF">
        <w:rPr>
          <w:rFonts w:asciiTheme="minorHAnsi" w:hAnsiTheme="minorHAnsi" w:cstheme="minorHAnsi"/>
          <w:sz w:val="22"/>
          <w:szCs w:val="22"/>
        </w:rPr>
        <w:t xml:space="preserve">Achieving a unified set of </w:t>
      </w:r>
      <w:r w:rsidR="007D56C9">
        <w:rPr>
          <w:rFonts w:asciiTheme="minorHAnsi" w:hAnsiTheme="minorHAnsi" w:cstheme="minorHAnsi"/>
          <w:sz w:val="22"/>
          <w:szCs w:val="22"/>
        </w:rPr>
        <w:t>Rules</w:t>
      </w:r>
      <w:r w:rsidRPr="005C0EBF">
        <w:rPr>
          <w:rFonts w:asciiTheme="minorHAnsi" w:hAnsiTheme="minorHAnsi" w:cstheme="minorHAnsi"/>
          <w:sz w:val="22"/>
          <w:szCs w:val="22"/>
        </w:rPr>
        <w:t xml:space="preserve"> and forms across the two </w:t>
      </w:r>
      <w:r w:rsidR="005D1027" w:rsidRPr="005C0EBF">
        <w:rPr>
          <w:rFonts w:asciiTheme="minorHAnsi" w:hAnsiTheme="minorHAnsi" w:cstheme="minorHAnsi"/>
          <w:sz w:val="22"/>
          <w:szCs w:val="22"/>
        </w:rPr>
        <w:t>C</w:t>
      </w:r>
      <w:r w:rsidRPr="005C0EBF">
        <w:rPr>
          <w:rFonts w:asciiTheme="minorHAnsi" w:hAnsiTheme="minorHAnsi" w:cstheme="minorHAnsi"/>
          <w:sz w:val="22"/>
          <w:szCs w:val="22"/>
        </w:rPr>
        <w:t xml:space="preserve">ourts has been a key objective of the Hon Chief Justice Alstergren since his appointment to the Courts in 2017, acknowledging that the </w:t>
      </w:r>
      <w:r w:rsidR="00FF38EB">
        <w:rPr>
          <w:rFonts w:asciiTheme="minorHAnsi" w:hAnsiTheme="minorHAnsi" w:cstheme="minorHAnsi"/>
          <w:sz w:val="22"/>
          <w:szCs w:val="22"/>
        </w:rPr>
        <w:t xml:space="preserve">family law </w:t>
      </w:r>
      <w:r w:rsidRPr="005C0EBF">
        <w:rPr>
          <w:rFonts w:asciiTheme="minorHAnsi" w:hAnsiTheme="minorHAnsi" w:cstheme="minorHAnsi"/>
          <w:sz w:val="22"/>
          <w:szCs w:val="22"/>
        </w:rPr>
        <w:t xml:space="preserve">system had long been criticised as being confusing, inefficient and causing unacceptable delays. </w:t>
      </w:r>
      <w:r w:rsidR="006A15F7" w:rsidRPr="005C0EBF">
        <w:rPr>
          <w:rFonts w:asciiTheme="minorHAnsi" w:hAnsiTheme="minorHAnsi" w:cstheme="minorHAnsi"/>
          <w:sz w:val="22"/>
          <w:szCs w:val="22"/>
        </w:rPr>
        <w:t>T</w:t>
      </w:r>
      <w:r w:rsidRPr="005C0EBF">
        <w:rPr>
          <w:rFonts w:asciiTheme="minorHAnsi" w:hAnsiTheme="minorHAnsi" w:cstheme="minorHAnsi"/>
          <w:sz w:val="22"/>
          <w:szCs w:val="22"/>
        </w:rPr>
        <w:t xml:space="preserve">he creation of a single set of harmonised </w:t>
      </w:r>
      <w:r w:rsidR="007D56C9">
        <w:rPr>
          <w:rFonts w:asciiTheme="minorHAnsi" w:hAnsiTheme="minorHAnsi" w:cstheme="minorHAnsi"/>
          <w:sz w:val="22"/>
          <w:szCs w:val="22"/>
        </w:rPr>
        <w:t>Rules</w:t>
      </w:r>
      <w:r w:rsidRPr="005C0EBF">
        <w:rPr>
          <w:rFonts w:asciiTheme="minorHAnsi" w:hAnsiTheme="minorHAnsi" w:cstheme="minorHAnsi"/>
          <w:sz w:val="22"/>
          <w:szCs w:val="22"/>
        </w:rPr>
        <w:t xml:space="preserve">, together with </w:t>
      </w:r>
      <w:r w:rsidR="006A15F7" w:rsidRPr="005C0EBF">
        <w:rPr>
          <w:rFonts w:asciiTheme="minorHAnsi" w:hAnsiTheme="minorHAnsi" w:cstheme="minorHAnsi"/>
          <w:sz w:val="22"/>
          <w:szCs w:val="22"/>
        </w:rPr>
        <w:t>a single point of entry</w:t>
      </w:r>
      <w:r w:rsidRPr="005C0EBF">
        <w:rPr>
          <w:rFonts w:asciiTheme="minorHAnsi" w:hAnsiTheme="minorHAnsi" w:cstheme="minorHAnsi"/>
          <w:sz w:val="22"/>
          <w:szCs w:val="22"/>
        </w:rPr>
        <w:t>, additional resources, and case management reform</w:t>
      </w:r>
      <w:r w:rsidR="006A15F7" w:rsidRPr="005C0EBF">
        <w:rPr>
          <w:rFonts w:asciiTheme="minorHAnsi" w:hAnsiTheme="minorHAnsi" w:cstheme="minorHAnsi"/>
          <w:sz w:val="22"/>
          <w:szCs w:val="22"/>
        </w:rPr>
        <w:t>,</w:t>
      </w:r>
      <w:r w:rsidR="00190678" w:rsidRPr="005C0EBF">
        <w:rPr>
          <w:rFonts w:asciiTheme="minorHAnsi" w:hAnsiTheme="minorHAnsi" w:cstheme="minorHAnsi"/>
          <w:sz w:val="22"/>
          <w:szCs w:val="22"/>
        </w:rPr>
        <w:t xml:space="preserve"> </w:t>
      </w:r>
      <w:r w:rsidR="005D1027" w:rsidRPr="005C0EBF">
        <w:rPr>
          <w:rFonts w:asciiTheme="minorHAnsi" w:hAnsiTheme="minorHAnsi" w:cstheme="minorHAnsi"/>
          <w:sz w:val="22"/>
          <w:szCs w:val="22"/>
        </w:rPr>
        <w:t>go to</w:t>
      </w:r>
      <w:r w:rsidR="00DC394B">
        <w:rPr>
          <w:rFonts w:asciiTheme="minorHAnsi" w:hAnsiTheme="minorHAnsi" w:cstheme="minorHAnsi"/>
          <w:sz w:val="22"/>
          <w:szCs w:val="22"/>
        </w:rPr>
        <w:t>wards</w:t>
      </w:r>
      <w:r w:rsidR="005D1027" w:rsidRPr="005C0EBF">
        <w:rPr>
          <w:rFonts w:asciiTheme="minorHAnsi" w:hAnsiTheme="minorHAnsi" w:cstheme="minorHAnsi"/>
          <w:sz w:val="22"/>
          <w:szCs w:val="22"/>
        </w:rPr>
        <w:t xml:space="preserve"> addressing </w:t>
      </w:r>
      <w:r w:rsidR="006A15F7" w:rsidRPr="005C0EBF">
        <w:rPr>
          <w:rFonts w:asciiTheme="minorHAnsi" w:hAnsiTheme="minorHAnsi" w:cstheme="minorHAnsi"/>
          <w:sz w:val="22"/>
          <w:szCs w:val="22"/>
        </w:rPr>
        <w:t xml:space="preserve">those criticisms which have been outlined in the many </w:t>
      </w:r>
      <w:r w:rsidR="006A15F7" w:rsidRPr="005C0EBF">
        <w:rPr>
          <w:rFonts w:asciiTheme="minorHAnsi" w:hAnsiTheme="minorHAnsi" w:cstheme="minorHAnsi"/>
          <w:sz w:val="22"/>
          <w:szCs w:val="22"/>
        </w:rPr>
        <w:lastRenderedPageBreak/>
        <w:t>inquiries, reviews and reports on the family law system.</w:t>
      </w:r>
      <w:r w:rsidR="005D1027" w:rsidRPr="005C0EBF">
        <w:rPr>
          <w:rFonts w:asciiTheme="minorHAnsi" w:hAnsiTheme="minorHAnsi" w:cstheme="minorHAnsi"/>
          <w:sz w:val="22"/>
          <w:szCs w:val="22"/>
        </w:rPr>
        <w:t xml:space="preserve"> </w:t>
      </w:r>
      <w:r w:rsidR="00DC394B">
        <w:rPr>
          <w:rFonts w:asciiTheme="minorHAnsi" w:hAnsiTheme="minorHAnsi" w:cstheme="minorHAnsi"/>
          <w:sz w:val="22"/>
          <w:szCs w:val="22"/>
        </w:rPr>
        <w:t>S</w:t>
      </w:r>
      <w:r w:rsidR="005D1027" w:rsidRPr="005C0EBF">
        <w:rPr>
          <w:rFonts w:asciiTheme="minorHAnsi" w:hAnsiTheme="minorHAnsi" w:cstheme="minorHAnsi"/>
          <w:sz w:val="22"/>
          <w:szCs w:val="22"/>
        </w:rPr>
        <w:t xml:space="preserve">imply, the </w:t>
      </w:r>
      <w:r w:rsidR="006A15F7" w:rsidRPr="005C0EBF">
        <w:rPr>
          <w:rFonts w:asciiTheme="minorHAnsi" w:hAnsiTheme="minorHAnsi" w:cstheme="minorHAnsi"/>
          <w:sz w:val="22"/>
          <w:szCs w:val="22"/>
        </w:rPr>
        <w:t xml:space="preserve">Courts are </w:t>
      </w:r>
      <w:r w:rsidR="008517D8" w:rsidRPr="005C0EBF">
        <w:rPr>
          <w:rFonts w:asciiTheme="minorHAnsi" w:hAnsiTheme="minorHAnsi" w:cstheme="minorHAnsi"/>
          <w:sz w:val="22"/>
          <w:szCs w:val="22"/>
        </w:rPr>
        <w:t>building a system that</w:t>
      </w:r>
      <w:r w:rsidR="006A15F7" w:rsidRPr="005C0EBF">
        <w:rPr>
          <w:rFonts w:asciiTheme="minorHAnsi" w:hAnsiTheme="minorHAnsi" w:cstheme="minorHAnsi"/>
          <w:sz w:val="22"/>
          <w:szCs w:val="22"/>
        </w:rPr>
        <w:t xml:space="preserve"> aims to </w:t>
      </w:r>
      <w:r w:rsidR="008517D8" w:rsidRPr="005C0EBF">
        <w:rPr>
          <w:rFonts w:asciiTheme="minorHAnsi" w:hAnsiTheme="minorHAnsi" w:cstheme="minorHAnsi"/>
          <w:sz w:val="22"/>
          <w:szCs w:val="22"/>
        </w:rPr>
        <w:t>provide a safer, quicker and less costly way of resolving disputes.</w:t>
      </w:r>
    </w:p>
    <w:p w14:paraId="01B4EC99" w14:textId="5AF0C0CF" w:rsidR="007D56C9" w:rsidRPr="005C0EBF" w:rsidRDefault="007D56C9" w:rsidP="0087523B">
      <w:pPr>
        <w:spacing w:after="240"/>
        <w:rPr>
          <w:rFonts w:asciiTheme="minorHAnsi" w:hAnsiTheme="minorHAnsi" w:cstheme="minorHAnsi"/>
          <w:sz w:val="22"/>
          <w:szCs w:val="22"/>
        </w:rPr>
      </w:pPr>
      <w:r>
        <w:rPr>
          <w:rFonts w:asciiTheme="minorHAnsi" w:hAnsiTheme="minorHAnsi" w:cstheme="minorHAnsi"/>
          <w:sz w:val="22"/>
          <w:szCs w:val="22"/>
        </w:rPr>
        <w:t xml:space="preserve">The </w:t>
      </w:r>
      <w:r w:rsidRPr="005C0EBF">
        <w:rPr>
          <w:rFonts w:asciiTheme="minorHAnsi" w:hAnsiTheme="minorHAnsi" w:cstheme="minorHAnsi"/>
          <w:sz w:val="22"/>
          <w:szCs w:val="22"/>
        </w:rPr>
        <w:t>Courts</w:t>
      </w:r>
      <w:r>
        <w:rPr>
          <w:rFonts w:asciiTheme="minorHAnsi" w:hAnsiTheme="minorHAnsi" w:cstheme="minorHAnsi"/>
          <w:sz w:val="22"/>
          <w:szCs w:val="22"/>
        </w:rPr>
        <w:t xml:space="preserve"> established the </w:t>
      </w:r>
      <w:r w:rsidRPr="005C0EBF">
        <w:rPr>
          <w:rFonts w:asciiTheme="minorHAnsi" w:hAnsiTheme="minorHAnsi" w:cstheme="minorHAnsi"/>
          <w:sz w:val="22"/>
          <w:szCs w:val="22"/>
        </w:rPr>
        <w:t>Joint Rules Harmonisation Working Group</w:t>
      </w:r>
      <w:r>
        <w:rPr>
          <w:rFonts w:asciiTheme="minorHAnsi" w:hAnsiTheme="minorHAnsi" w:cstheme="minorHAnsi"/>
          <w:sz w:val="22"/>
          <w:szCs w:val="22"/>
        </w:rPr>
        <w:t xml:space="preserve"> in April 2019, which was initially </w:t>
      </w:r>
      <w:r w:rsidRPr="005C0EBF">
        <w:rPr>
          <w:rFonts w:asciiTheme="minorHAnsi" w:hAnsiTheme="minorHAnsi" w:cstheme="minorHAnsi"/>
          <w:sz w:val="22"/>
          <w:szCs w:val="22"/>
        </w:rPr>
        <w:t>Chaired by Hon Dr Chris Jessup QC,</w:t>
      </w:r>
      <w:r w:rsidR="00203F9D">
        <w:rPr>
          <w:rFonts w:asciiTheme="minorHAnsi" w:hAnsiTheme="minorHAnsi" w:cstheme="minorHAnsi"/>
          <w:sz w:val="22"/>
          <w:szCs w:val="22"/>
        </w:rPr>
        <w:t xml:space="preserve"> later </w:t>
      </w:r>
      <w:r w:rsidR="007939A2">
        <w:rPr>
          <w:rFonts w:asciiTheme="minorHAnsi" w:hAnsiTheme="minorHAnsi" w:cstheme="minorHAnsi"/>
          <w:sz w:val="22"/>
          <w:szCs w:val="22"/>
        </w:rPr>
        <w:t>by t</w:t>
      </w:r>
      <w:r w:rsidR="00203F9D">
        <w:rPr>
          <w:rFonts w:asciiTheme="minorHAnsi" w:hAnsiTheme="minorHAnsi" w:cstheme="minorHAnsi"/>
          <w:sz w:val="22"/>
          <w:szCs w:val="22"/>
        </w:rPr>
        <w:t>he Hon Ray Finkelstein QC</w:t>
      </w:r>
      <w:r w:rsidR="007939A2">
        <w:rPr>
          <w:rFonts w:asciiTheme="minorHAnsi" w:hAnsiTheme="minorHAnsi" w:cstheme="minorHAnsi"/>
          <w:sz w:val="22"/>
          <w:szCs w:val="22"/>
        </w:rPr>
        <w:t>,</w:t>
      </w:r>
      <w:r w:rsidRPr="005C0EBF">
        <w:rPr>
          <w:rFonts w:asciiTheme="minorHAnsi" w:hAnsiTheme="minorHAnsi" w:cstheme="minorHAnsi"/>
          <w:sz w:val="22"/>
          <w:szCs w:val="22"/>
        </w:rPr>
        <w:t xml:space="preserve"> and assisted by two barristers to oversee the rules project. </w:t>
      </w:r>
      <w:r>
        <w:rPr>
          <w:rFonts w:asciiTheme="minorHAnsi" w:hAnsiTheme="minorHAnsi" w:cstheme="minorHAnsi"/>
          <w:sz w:val="22"/>
          <w:szCs w:val="22"/>
        </w:rPr>
        <w:t xml:space="preserve">It was imperative that </w:t>
      </w:r>
      <w:r w:rsidRPr="005C0EBF">
        <w:rPr>
          <w:rFonts w:asciiTheme="minorHAnsi" w:hAnsiTheme="minorHAnsi" w:cstheme="minorHAnsi"/>
          <w:sz w:val="22"/>
          <w:szCs w:val="22"/>
        </w:rPr>
        <w:t xml:space="preserve">an independent Chair </w:t>
      </w:r>
      <w:r>
        <w:rPr>
          <w:rFonts w:asciiTheme="minorHAnsi" w:hAnsiTheme="minorHAnsi" w:cstheme="minorHAnsi"/>
          <w:sz w:val="22"/>
          <w:szCs w:val="22"/>
        </w:rPr>
        <w:t xml:space="preserve">was appointed </w:t>
      </w:r>
      <w:r w:rsidRPr="005C0EBF">
        <w:rPr>
          <w:rFonts w:asciiTheme="minorHAnsi" w:hAnsiTheme="minorHAnsi" w:cstheme="minorHAnsi"/>
          <w:sz w:val="22"/>
          <w:szCs w:val="22"/>
        </w:rPr>
        <w:t xml:space="preserve">to this position </w:t>
      </w:r>
      <w:r>
        <w:rPr>
          <w:rFonts w:asciiTheme="minorHAnsi" w:hAnsiTheme="minorHAnsi" w:cstheme="minorHAnsi"/>
          <w:sz w:val="22"/>
          <w:szCs w:val="22"/>
        </w:rPr>
        <w:t>as they prov</w:t>
      </w:r>
      <w:r w:rsidRPr="005C0EBF">
        <w:rPr>
          <w:rFonts w:asciiTheme="minorHAnsi" w:hAnsiTheme="minorHAnsi" w:cstheme="minorHAnsi"/>
          <w:sz w:val="22"/>
          <w:szCs w:val="22"/>
        </w:rPr>
        <w:t>ided objectivity, transparency and confidence in the process.</w:t>
      </w:r>
    </w:p>
    <w:p w14:paraId="4D9612E9" w14:textId="18410A27" w:rsidR="00E905E8" w:rsidRDefault="00832E50" w:rsidP="0087523B">
      <w:pPr>
        <w:spacing w:after="240"/>
        <w:rPr>
          <w:rFonts w:asciiTheme="minorHAnsi" w:hAnsiTheme="minorHAnsi" w:cstheme="minorHAnsi"/>
          <w:sz w:val="22"/>
          <w:szCs w:val="22"/>
        </w:rPr>
      </w:pPr>
      <w:r w:rsidRPr="005C0EBF">
        <w:rPr>
          <w:rFonts w:asciiTheme="minorHAnsi" w:hAnsiTheme="minorHAnsi" w:cstheme="minorHAnsi"/>
          <w:sz w:val="22"/>
          <w:szCs w:val="22"/>
        </w:rPr>
        <w:t xml:space="preserve">The process of achieving a single set of </w:t>
      </w:r>
      <w:r w:rsidR="007D56C9">
        <w:rPr>
          <w:rFonts w:asciiTheme="minorHAnsi" w:hAnsiTheme="minorHAnsi" w:cstheme="minorHAnsi"/>
          <w:sz w:val="22"/>
          <w:szCs w:val="22"/>
        </w:rPr>
        <w:t>Rules</w:t>
      </w:r>
      <w:r w:rsidRPr="005C0EBF">
        <w:rPr>
          <w:rFonts w:asciiTheme="minorHAnsi" w:hAnsiTheme="minorHAnsi" w:cstheme="minorHAnsi"/>
          <w:sz w:val="22"/>
          <w:szCs w:val="22"/>
        </w:rPr>
        <w:t xml:space="preserve"> has involved significant consultation with </w:t>
      </w:r>
      <w:r w:rsidR="00E905E8" w:rsidRPr="005C0EBF">
        <w:rPr>
          <w:rFonts w:asciiTheme="minorHAnsi" w:hAnsiTheme="minorHAnsi" w:cstheme="minorHAnsi"/>
          <w:sz w:val="22"/>
          <w:szCs w:val="22"/>
        </w:rPr>
        <w:t xml:space="preserve">all Judges of the Courts, as well as key stakeholders and professional bodies. Each of the national, State and Territory Bar Associations, Law Societies, Legal Aid commissions, and child welfare agencies, as well as ATSI legal services, CLCs, women’s and men’s legal services were provided with the opportunity to provide comments on the draft, which were gratefully received and </w:t>
      </w:r>
      <w:r w:rsidR="003F20EF">
        <w:rPr>
          <w:rFonts w:asciiTheme="minorHAnsi" w:hAnsiTheme="minorHAnsi" w:cstheme="minorHAnsi"/>
          <w:sz w:val="22"/>
          <w:szCs w:val="22"/>
        </w:rPr>
        <w:t xml:space="preserve">mostly </w:t>
      </w:r>
      <w:r w:rsidR="00E905E8" w:rsidRPr="005C0EBF">
        <w:rPr>
          <w:rFonts w:asciiTheme="minorHAnsi" w:hAnsiTheme="minorHAnsi" w:cstheme="minorHAnsi"/>
          <w:sz w:val="22"/>
          <w:szCs w:val="22"/>
        </w:rPr>
        <w:t xml:space="preserve">integrated into the various drafts. </w:t>
      </w:r>
    </w:p>
    <w:p w14:paraId="3E846524" w14:textId="48751D41" w:rsidR="005D1027" w:rsidRPr="005C0EBF" w:rsidRDefault="007D56C9" w:rsidP="0087523B">
      <w:pPr>
        <w:spacing w:after="240"/>
        <w:rPr>
          <w:rFonts w:asciiTheme="minorHAnsi" w:hAnsiTheme="minorHAnsi" w:cstheme="minorHAnsi"/>
          <w:sz w:val="22"/>
          <w:szCs w:val="22"/>
        </w:rPr>
      </w:pPr>
      <w:r>
        <w:rPr>
          <w:rFonts w:asciiTheme="minorHAnsi" w:hAnsiTheme="minorHAnsi" w:cstheme="minorHAnsi"/>
          <w:sz w:val="22"/>
          <w:szCs w:val="22"/>
        </w:rPr>
        <w:t xml:space="preserve">The Courts are extremely grateful to the Judges, members of the Joint Rules Harmonisation Working Group, the profession, and all other stakeholders for their engagement with this important achievement. </w:t>
      </w:r>
    </w:p>
    <w:p w14:paraId="25900B40" w14:textId="468F65EF" w:rsidR="00654C6F" w:rsidRDefault="00654C6F" w:rsidP="0087523B">
      <w:pPr>
        <w:pStyle w:val="Heading3"/>
      </w:pPr>
      <w:r w:rsidRPr="00744031">
        <w:t>Central Practice Direction: Family law case management</w:t>
      </w:r>
    </w:p>
    <w:p w14:paraId="2645D6E6" w14:textId="0D48E9DF" w:rsidR="005C0EBF" w:rsidRPr="005C0EBF" w:rsidRDefault="00654C6F" w:rsidP="0087523B">
      <w:pPr>
        <w:pStyle w:val="Default"/>
        <w:spacing w:after="240"/>
        <w:rPr>
          <w:rFonts w:asciiTheme="minorHAnsi" w:hAnsiTheme="minorHAnsi" w:cstheme="minorHAnsi"/>
          <w:sz w:val="22"/>
          <w:szCs w:val="22"/>
        </w:rPr>
      </w:pPr>
      <w:r w:rsidRPr="005C0EBF">
        <w:rPr>
          <w:rFonts w:asciiTheme="minorHAnsi" w:eastAsia="Times New Roman" w:hAnsiTheme="minorHAnsi" w:cstheme="minorHAnsi"/>
          <w:color w:val="auto"/>
          <w:sz w:val="22"/>
          <w:szCs w:val="22"/>
          <w:lang w:eastAsia="en-AU"/>
        </w:rPr>
        <w:t>A Central Practice Direction</w:t>
      </w:r>
      <w:r w:rsidR="003F20EF" w:rsidRPr="005C0EBF">
        <w:rPr>
          <w:rFonts w:asciiTheme="minorHAnsi" w:hAnsiTheme="minorHAnsi" w:cstheme="minorHAnsi"/>
          <w:sz w:val="22"/>
          <w:szCs w:val="22"/>
        </w:rPr>
        <w:t xml:space="preserve"> </w:t>
      </w:r>
      <w:r w:rsidRPr="005C0EBF">
        <w:rPr>
          <w:rFonts w:asciiTheme="minorHAnsi" w:eastAsia="Times New Roman" w:hAnsiTheme="minorHAnsi" w:cstheme="minorHAnsi"/>
          <w:color w:val="auto"/>
          <w:sz w:val="22"/>
          <w:szCs w:val="22"/>
          <w:lang w:eastAsia="en-AU"/>
        </w:rPr>
        <w:t xml:space="preserve">for the </w:t>
      </w:r>
      <w:r w:rsidR="00FF38EB">
        <w:rPr>
          <w:rFonts w:asciiTheme="minorHAnsi" w:eastAsia="Times New Roman" w:hAnsiTheme="minorHAnsi" w:cstheme="minorHAnsi"/>
          <w:color w:val="auto"/>
          <w:sz w:val="22"/>
          <w:szCs w:val="22"/>
          <w:lang w:eastAsia="en-AU"/>
        </w:rPr>
        <w:t xml:space="preserve">family law jurisdiction of the </w:t>
      </w:r>
      <w:r w:rsidRPr="005C0EBF">
        <w:rPr>
          <w:rFonts w:asciiTheme="minorHAnsi" w:eastAsia="Times New Roman" w:hAnsiTheme="minorHAnsi" w:cstheme="minorHAnsi"/>
          <w:color w:val="auto"/>
          <w:sz w:val="22"/>
          <w:szCs w:val="22"/>
          <w:lang w:eastAsia="en-AU"/>
        </w:rPr>
        <w:t>FCFCOA has been developed to consolidate</w:t>
      </w:r>
      <w:r w:rsidR="005C0EBF" w:rsidRPr="005C0EBF">
        <w:rPr>
          <w:rFonts w:asciiTheme="minorHAnsi" w:eastAsia="Times New Roman" w:hAnsiTheme="minorHAnsi" w:cstheme="minorHAnsi"/>
          <w:color w:val="auto"/>
          <w:sz w:val="22"/>
          <w:szCs w:val="22"/>
          <w:lang w:eastAsia="en-AU"/>
        </w:rPr>
        <w:t xml:space="preserve"> critical elements of family law case management </w:t>
      </w:r>
      <w:r w:rsidR="003F20EF">
        <w:rPr>
          <w:rFonts w:asciiTheme="minorHAnsi" w:eastAsia="Times New Roman" w:hAnsiTheme="minorHAnsi" w:cstheme="minorHAnsi"/>
          <w:color w:val="auto"/>
          <w:sz w:val="22"/>
          <w:szCs w:val="22"/>
          <w:lang w:eastAsia="en-AU"/>
        </w:rPr>
        <w:t xml:space="preserve">that will be </w:t>
      </w:r>
      <w:r w:rsidR="005C0EBF" w:rsidRPr="005C0EBF">
        <w:rPr>
          <w:rFonts w:asciiTheme="minorHAnsi" w:eastAsia="Times New Roman" w:hAnsiTheme="minorHAnsi" w:cstheme="minorHAnsi"/>
          <w:color w:val="auto"/>
          <w:sz w:val="22"/>
          <w:szCs w:val="22"/>
          <w:lang w:eastAsia="en-AU"/>
        </w:rPr>
        <w:t>appl</w:t>
      </w:r>
      <w:r w:rsidR="003F20EF">
        <w:rPr>
          <w:rFonts w:asciiTheme="minorHAnsi" w:eastAsia="Times New Roman" w:hAnsiTheme="minorHAnsi" w:cstheme="minorHAnsi"/>
          <w:color w:val="auto"/>
          <w:sz w:val="22"/>
          <w:szCs w:val="22"/>
          <w:lang w:eastAsia="en-AU"/>
        </w:rPr>
        <w:t>ied</w:t>
      </w:r>
      <w:r w:rsidR="005C0EBF" w:rsidRPr="005C0EBF">
        <w:rPr>
          <w:rFonts w:asciiTheme="minorHAnsi" w:eastAsia="Times New Roman" w:hAnsiTheme="minorHAnsi" w:cstheme="minorHAnsi"/>
          <w:color w:val="auto"/>
          <w:sz w:val="22"/>
          <w:szCs w:val="22"/>
          <w:lang w:eastAsia="en-AU"/>
        </w:rPr>
        <w:t xml:space="preserve"> in </w:t>
      </w:r>
      <w:r w:rsidR="00FF38EB">
        <w:rPr>
          <w:rFonts w:asciiTheme="minorHAnsi" w:eastAsia="Times New Roman" w:hAnsiTheme="minorHAnsi" w:cstheme="minorHAnsi"/>
          <w:color w:val="auto"/>
          <w:sz w:val="22"/>
          <w:szCs w:val="22"/>
          <w:lang w:eastAsia="en-AU"/>
        </w:rPr>
        <w:t xml:space="preserve">both Divisions of </w:t>
      </w:r>
      <w:r w:rsidR="005C0EBF" w:rsidRPr="005C0EBF">
        <w:rPr>
          <w:rFonts w:asciiTheme="minorHAnsi" w:eastAsia="Times New Roman" w:hAnsiTheme="minorHAnsi" w:cstheme="minorHAnsi"/>
          <w:color w:val="auto"/>
          <w:sz w:val="22"/>
          <w:szCs w:val="22"/>
          <w:lang w:eastAsia="en-AU"/>
        </w:rPr>
        <w:t>the FCFCOA</w:t>
      </w:r>
      <w:r w:rsidR="00FF38EB">
        <w:rPr>
          <w:rFonts w:asciiTheme="minorHAnsi" w:eastAsia="Times New Roman" w:hAnsiTheme="minorHAnsi" w:cstheme="minorHAnsi"/>
          <w:color w:val="auto"/>
          <w:sz w:val="22"/>
          <w:szCs w:val="22"/>
          <w:lang w:eastAsia="en-AU"/>
        </w:rPr>
        <w:t>.</w:t>
      </w:r>
      <w:r w:rsidR="005C0EBF" w:rsidRPr="005C0EBF">
        <w:rPr>
          <w:rFonts w:asciiTheme="minorHAnsi" w:eastAsia="Times New Roman" w:hAnsiTheme="minorHAnsi" w:cstheme="minorHAnsi"/>
          <w:color w:val="auto"/>
          <w:sz w:val="22"/>
          <w:szCs w:val="22"/>
          <w:lang w:eastAsia="en-AU"/>
        </w:rPr>
        <w:t xml:space="preserve"> </w:t>
      </w:r>
      <w:r w:rsidR="00FF38EB">
        <w:rPr>
          <w:rFonts w:asciiTheme="minorHAnsi" w:eastAsia="Times New Roman" w:hAnsiTheme="minorHAnsi" w:cstheme="minorHAnsi"/>
          <w:color w:val="auto"/>
          <w:sz w:val="22"/>
          <w:szCs w:val="22"/>
          <w:lang w:eastAsia="en-AU"/>
        </w:rPr>
        <w:t>The Central Practice Direction confirms</w:t>
      </w:r>
      <w:r w:rsidR="003F20EF">
        <w:rPr>
          <w:rFonts w:asciiTheme="minorHAnsi" w:hAnsiTheme="minorHAnsi" w:cstheme="minorHAnsi"/>
          <w:sz w:val="22"/>
          <w:szCs w:val="22"/>
        </w:rPr>
        <w:t xml:space="preserve"> the C</w:t>
      </w:r>
      <w:r w:rsidR="005C0EBF" w:rsidRPr="005C0EBF">
        <w:rPr>
          <w:rFonts w:asciiTheme="minorHAnsi" w:hAnsiTheme="minorHAnsi" w:cstheme="minorHAnsi"/>
          <w:sz w:val="22"/>
          <w:szCs w:val="22"/>
        </w:rPr>
        <w:t xml:space="preserve">ore </w:t>
      </w:r>
      <w:r w:rsidR="003F20EF">
        <w:rPr>
          <w:rFonts w:asciiTheme="minorHAnsi" w:hAnsiTheme="minorHAnsi" w:cstheme="minorHAnsi"/>
          <w:sz w:val="22"/>
          <w:szCs w:val="22"/>
        </w:rPr>
        <w:t>P</w:t>
      </w:r>
      <w:r w:rsidR="005C0EBF" w:rsidRPr="005C0EBF">
        <w:rPr>
          <w:rFonts w:asciiTheme="minorHAnsi" w:hAnsiTheme="minorHAnsi" w:cstheme="minorHAnsi"/>
          <w:sz w:val="22"/>
          <w:szCs w:val="22"/>
        </w:rPr>
        <w:t>rinciples applicable to family law proceedings and establish</w:t>
      </w:r>
      <w:r w:rsidR="00FF38EB">
        <w:rPr>
          <w:rFonts w:asciiTheme="minorHAnsi" w:hAnsiTheme="minorHAnsi" w:cstheme="minorHAnsi"/>
          <w:sz w:val="22"/>
          <w:szCs w:val="22"/>
        </w:rPr>
        <w:t>es</w:t>
      </w:r>
      <w:r w:rsidR="005C0EBF" w:rsidRPr="005C0EBF">
        <w:rPr>
          <w:rFonts w:asciiTheme="minorHAnsi" w:hAnsiTheme="minorHAnsi" w:cstheme="minorHAnsi"/>
          <w:sz w:val="22"/>
          <w:szCs w:val="22"/>
        </w:rPr>
        <w:t xml:space="preserve"> a consistent national case management system. </w:t>
      </w:r>
    </w:p>
    <w:p w14:paraId="220C5112" w14:textId="3B9BE007" w:rsidR="00654C6F" w:rsidRPr="005C0EBF" w:rsidRDefault="005C0EBF" w:rsidP="0087523B">
      <w:pPr>
        <w:pStyle w:val="Default"/>
        <w:rPr>
          <w:rFonts w:asciiTheme="minorHAnsi" w:hAnsiTheme="minorHAnsi" w:cstheme="minorHAnsi"/>
          <w:sz w:val="22"/>
          <w:szCs w:val="22"/>
        </w:rPr>
      </w:pPr>
      <w:r w:rsidRPr="005C0EBF">
        <w:rPr>
          <w:rFonts w:asciiTheme="minorHAnsi" w:hAnsiTheme="minorHAnsi" w:cstheme="minorHAnsi"/>
          <w:sz w:val="22"/>
          <w:szCs w:val="22"/>
        </w:rPr>
        <w:t xml:space="preserve">A copy of the </w:t>
      </w:r>
      <w:hyperlink r:id="rId9" w:history="1">
        <w:r w:rsidR="00FD7D5E" w:rsidRPr="00BB42FD">
          <w:rPr>
            <w:rStyle w:val="Hyperlink"/>
            <w:rFonts w:asciiTheme="minorHAnsi" w:hAnsiTheme="minorHAnsi" w:cstheme="minorHAnsi"/>
            <w:sz w:val="22"/>
            <w:szCs w:val="22"/>
          </w:rPr>
          <w:t>Central Practice Direction</w:t>
        </w:r>
      </w:hyperlink>
      <w:r w:rsidR="00FD7D5E">
        <w:rPr>
          <w:rFonts w:asciiTheme="minorHAnsi" w:hAnsiTheme="minorHAnsi" w:cstheme="minorHAnsi"/>
          <w:sz w:val="22"/>
          <w:szCs w:val="22"/>
        </w:rPr>
        <w:t xml:space="preserve"> </w:t>
      </w:r>
      <w:r w:rsidRPr="005C0EBF">
        <w:rPr>
          <w:rFonts w:asciiTheme="minorHAnsi" w:hAnsiTheme="minorHAnsi" w:cstheme="minorHAnsi"/>
          <w:sz w:val="22"/>
          <w:szCs w:val="22"/>
        </w:rPr>
        <w:t xml:space="preserve">is available from the </w:t>
      </w:r>
      <w:r w:rsidR="003F20EF">
        <w:rPr>
          <w:rFonts w:asciiTheme="minorHAnsi" w:hAnsiTheme="minorHAnsi" w:cstheme="minorHAnsi"/>
          <w:sz w:val="22"/>
          <w:szCs w:val="22"/>
        </w:rPr>
        <w:t>website</w:t>
      </w:r>
      <w:r w:rsidR="00FF38EB">
        <w:rPr>
          <w:rFonts w:asciiTheme="minorHAnsi" w:hAnsiTheme="minorHAnsi" w:cstheme="minorHAnsi"/>
          <w:sz w:val="22"/>
          <w:szCs w:val="22"/>
        </w:rPr>
        <w:t>.</w:t>
      </w:r>
      <w:r w:rsidR="003F20EF">
        <w:rPr>
          <w:rFonts w:asciiTheme="minorHAnsi" w:hAnsiTheme="minorHAnsi" w:cstheme="minorHAnsi"/>
          <w:sz w:val="22"/>
          <w:szCs w:val="22"/>
        </w:rPr>
        <w:t xml:space="preserve"> </w:t>
      </w:r>
      <w:r w:rsidR="00FF38EB">
        <w:rPr>
          <w:rFonts w:asciiTheme="minorHAnsi" w:hAnsiTheme="minorHAnsi" w:cstheme="minorHAnsi"/>
          <w:sz w:val="22"/>
          <w:szCs w:val="22"/>
        </w:rPr>
        <w:t>I</w:t>
      </w:r>
      <w:r w:rsidRPr="005C0EBF">
        <w:rPr>
          <w:rFonts w:asciiTheme="minorHAnsi" w:hAnsiTheme="minorHAnsi" w:cstheme="minorHAnsi"/>
          <w:sz w:val="22"/>
          <w:szCs w:val="22"/>
        </w:rPr>
        <w:t xml:space="preserve">n summary, </w:t>
      </w:r>
      <w:r w:rsidR="00FF38EB">
        <w:rPr>
          <w:rFonts w:asciiTheme="minorHAnsi" w:hAnsiTheme="minorHAnsi" w:cstheme="minorHAnsi"/>
          <w:sz w:val="22"/>
          <w:szCs w:val="22"/>
        </w:rPr>
        <w:t xml:space="preserve">it outlines an </w:t>
      </w:r>
      <w:r w:rsidR="003F20EF">
        <w:rPr>
          <w:rFonts w:asciiTheme="minorHAnsi" w:hAnsiTheme="minorHAnsi" w:cstheme="minorHAnsi"/>
          <w:sz w:val="22"/>
          <w:szCs w:val="22"/>
        </w:rPr>
        <w:t xml:space="preserve">expected </w:t>
      </w:r>
      <w:r w:rsidRPr="005C0EBF">
        <w:rPr>
          <w:rFonts w:asciiTheme="minorHAnsi" w:hAnsiTheme="minorHAnsi" w:cstheme="minorHAnsi"/>
          <w:sz w:val="22"/>
          <w:szCs w:val="22"/>
        </w:rPr>
        <w:t xml:space="preserve">approach to family law litigation in the </w:t>
      </w:r>
      <w:r w:rsidR="003F20EF">
        <w:rPr>
          <w:rFonts w:asciiTheme="minorHAnsi" w:hAnsiTheme="minorHAnsi" w:cstheme="minorHAnsi"/>
          <w:sz w:val="22"/>
          <w:szCs w:val="22"/>
        </w:rPr>
        <w:t>FCFCOA</w:t>
      </w:r>
      <w:r w:rsidR="00FF38EB">
        <w:rPr>
          <w:rFonts w:asciiTheme="minorHAnsi" w:hAnsiTheme="minorHAnsi" w:cstheme="minorHAnsi"/>
          <w:sz w:val="22"/>
          <w:szCs w:val="22"/>
        </w:rPr>
        <w:t xml:space="preserve"> which</w:t>
      </w:r>
      <w:r w:rsidR="00B47337">
        <w:rPr>
          <w:rFonts w:asciiTheme="minorHAnsi" w:hAnsiTheme="minorHAnsi" w:cstheme="minorHAnsi"/>
          <w:sz w:val="22"/>
          <w:szCs w:val="22"/>
        </w:rPr>
        <w:t xml:space="preserve"> is designed to</w:t>
      </w:r>
      <w:r w:rsidRPr="005C0EBF">
        <w:rPr>
          <w:rFonts w:asciiTheme="minorHAnsi" w:hAnsiTheme="minorHAnsi" w:cstheme="minorHAnsi"/>
          <w:sz w:val="22"/>
          <w:szCs w:val="22"/>
        </w:rPr>
        <w:t xml:space="preserve">: </w:t>
      </w:r>
    </w:p>
    <w:p w14:paraId="7EA34B32" w14:textId="3ED7F53F" w:rsidR="00654C6F" w:rsidRPr="005C0EBF" w:rsidRDefault="00654C6F" w:rsidP="0087523B">
      <w:pPr>
        <w:pStyle w:val="Default"/>
        <w:numPr>
          <w:ilvl w:val="0"/>
          <w:numId w:val="3"/>
        </w:numPr>
        <w:adjustRightInd w:val="0"/>
        <w:rPr>
          <w:rFonts w:asciiTheme="minorHAnsi" w:hAnsiTheme="minorHAnsi" w:cstheme="minorHAnsi"/>
          <w:sz w:val="22"/>
          <w:szCs w:val="22"/>
        </w:rPr>
      </w:pPr>
      <w:r w:rsidRPr="005C0EBF">
        <w:rPr>
          <w:rFonts w:asciiTheme="minorHAnsi" w:hAnsiTheme="minorHAnsi" w:cstheme="minorHAnsi"/>
          <w:sz w:val="22"/>
          <w:szCs w:val="22"/>
        </w:rPr>
        <w:t xml:space="preserve">Reduce unnecessary cost and delay in family litigation and facilitates proceedings being conducted with the least possible acrimony in order to minimise harm to children and families; </w:t>
      </w:r>
    </w:p>
    <w:p w14:paraId="5988B01A" w14:textId="7DE854F0" w:rsidR="00654C6F" w:rsidRPr="005C0EBF" w:rsidRDefault="00654C6F" w:rsidP="0087523B">
      <w:pPr>
        <w:pStyle w:val="Default"/>
        <w:numPr>
          <w:ilvl w:val="0"/>
          <w:numId w:val="3"/>
        </w:numPr>
        <w:adjustRightInd w:val="0"/>
        <w:rPr>
          <w:rFonts w:asciiTheme="minorHAnsi" w:hAnsiTheme="minorHAnsi" w:cstheme="minorHAnsi"/>
          <w:sz w:val="22"/>
          <w:szCs w:val="22"/>
        </w:rPr>
      </w:pPr>
      <w:r w:rsidRPr="005C0EBF">
        <w:rPr>
          <w:rFonts w:asciiTheme="minorHAnsi" w:hAnsiTheme="minorHAnsi" w:cstheme="minorHAnsi"/>
          <w:sz w:val="22"/>
          <w:szCs w:val="22"/>
        </w:rPr>
        <w:t xml:space="preserve">Ensure the safety of families and children; and </w:t>
      </w:r>
    </w:p>
    <w:p w14:paraId="6BD8C7DC" w14:textId="550F8056" w:rsidR="00654C6F" w:rsidRPr="005C0EBF" w:rsidRDefault="00654C6F" w:rsidP="0087523B">
      <w:pPr>
        <w:pStyle w:val="Default"/>
        <w:numPr>
          <w:ilvl w:val="0"/>
          <w:numId w:val="3"/>
        </w:numPr>
        <w:adjustRightInd w:val="0"/>
        <w:spacing w:after="240"/>
        <w:rPr>
          <w:rFonts w:asciiTheme="minorHAnsi" w:hAnsiTheme="minorHAnsi" w:cstheme="minorHAnsi"/>
          <w:sz w:val="22"/>
          <w:szCs w:val="22"/>
        </w:rPr>
      </w:pPr>
      <w:r w:rsidRPr="005C0EBF">
        <w:rPr>
          <w:rFonts w:asciiTheme="minorHAnsi" w:hAnsiTheme="minorHAnsi" w:cstheme="minorHAnsi"/>
          <w:sz w:val="22"/>
          <w:szCs w:val="22"/>
        </w:rPr>
        <w:t xml:space="preserve">Achieve the overarching purpose of facilitating the just resolution of disputes according to law and as quickly, inexpensively and efficiently as possible. </w:t>
      </w:r>
    </w:p>
    <w:p w14:paraId="7B0DBE79" w14:textId="1493173D" w:rsidR="00654C6F" w:rsidRPr="005C0EBF" w:rsidRDefault="00654C6F" w:rsidP="0087523B">
      <w:pPr>
        <w:pStyle w:val="Default"/>
        <w:spacing w:after="240"/>
        <w:rPr>
          <w:rFonts w:asciiTheme="minorHAnsi" w:hAnsiTheme="minorHAnsi" w:cstheme="minorHAnsi"/>
          <w:sz w:val="22"/>
          <w:szCs w:val="22"/>
        </w:rPr>
      </w:pPr>
      <w:r w:rsidRPr="005C0EBF">
        <w:rPr>
          <w:rFonts w:asciiTheme="minorHAnsi" w:hAnsiTheme="minorHAnsi" w:cstheme="minorHAnsi"/>
          <w:sz w:val="22"/>
          <w:szCs w:val="22"/>
        </w:rPr>
        <w:t xml:space="preserve">A series of </w:t>
      </w:r>
      <w:r w:rsidR="005C0EBF" w:rsidRPr="005C0EBF">
        <w:rPr>
          <w:rFonts w:asciiTheme="minorHAnsi" w:hAnsiTheme="minorHAnsi" w:cstheme="minorHAnsi"/>
          <w:sz w:val="22"/>
          <w:szCs w:val="22"/>
        </w:rPr>
        <w:t xml:space="preserve">supplementary </w:t>
      </w:r>
      <w:r w:rsidRPr="003F20EF">
        <w:rPr>
          <w:rFonts w:asciiTheme="minorHAnsi" w:hAnsiTheme="minorHAnsi" w:cstheme="minorHAnsi"/>
          <w:sz w:val="22"/>
          <w:szCs w:val="22"/>
        </w:rPr>
        <w:t xml:space="preserve">Practice Directions </w:t>
      </w:r>
      <w:r w:rsidRPr="005C0EBF">
        <w:rPr>
          <w:rFonts w:asciiTheme="minorHAnsi" w:hAnsiTheme="minorHAnsi" w:cstheme="minorHAnsi"/>
          <w:sz w:val="22"/>
          <w:szCs w:val="22"/>
        </w:rPr>
        <w:t xml:space="preserve">have been developed and are to be read within the framework established by the overarching Central Practice Direction. </w:t>
      </w:r>
    </w:p>
    <w:p w14:paraId="3A357B11" w14:textId="3FFEEC59" w:rsidR="00654C6F" w:rsidRPr="005C0EBF" w:rsidRDefault="00654C6F" w:rsidP="0087523B">
      <w:pPr>
        <w:pStyle w:val="Default"/>
        <w:spacing w:after="240"/>
        <w:rPr>
          <w:rFonts w:asciiTheme="minorHAnsi" w:hAnsiTheme="minorHAnsi" w:cstheme="minorHAnsi"/>
          <w:sz w:val="22"/>
          <w:szCs w:val="22"/>
        </w:rPr>
      </w:pPr>
      <w:r w:rsidRPr="005C0EBF">
        <w:rPr>
          <w:rFonts w:asciiTheme="minorHAnsi" w:hAnsiTheme="minorHAnsi" w:cstheme="minorHAnsi"/>
          <w:sz w:val="22"/>
          <w:szCs w:val="22"/>
        </w:rPr>
        <w:t>The Court takes the overarching purpose enshrined in the</w:t>
      </w:r>
      <w:r w:rsidR="00FD7D5E">
        <w:rPr>
          <w:rFonts w:asciiTheme="minorHAnsi" w:hAnsiTheme="minorHAnsi" w:cstheme="minorHAnsi"/>
          <w:sz w:val="22"/>
          <w:szCs w:val="22"/>
        </w:rPr>
        <w:t xml:space="preserve"> </w:t>
      </w:r>
      <w:r w:rsidRPr="00FD7D5E">
        <w:rPr>
          <w:rFonts w:asciiTheme="minorHAnsi" w:hAnsiTheme="minorHAnsi" w:cstheme="minorHAnsi"/>
          <w:sz w:val="22"/>
          <w:szCs w:val="22"/>
        </w:rPr>
        <w:t>F</w:t>
      </w:r>
      <w:r w:rsidR="00D93905">
        <w:rPr>
          <w:rFonts w:asciiTheme="minorHAnsi" w:hAnsiTheme="minorHAnsi" w:cstheme="minorHAnsi"/>
          <w:sz w:val="22"/>
          <w:szCs w:val="22"/>
        </w:rPr>
        <w:t>CFC</w:t>
      </w:r>
      <w:r w:rsidRPr="00FD7D5E">
        <w:rPr>
          <w:rFonts w:asciiTheme="minorHAnsi" w:hAnsiTheme="minorHAnsi" w:cstheme="minorHAnsi"/>
          <w:sz w:val="22"/>
          <w:szCs w:val="22"/>
        </w:rPr>
        <w:t>OA Act</w:t>
      </w:r>
      <w:r w:rsidRPr="005C0EBF">
        <w:rPr>
          <w:rFonts w:asciiTheme="minorHAnsi" w:hAnsiTheme="minorHAnsi" w:cstheme="minorHAnsi"/>
          <w:color w:val="0000FF"/>
          <w:sz w:val="22"/>
          <w:szCs w:val="22"/>
        </w:rPr>
        <w:t xml:space="preserve"> </w:t>
      </w:r>
      <w:r w:rsidRPr="005C0EBF">
        <w:rPr>
          <w:rFonts w:asciiTheme="minorHAnsi" w:hAnsiTheme="minorHAnsi" w:cstheme="minorHAnsi"/>
          <w:sz w:val="22"/>
          <w:szCs w:val="22"/>
        </w:rPr>
        <w:t xml:space="preserve">seriously, and expects parties and lawyers </w:t>
      </w:r>
      <w:r w:rsidR="00B47337">
        <w:rPr>
          <w:rFonts w:asciiTheme="minorHAnsi" w:hAnsiTheme="minorHAnsi" w:cstheme="minorHAnsi"/>
          <w:sz w:val="22"/>
          <w:szCs w:val="22"/>
        </w:rPr>
        <w:t>to</w:t>
      </w:r>
      <w:r w:rsidR="00B47337" w:rsidRPr="005C0EBF">
        <w:rPr>
          <w:rFonts w:asciiTheme="minorHAnsi" w:hAnsiTheme="minorHAnsi" w:cstheme="minorHAnsi"/>
          <w:sz w:val="22"/>
          <w:szCs w:val="22"/>
        </w:rPr>
        <w:t xml:space="preserve"> </w:t>
      </w:r>
      <w:r w:rsidRPr="005C0EBF">
        <w:rPr>
          <w:rFonts w:asciiTheme="minorHAnsi" w:hAnsiTheme="minorHAnsi" w:cstheme="minorHAnsi"/>
          <w:sz w:val="22"/>
          <w:szCs w:val="22"/>
        </w:rPr>
        <w:t xml:space="preserve">do likewise. Parties and their lawyers are asked to </w:t>
      </w:r>
      <w:r w:rsidR="00B47337">
        <w:rPr>
          <w:rFonts w:asciiTheme="minorHAnsi" w:hAnsiTheme="minorHAnsi" w:cstheme="minorHAnsi"/>
          <w:sz w:val="22"/>
          <w:szCs w:val="22"/>
        </w:rPr>
        <w:t>consider</w:t>
      </w:r>
      <w:r w:rsidRPr="005C0EBF">
        <w:rPr>
          <w:rFonts w:asciiTheme="minorHAnsi" w:hAnsiTheme="minorHAnsi" w:cstheme="minorHAnsi"/>
          <w:sz w:val="22"/>
          <w:szCs w:val="22"/>
        </w:rPr>
        <w:t xml:space="preserve"> the best way to conduct their cases in accordance with the overarching purpose, but </w:t>
      </w:r>
      <w:r w:rsidR="00B47337">
        <w:rPr>
          <w:rFonts w:asciiTheme="minorHAnsi" w:hAnsiTheme="minorHAnsi" w:cstheme="minorHAnsi"/>
          <w:sz w:val="22"/>
          <w:szCs w:val="22"/>
        </w:rPr>
        <w:t>can be assured that</w:t>
      </w:r>
      <w:r w:rsidRPr="005C0EBF">
        <w:rPr>
          <w:rFonts w:asciiTheme="minorHAnsi" w:hAnsiTheme="minorHAnsi" w:cstheme="minorHAnsi"/>
          <w:sz w:val="22"/>
          <w:szCs w:val="22"/>
        </w:rPr>
        <w:t xml:space="preserve"> the safety of parties and children and protection from the consequences of abuse and violence remains a priority for the Court. </w:t>
      </w:r>
    </w:p>
    <w:p w14:paraId="58CEA19B" w14:textId="7B51EB8C" w:rsidR="00654C6F" w:rsidRPr="00744031" w:rsidRDefault="00654C6F" w:rsidP="0087523B">
      <w:pPr>
        <w:pStyle w:val="Heading3"/>
      </w:pPr>
      <w:r w:rsidRPr="00744031">
        <w:t>Ten Core Principles</w:t>
      </w:r>
    </w:p>
    <w:p w14:paraId="0A1A9C2A" w14:textId="75635E36" w:rsidR="00654C6F" w:rsidRPr="005C0EBF" w:rsidRDefault="00654C6F" w:rsidP="0087523B">
      <w:pPr>
        <w:pStyle w:val="Default"/>
        <w:spacing w:after="240"/>
        <w:rPr>
          <w:rFonts w:asciiTheme="minorHAnsi" w:hAnsiTheme="minorHAnsi" w:cstheme="minorHAnsi"/>
          <w:sz w:val="22"/>
          <w:szCs w:val="22"/>
        </w:rPr>
      </w:pPr>
      <w:r w:rsidRPr="005C0EBF">
        <w:rPr>
          <w:rFonts w:asciiTheme="minorHAnsi" w:hAnsiTheme="minorHAnsi" w:cstheme="minorHAnsi"/>
          <w:sz w:val="22"/>
          <w:szCs w:val="22"/>
        </w:rPr>
        <w:t xml:space="preserve">Fundamental to the Central Practice Direction </w:t>
      </w:r>
      <w:r w:rsidR="00935015">
        <w:rPr>
          <w:rFonts w:asciiTheme="minorHAnsi" w:hAnsiTheme="minorHAnsi" w:cstheme="minorHAnsi"/>
          <w:sz w:val="22"/>
          <w:szCs w:val="22"/>
        </w:rPr>
        <w:t xml:space="preserve">is the continuation of the </w:t>
      </w:r>
      <w:r w:rsidRPr="005C0EBF">
        <w:rPr>
          <w:rFonts w:asciiTheme="minorHAnsi" w:hAnsiTheme="minorHAnsi" w:cstheme="minorHAnsi"/>
          <w:sz w:val="22"/>
          <w:szCs w:val="22"/>
        </w:rPr>
        <w:t>10 Core Principles</w:t>
      </w:r>
      <w:r w:rsidRPr="00744031">
        <w:rPr>
          <w:rFonts w:asciiTheme="minorHAnsi" w:hAnsiTheme="minorHAnsi" w:cstheme="minorHAnsi"/>
          <w:bCs/>
          <w:sz w:val="22"/>
          <w:szCs w:val="22"/>
        </w:rPr>
        <w:t xml:space="preserve"> </w:t>
      </w:r>
      <w:r w:rsidR="00744031" w:rsidRPr="00744031">
        <w:rPr>
          <w:rFonts w:asciiTheme="minorHAnsi" w:hAnsiTheme="minorHAnsi" w:cstheme="minorHAnsi"/>
          <w:bCs/>
          <w:sz w:val="22"/>
          <w:szCs w:val="22"/>
        </w:rPr>
        <w:t xml:space="preserve">that </w:t>
      </w:r>
      <w:r w:rsidRPr="005C0EBF">
        <w:rPr>
          <w:rFonts w:asciiTheme="minorHAnsi" w:hAnsiTheme="minorHAnsi" w:cstheme="minorHAnsi"/>
          <w:sz w:val="22"/>
          <w:szCs w:val="22"/>
        </w:rPr>
        <w:t>underpin the exercise of the family law jurisdiction of the Court</w:t>
      </w:r>
      <w:r w:rsidR="00AA5B27">
        <w:rPr>
          <w:rFonts w:asciiTheme="minorHAnsi" w:hAnsiTheme="minorHAnsi" w:cstheme="minorHAnsi"/>
          <w:sz w:val="22"/>
          <w:szCs w:val="22"/>
        </w:rPr>
        <w:t>s</w:t>
      </w:r>
      <w:r w:rsidRPr="005C0EBF">
        <w:rPr>
          <w:rFonts w:asciiTheme="minorHAnsi" w:hAnsiTheme="minorHAnsi" w:cstheme="minorHAnsi"/>
          <w:sz w:val="22"/>
          <w:szCs w:val="22"/>
        </w:rPr>
        <w:t xml:space="preserve"> and are designed to facilitate the </w:t>
      </w:r>
      <w:r w:rsidR="00935015">
        <w:rPr>
          <w:rFonts w:asciiTheme="minorHAnsi" w:hAnsiTheme="minorHAnsi" w:cstheme="minorHAnsi"/>
          <w:sz w:val="22"/>
          <w:szCs w:val="22"/>
        </w:rPr>
        <w:t xml:space="preserve">safe, just and timely </w:t>
      </w:r>
      <w:r w:rsidRPr="005C0EBF">
        <w:rPr>
          <w:rFonts w:asciiTheme="minorHAnsi" w:hAnsiTheme="minorHAnsi" w:cstheme="minorHAnsi"/>
          <w:sz w:val="22"/>
          <w:szCs w:val="22"/>
        </w:rPr>
        <w:t xml:space="preserve">resolution of family law matters. </w:t>
      </w:r>
      <w:r w:rsidR="00AA5B27">
        <w:rPr>
          <w:rFonts w:asciiTheme="minorHAnsi" w:hAnsiTheme="minorHAnsi" w:cstheme="minorHAnsi"/>
          <w:sz w:val="22"/>
          <w:szCs w:val="22"/>
        </w:rPr>
        <w:t>Parties and l</w:t>
      </w:r>
      <w:r w:rsidRPr="005C0EBF">
        <w:rPr>
          <w:rFonts w:asciiTheme="minorHAnsi" w:hAnsiTheme="minorHAnsi" w:cstheme="minorHAnsi"/>
          <w:sz w:val="22"/>
          <w:szCs w:val="22"/>
        </w:rPr>
        <w:t xml:space="preserve">awyers should </w:t>
      </w:r>
      <w:r w:rsidR="00935015" w:rsidRPr="005C0EBF">
        <w:rPr>
          <w:rFonts w:asciiTheme="minorHAnsi" w:hAnsiTheme="minorHAnsi" w:cstheme="minorHAnsi"/>
          <w:sz w:val="22"/>
          <w:szCs w:val="22"/>
        </w:rPr>
        <w:t>familiari</w:t>
      </w:r>
      <w:r w:rsidR="00935015">
        <w:rPr>
          <w:rFonts w:asciiTheme="minorHAnsi" w:hAnsiTheme="minorHAnsi" w:cstheme="minorHAnsi"/>
          <w:sz w:val="22"/>
          <w:szCs w:val="22"/>
        </w:rPr>
        <w:t>s</w:t>
      </w:r>
      <w:r w:rsidR="00935015" w:rsidRPr="005C0EBF">
        <w:rPr>
          <w:rFonts w:asciiTheme="minorHAnsi" w:hAnsiTheme="minorHAnsi" w:cstheme="minorHAnsi"/>
          <w:sz w:val="22"/>
          <w:szCs w:val="22"/>
        </w:rPr>
        <w:t xml:space="preserve">e </w:t>
      </w:r>
      <w:r w:rsidRPr="005C0EBF">
        <w:rPr>
          <w:rFonts w:asciiTheme="minorHAnsi" w:hAnsiTheme="minorHAnsi" w:cstheme="minorHAnsi"/>
          <w:sz w:val="22"/>
          <w:szCs w:val="22"/>
        </w:rPr>
        <w:t>themselves with</w:t>
      </w:r>
      <w:r w:rsidR="00AA5B27">
        <w:rPr>
          <w:rFonts w:asciiTheme="minorHAnsi" w:hAnsiTheme="minorHAnsi" w:cstheme="minorHAnsi"/>
          <w:sz w:val="22"/>
          <w:szCs w:val="22"/>
        </w:rPr>
        <w:t xml:space="preserve">, and follow, </w:t>
      </w:r>
      <w:r w:rsidRPr="005C0EBF">
        <w:rPr>
          <w:rFonts w:asciiTheme="minorHAnsi" w:hAnsiTheme="minorHAnsi" w:cstheme="minorHAnsi"/>
          <w:sz w:val="22"/>
          <w:szCs w:val="22"/>
        </w:rPr>
        <w:t>the core principles prior to commencing litigation</w:t>
      </w:r>
      <w:r w:rsidR="00AA5B27">
        <w:rPr>
          <w:rFonts w:asciiTheme="minorHAnsi" w:hAnsiTheme="minorHAnsi" w:cstheme="minorHAnsi"/>
          <w:sz w:val="22"/>
          <w:szCs w:val="22"/>
        </w:rPr>
        <w:t>. The core p</w:t>
      </w:r>
      <w:r w:rsidRPr="005C0EBF">
        <w:rPr>
          <w:rFonts w:asciiTheme="minorHAnsi" w:hAnsiTheme="minorHAnsi" w:cstheme="minorHAnsi"/>
          <w:sz w:val="22"/>
          <w:szCs w:val="22"/>
        </w:rPr>
        <w:t xml:space="preserve">rinciples </w:t>
      </w:r>
      <w:r w:rsidR="00744031">
        <w:rPr>
          <w:rFonts w:asciiTheme="minorHAnsi" w:hAnsiTheme="minorHAnsi" w:cstheme="minorHAnsi"/>
          <w:sz w:val="22"/>
          <w:szCs w:val="22"/>
        </w:rPr>
        <w:t xml:space="preserve">are </w:t>
      </w:r>
      <w:r w:rsidR="007D56C9">
        <w:rPr>
          <w:rFonts w:asciiTheme="minorHAnsi" w:hAnsiTheme="minorHAnsi" w:cstheme="minorHAnsi"/>
          <w:sz w:val="22"/>
          <w:szCs w:val="22"/>
        </w:rPr>
        <w:t xml:space="preserve">outlined in detail within the Central Practice Direction, </w:t>
      </w:r>
      <w:r w:rsidR="00744031">
        <w:rPr>
          <w:rFonts w:asciiTheme="minorHAnsi" w:hAnsiTheme="minorHAnsi" w:cstheme="minorHAnsi"/>
          <w:sz w:val="22"/>
          <w:szCs w:val="22"/>
        </w:rPr>
        <w:t xml:space="preserve">but in brief, they </w:t>
      </w:r>
      <w:r w:rsidRPr="005C0EBF">
        <w:rPr>
          <w:rFonts w:asciiTheme="minorHAnsi" w:hAnsiTheme="minorHAnsi" w:cstheme="minorHAnsi"/>
          <w:sz w:val="22"/>
          <w:szCs w:val="22"/>
        </w:rPr>
        <w:t>include</w:t>
      </w:r>
      <w:r w:rsidR="00744031">
        <w:rPr>
          <w:rFonts w:asciiTheme="minorHAnsi" w:hAnsiTheme="minorHAnsi" w:cstheme="minorHAnsi"/>
          <w:sz w:val="22"/>
          <w:szCs w:val="22"/>
        </w:rPr>
        <w:t xml:space="preserve"> the following</w:t>
      </w:r>
      <w:r w:rsidRPr="005C0EBF">
        <w:rPr>
          <w:rFonts w:asciiTheme="minorHAnsi" w:hAnsiTheme="minorHAnsi" w:cstheme="minorHAnsi"/>
          <w:sz w:val="22"/>
          <w:szCs w:val="22"/>
        </w:rPr>
        <w:t>:</w:t>
      </w:r>
    </w:p>
    <w:p w14:paraId="3DA25FA3" w14:textId="77777777" w:rsidR="00654C6F" w:rsidRPr="005C0EBF" w:rsidRDefault="00654C6F" w:rsidP="0087523B">
      <w:pPr>
        <w:pStyle w:val="Default"/>
        <w:rPr>
          <w:rFonts w:asciiTheme="minorHAnsi" w:hAnsiTheme="minorHAnsi" w:cstheme="minorHAnsi"/>
          <w:sz w:val="22"/>
          <w:szCs w:val="22"/>
        </w:rPr>
      </w:pPr>
      <w:r w:rsidRPr="005C0EBF">
        <w:rPr>
          <w:rFonts w:asciiTheme="minorHAnsi" w:hAnsiTheme="minorHAnsi" w:cstheme="minorHAnsi"/>
          <w:bCs/>
          <w:iCs/>
          <w:sz w:val="22"/>
          <w:szCs w:val="22"/>
        </w:rPr>
        <w:t xml:space="preserve">1) Risk </w:t>
      </w:r>
    </w:p>
    <w:p w14:paraId="193BCF27" w14:textId="77777777" w:rsidR="00654C6F" w:rsidRPr="005C0EBF" w:rsidRDefault="00654C6F" w:rsidP="0087523B">
      <w:pPr>
        <w:pStyle w:val="Default"/>
        <w:rPr>
          <w:rFonts w:asciiTheme="minorHAnsi" w:hAnsiTheme="minorHAnsi" w:cstheme="minorHAnsi"/>
          <w:sz w:val="22"/>
          <w:szCs w:val="22"/>
        </w:rPr>
      </w:pPr>
      <w:r w:rsidRPr="005C0EBF">
        <w:rPr>
          <w:rFonts w:asciiTheme="minorHAnsi" w:hAnsiTheme="minorHAnsi" w:cstheme="minorHAnsi"/>
          <w:bCs/>
          <w:iCs/>
          <w:sz w:val="22"/>
          <w:szCs w:val="22"/>
        </w:rPr>
        <w:t xml:space="preserve">2) Parties’, lawyers’ and the Court’s obligations and overarching purpose </w:t>
      </w:r>
    </w:p>
    <w:p w14:paraId="2686C3F7" w14:textId="77777777" w:rsidR="00654C6F" w:rsidRPr="005C0EBF" w:rsidRDefault="00654C6F" w:rsidP="0087523B">
      <w:pPr>
        <w:pStyle w:val="Default"/>
        <w:rPr>
          <w:rFonts w:asciiTheme="minorHAnsi" w:hAnsiTheme="minorHAnsi" w:cstheme="minorHAnsi"/>
          <w:sz w:val="22"/>
          <w:szCs w:val="22"/>
        </w:rPr>
      </w:pPr>
      <w:r w:rsidRPr="005C0EBF">
        <w:rPr>
          <w:rFonts w:asciiTheme="minorHAnsi" w:hAnsiTheme="minorHAnsi" w:cstheme="minorHAnsi"/>
          <w:bCs/>
          <w:iCs/>
          <w:sz w:val="22"/>
          <w:szCs w:val="22"/>
        </w:rPr>
        <w:t xml:space="preserve">3) Efficient and effective use of resources </w:t>
      </w:r>
    </w:p>
    <w:p w14:paraId="1B18A86F" w14:textId="77777777" w:rsidR="00654C6F" w:rsidRPr="005C0EBF" w:rsidRDefault="00654C6F" w:rsidP="0087523B">
      <w:pPr>
        <w:pStyle w:val="Default"/>
        <w:rPr>
          <w:rFonts w:asciiTheme="minorHAnsi" w:hAnsiTheme="minorHAnsi" w:cstheme="minorHAnsi"/>
          <w:bCs/>
          <w:iCs/>
          <w:sz w:val="22"/>
          <w:szCs w:val="22"/>
        </w:rPr>
      </w:pPr>
      <w:r w:rsidRPr="005C0EBF">
        <w:rPr>
          <w:rFonts w:asciiTheme="minorHAnsi" w:hAnsiTheme="minorHAnsi" w:cstheme="minorHAnsi"/>
          <w:bCs/>
          <w:iCs/>
          <w:sz w:val="22"/>
          <w:szCs w:val="22"/>
        </w:rPr>
        <w:t xml:space="preserve">4) Approach to case management </w:t>
      </w:r>
    </w:p>
    <w:p w14:paraId="1C026BAA" w14:textId="77777777" w:rsidR="00654C6F" w:rsidRPr="005C0EBF" w:rsidRDefault="00654C6F" w:rsidP="0087523B">
      <w:pPr>
        <w:pStyle w:val="Default"/>
        <w:rPr>
          <w:rFonts w:asciiTheme="minorHAnsi" w:hAnsiTheme="minorHAnsi" w:cstheme="minorHAnsi"/>
          <w:color w:val="auto"/>
          <w:sz w:val="22"/>
          <w:szCs w:val="22"/>
        </w:rPr>
      </w:pPr>
      <w:r w:rsidRPr="005C0EBF">
        <w:rPr>
          <w:rFonts w:asciiTheme="minorHAnsi" w:hAnsiTheme="minorHAnsi" w:cstheme="minorHAnsi"/>
          <w:bCs/>
          <w:iCs/>
          <w:color w:val="auto"/>
          <w:sz w:val="22"/>
          <w:szCs w:val="22"/>
        </w:rPr>
        <w:lastRenderedPageBreak/>
        <w:t xml:space="preserve">5) Importance of Dispute Resolution </w:t>
      </w:r>
    </w:p>
    <w:p w14:paraId="23E91B39" w14:textId="77777777" w:rsidR="00654C6F" w:rsidRPr="005C0EBF" w:rsidRDefault="00654C6F" w:rsidP="0087523B">
      <w:pPr>
        <w:pStyle w:val="Default"/>
        <w:rPr>
          <w:rFonts w:asciiTheme="minorHAnsi" w:hAnsiTheme="minorHAnsi" w:cstheme="minorHAnsi"/>
          <w:sz w:val="22"/>
          <w:szCs w:val="22"/>
        </w:rPr>
      </w:pPr>
      <w:r w:rsidRPr="005C0EBF">
        <w:rPr>
          <w:rFonts w:asciiTheme="minorHAnsi" w:hAnsiTheme="minorHAnsi" w:cstheme="minorHAnsi"/>
          <w:bCs/>
          <w:iCs/>
          <w:sz w:val="22"/>
          <w:szCs w:val="22"/>
        </w:rPr>
        <w:t xml:space="preserve">6) Non-compliance </w:t>
      </w:r>
    </w:p>
    <w:p w14:paraId="40C6119B" w14:textId="77777777" w:rsidR="00654C6F" w:rsidRPr="005C0EBF" w:rsidRDefault="00654C6F" w:rsidP="0087523B">
      <w:pPr>
        <w:pStyle w:val="Default"/>
        <w:rPr>
          <w:rFonts w:asciiTheme="minorHAnsi" w:hAnsiTheme="minorHAnsi" w:cstheme="minorHAnsi"/>
          <w:color w:val="auto"/>
          <w:sz w:val="22"/>
          <w:szCs w:val="22"/>
        </w:rPr>
      </w:pPr>
      <w:r w:rsidRPr="005C0EBF">
        <w:rPr>
          <w:rFonts w:asciiTheme="minorHAnsi" w:hAnsiTheme="minorHAnsi" w:cstheme="minorHAnsi"/>
          <w:bCs/>
          <w:iCs/>
          <w:color w:val="auto"/>
          <w:sz w:val="22"/>
          <w:szCs w:val="22"/>
        </w:rPr>
        <w:t xml:space="preserve">7) Lawyers’ obligations about costs </w:t>
      </w:r>
    </w:p>
    <w:p w14:paraId="099E2E1F" w14:textId="77777777" w:rsidR="00654C6F" w:rsidRPr="005C0EBF" w:rsidRDefault="00654C6F" w:rsidP="0087523B">
      <w:pPr>
        <w:pStyle w:val="Default"/>
        <w:rPr>
          <w:rFonts w:asciiTheme="minorHAnsi" w:hAnsiTheme="minorHAnsi" w:cstheme="minorHAnsi"/>
          <w:sz w:val="22"/>
          <w:szCs w:val="22"/>
        </w:rPr>
      </w:pPr>
      <w:r w:rsidRPr="005C0EBF">
        <w:rPr>
          <w:rFonts w:asciiTheme="minorHAnsi" w:hAnsiTheme="minorHAnsi" w:cstheme="minorHAnsi"/>
          <w:bCs/>
          <w:iCs/>
          <w:sz w:val="22"/>
          <w:szCs w:val="22"/>
        </w:rPr>
        <w:t xml:space="preserve">8) Identifying and narrowing issues in dispute </w:t>
      </w:r>
    </w:p>
    <w:p w14:paraId="145C0154" w14:textId="77777777" w:rsidR="00654C6F" w:rsidRPr="005C0EBF" w:rsidRDefault="00654C6F" w:rsidP="0087523B">
      <w:pPr>
        <w:pStyle w:val="Default"/>
        <w:rPr>
          <w:rFonts w:asciiTheme="minorHAnsi" w:hAnsiTheme="minorHAnsi" w:cstheme="minorHAnsi"/>
          <w:color w:val="auto"/>
          <w:sz w:val="22"/>
          <w:szCs w:val="22"/>
        </w:rPr>
      </w:pPr>
      <w:r w:rsidRPr="005C0EBF">
        <w:rPr>
          <w:rFonts w:asciiTheme="minorHAnsi" w:hAnsiTheme="minorHAnsi" w:cstheme="minorHAnsi"/>
          <w:bCs/>
          <w:iCs/>
          <w:color w:val="auto"/>
          <w:sz w:val="22"/>
          <w:szCs w:val="22"/>
        </w:rPr>
        <w:t xml:space="preserve">9) Preparation for hearings </w:t>
      </w:r>
    </w:p>
    <w:p w14:paraId="5DC49DD7" w14:textId="75EF2F43" w:rsidR="00654C6F" w:rsidRPr="005C0EBF" w:rsidRDefault="00654C6F" w:rsidP="0087523B">
      <w:pPr>
        <w:pStyle w:val="Default"/>
        <w:rPr>
          <w:rFonts w:asciiTheme="minorHAnsi" w:hAnsiTheme="minorHAnsi" w:cstheme="minorHAnsi"/>
          <w:bCs/>
          <w:iCs/>
          <w:color w:val="auto"/>
          <w:sz w:val="22"/>
          <w:szCs w:val="22"/>
        </w:rPr>
      </w:pPr>
      <w:r w:rsidRPr="005C0EBF">
        <w:rPr>
          <w:rFonts w:asciiTheme="minorHAnsi" w:hAnsiTheme="minorHAnsi" w:cstheme="minorHAnsi"/>
          <w:bCs/>
          <w:iCs/>
          <w:color w:val="auto"/>
          <w:sz w:val="22"/>
          <w:szCs w:val="22"/>
        </w:rPr>
        <w:t>10) Efficient and timely disposition of cases</w:t>
      </w:r>
    </w:p>
    <w:p w14:paraId="1513CAF4" w14:textId="57D0C79B" w:rsidR="00654C6F" w:rsidRDefault="005C0EBF" w:rsidP="0087523B">
      <w:pPr>
        <w:pStyle w:val="Heading3"/>
      </w:pPr>
      <w:r w:rsidRPr="00744031">
        <w:t>C</w:t>
      </w:r>
      <w:r w:rsidR="00654C6F" w:rsidRPr="00744031">
        <w:t>ase management pathway</w:t>
      </w:r>
    </w:p>
    <w:p w14:paraId="138BE636" w14:textId="40012BE8" w:rsidR="00935015" w:rsidRPr="005C0EBF" w:rsidRDefault="00935015" w:rsidP="0087523B">
      <w:pPr>
        <w:spacing w:after="240"/>
        <w:rPr>
          <w:rFonts w:asciiTheme="minorHAnsi" w:hAnsiTheme="minorHAnsi" w:cstheme="minorHAnsi"/>
          <w:sz w:val="22"/>
          <w:szCs w:val="22"/>
        </w:rPr>
      </w:pPr>
      <w:r>
        <w:rPr>
          <w:rFonts w:asciiTheme="minorHAnsi" w:hAnsiTheme="minorHAnsi" w:cstheme="minorHAnsi"/>
          <w:sz w:val="22"/>
          <w:szCs w:val="22"/>
        </w:rPr>
        <w:t>D</w:t>
      </w:r>
      <w:r w:rsidRPr="005C0EBF">
        <w:rPr>
          <w:rFonts w:asciiTheme="minorHAnsi" w:hAnsiTheme="minorHAnsi" w:cstheme="minorHAnsi"/>
          <w:sz w:val="22"/>
          <w:szCs w:val="22"/>
        </w:rPr>
        <w:t xml:space="preserve">etails of the pre-action procedures were outlined in the </w:t>
      </w:r>
      <w:hyperlink r:id="rId10" w:history="1">
        <w:r w:rsidRPr="005C0EBF">
          <w:rPr>
            <w:rStyle w:val="Hyperlink"/>
            <w:rFonts w:asciiTheme="minorHAnsi" w:hAnsiTheme="minorHAnsi" w:cstheme="minorHAnsi"/>
            <w:sz w:val="22"/>
            <w:szCs w:val="22"/>
          </w:rPr>
          <w:t>Update to the Profession No. 3.</w:t>
        </w:r>
      </w:hyperlink>
    </w:p>
    <w:p w14:paraId="2978AD0E" w14:textId="78AB5CB3" w:rsidR="00654C6F" w:rsidRPr="005C0EBF" w:rsidRDefault="00935015" w:rsidP="0087523B">
      <w:pPr>
        <w:rPr>
          <w:rFonts w:asciiTheme="minorHAnsi" w:hAnsiTheme="minorHAnsi" w:cstheme="minorHAnsi"/>
          <w:sz w:val="22"/>
          <w:szCs w:val="22"/>
          <w:lang w:val="en-US" w:eastAsia="en-GB"/>
        </w:rPr>
      </w:pPr>
      <w:r>
        <w:rPr>
          <w:rFonts w:asciiTheme="minorHAnsi" w:hAnsiTheme="minorHAnsi" w:cstheme="minorHAnsi"/>
          <w:sz w:val="22"/>
          <w:szCs w:val="22"/>
          <w:lang w:val="en-US" w:eastAsia="en-GB"/>
        </w:rPr>
        <w:t>Once proceedings are commenced, they will generally</w:t>
      </w:r>
      <w:r w:rsidRPr="005C0EBF">
        <w:rPr>
          <w:rFonts w:asciiTheme="minorHAnsi" w:hAnsiTheme="minorHAnsi" w:cstheme="minorHAnsi"/>
          <w:sz w:val="22"/>
          <w:szCs w:val="22"/>
          <w:lang w:val="en-US" w:eastAsia="en-GB"/>
        </w:rPr>
        <w:t xml:space="preserve"> follow</w:t>
      </w:r>
      <w:r w:rsidR="00654C6F" w:rsidRPr="005C0EBF">
        <w:rPr>
          <w:rFonts w:asciiTheme="minorHAnsi" w:hAnsiTheme="minorHAnsi" w:cstheme="minorHAnsi"/>
          <w:sz w:val="22"/>
          <w:szCs w:val="22"/>
          <w:lang w:val="en-US" w:eastAsia="en-GB"/>
        </w:rPr>
        <w:t xml:space="preserve"> a nationally consistent case </w:t>
      </w:r>
      <w:r w:rsidR="008257C1">
        <w:rPr>
          <w:rFonts w:asciiTheme="minorHAnsi" w:hAnsiTheme="minorHAnsi" w:cstheme="minorHAnsi"/>
          <w:sz w:val="22"/>
          <w:szCs w:val="22"/>
          <w:lang w:val="en-US" w:eastAsia="en-GB"/>
        </w:rPr>
        <w:t xml:space="preserve">management </w:t>
      </w:r>
      <w:r w:rsidR="00654C6F" w:rsidRPr="005C0EBF">
        <w:rPr>
          <w:rFonts w:asciiTheme="minorHAnsi" w:hAnsiTheme="minorHAnsi" w:cstheme="minorHAnsi"/>
          <w:sz w:val="22"/>
          <w:szCs w:val="22"/>
          <w:lang w:val="en-US" w:eastAsia="en-GB"/>
        </w:rPr>
        <w:t>pathway, which is set out in general terms in the following diagram:</w:t>
      </w:r>
    </w:p>
    <w:p w14:paraId="09780C95" w14:textId="7C72D4E5" w:rsidR="00935015" w:rsidRDefault="007D56C9" w:rsidP="0087523B">
      <w:pPr>
        <w:rPr>
          <w:rFonts w:asciiTheme="minorHAnsi" w:hAnsiTheme="minorHAnsi" w:cstheme="minorHAnsi"/>
          <w:b/>
          <w:bCs/>
          <w:sz w:val="22"/>
          <w:szCs w:val="22"/>
          <w:lang w:val="en-US" w:eastAsia="en-GB"/>
        </w:rPr>
      </w:pPr>
      <w:r>
        <w:rPr>
          <w:noProof/>
        </w:rPr>
        <w:drawing>
          <wp:inline distT="0" distB="0" distL="0" distR="0" wp14:anchorId="6B538F11" wp14:editId="28CE4248">
            <wp:extent cx="6120765" cy="105029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120765" cy="1050290"/>
                    </a:xfrm>
                    <a:prstGeom prst="rect">
                      <a:avLst/>
                    </a:prstGeom>
                  </pic:spPr>
                </pic:pic>
              </a:graphicData>
            </a:graphic>
          </wp:inline>
        </w:drawing>
      </w:r>
    </w:p>
    <w:p w14:paraId="0BEB7706" w14:textId="77777777" w:rsidR="00935015" w:rsidRPr="007D56C9" w:rsidRDefault="00935015" w:rsidP="007D56C9">
      <w:pPr>
        <w:pStyle w:val="ListParagraph"/>
        <w:numPr>
          <w:ilvl w:val="0"/>
          <w:numId w:val="5"/>
        </w:numPr>
        <w:autoSpaceDE w:val="0"/>
        <w:autoSpaceDN w:val="0"/>
        <w:spacing w:after="120" w:line="240" w:lineRule="auto"/>
        <w:jc w:val="both"/>
        <w:rPr>
          <w:rFonts w:asciiTheme="minorHAnsi" w:hAnsiTheme="minorHAnsi" w:cstheme="minorHAnsi"/>
          <w:b/>
          <w:bCs/>
        </w:rPr>
      </w:pPr>
      <w:r w:rsidRPr="007D56C9">
        <w:rPr>
          <w:rFonts w:asciiTheme="minorHAnsi" w:hAnsiTheme="minorHAnsi" w:cstheme="minorHAnsi"/>
          <w:b/>
          <w:bCs/>
        </w:rPr>
        <w:t xml:space="preserve">First Court Event </w:t>
      </w:r>
    </w:p>
    <w:p w14:paraId="6341E12B" w14:textId="715255C2" w:rsidR="00935015" w:rsidRPr="007D56C9" w:rsidRDefault="00935015" w:rsidP="00935015">
      <w:pPr>
        <w:pStyle w:val="ListParagraph"/>
        <w:autoSpaceDE w:val="0"/>
        <w:autoSpaceDN w:val="0"/>
        <w:spacing w:after="0" w:line="240" w:lineRule="auto"/>
        <w:rPr>
          <w:rFonts w:asciiTheme="minorHAnsi" w:hAnsiTheme="minorHAnsi" w:cstheme="minorHAnsi"/>
          <w:sz w:val="20"/>
          <w:szCs w:val="20"/>
          <w:lang w:eastAsia="en-AU"/>
        </w:rPr>
      </w:pPr>
      <w:r w:rsidRPr="007D56C9">
        <w:rPr>
          <w:rFonts w:asciiTheme="minorHAnsi" w:hAnsiTheme="minorHAnsi" w:cstheme="minorHAnsi"/>
          <w:b/>
          <w:bCs/>
        </w:rPr>
        <w:t>Type of event:</w:t>
      </w:r>
      <w:r w:rsidRPr="007D56C9">
        <w:rPr>
          <w:rFonts w:asciiTheme="minorHAnsi" w:hAnsiTheme="minorHAnsi" w:cstheme="minorHAnsi"/>
        </w:rPr>
        <w:t xml:space="preserve"> </w:t>
      </w:r>
      <w:r w:rsidR="008257C1">
        <w:rPr>
          <w:rFonts w:asciiTheme="minorHAnsi" w:hAnsiTheme="minorHAnsi" w:cstheme="minorHAnsi"/>
        </w:rPr>
        <w:t>D</w:t>
      </w:r>
      <w:r w:rsidRPr="007D56C9">
        <w:rPr>
          <w:rFonts w:asciiTheme="minorHAnsi" w:hAnsiTheme="minorHAnsi" w:cstheme="minorHAnsi"/>
        </w:rPr>
        <w:t>irections hearing before a Judicial Registrar</w:t>
      </w:r>
      <w:r w:rsidR="008257C1">
        <w:rPr>
          <w:rFonts w:asciiTheme="minorHAnsi" w:hAnsiTheme="minorHAnsi" w:cstheme="minorHAnsi"/>
        </w:rPr>
        <w:t>.</w:t>
      </w:r>
    </w:p>
    <w:p w14:paraId="71680D1A" w14:textId="4BA9E4BE" w:rsidR="00935015" w:rsidRPr="007D56C9" w:rsidRDefault="00935015" w:rsidP="00935015">
      <w:pPr>
        <w:pStyle w:val="ListParagraph"/>
        <w:autoSpaceDE w:val="0"/>
        <w:autoSpaceDN w:val="0"/>
        <w:spacing w:after="0" w:line="240" w:lineRule="auto"/>
        <w:rPr>
          <w:rFonts w:asciiTheme="minorHAnsi" w:hAnsiTheme="minorHAnsi" w:cstheme="minorHAnsi"/>
        </w:rPr>
      </w:pPr>
      <w:r w:rsidRPr="007D56C9">
        <w:rPr>
          <w:rFonts w:asciiTheme="minorHAnsi" w:hAnsiTheme="minorHAnsi" w:cstheme="minorHAnsi"/>
          <w:b/>
          <w:bCs/>
        </w:rPr>
        <w:t xml:space="preserve">Timeframe: </w:t>
      </w:r>
      <w:r w:rsidRPr="007D56C9">
        <w:rPr>
          <w:rFonts w:asciiTheme="minorHAnsi" w:hAnsiTheme="minorHAnsi" w:cstheme="minorHAnsi"/>
        </w:rPr>
        <w:t>Expected to be within 8 weeks from the date of filing</w:t>
      </w:r>
      <w:r w:rsidR="008257C1">
        <w:rPr>
          <w:rFonts w:asciiTheme="minorHAnsi" w:hAnsiTheme="minorHAnsi" w:cstheme="minorHAnsi"/>
        </w:rPr>
        <w:t>.</w:t>
      </w:r>
    </w:p>
    <w:p w14:paraId="3FCBA085" w14:textId="13C8139C" w:rsidR="00935015" w:rsidRPr="007D56C9" w:rsidRDefault="00935015" w:rsidP="0087523B">
      <w:pPr>
        <w:pStyle w:val="ListParagraph"/>
        <w:autoSpaceDE w:val="0"/>
        <w:autoSpaceDN w:val="0"/>
        <w:spacing w:after="240" w:line="240" w:lineRule="auto"/>
        <w:contextualSpacing w:val="0"/>
        <w:rPr>
          <w:rFonts w:asciiTheme="minorHAnsi" w:hAnsiTheme="minorHAnsi" w:cstheme="minorHAnsi"/>
        </w:rPr>
      </w:pPr>
      <w:r w:rsidRPr="007D56C9">
        <w:rPr>
          <w:rFonts w:asciiTheme="minorHAnsi" w:hAnsiTheme="minorHAnsi" w:cstheme="minorHAnsi"/>
          <w:b/>
          <w:bCs/>
        </w:rPr>
        <w:t xml:space="preserve">Purpose: </w:t>
      </w:r>
      <w:r w:rsidRPr="007D56C9">
        <w:rPr>
          <w:rFonts w:asciiTheme="minorHAnsi" w:hAnsiTheme="minorHAnsi" w:cstheme="minorHAnsi"/>
        </w:rPr>
        <w:t xml:space="preserve">To assess and triage the matter and make appropriate </w:t>
      </w:r>
      <w:r w:rsidR="008257C1">
        <w:rPr>
          <w:rFonts w:asciiTheme="minorHAnsi" w:hAnsiTheme="minorHAnsi" w:cstheme="minorHAnsi"/>
        </w:rPr>
        <w:t>c</w:t>
      </w:r>
      <w:r w:rsidRPr="007D56C9">
        <w:rPr>
          <w:rFonts w:asciiTheme="minorHAnsi" w:hAnsiTheme="minorHAnsi" w:cstheme="minorHAnsi"/>
        </w:rPr>
        <w:t xml:space="preserve">ourt </w:t>
      </w:r>
      <w:r w:rsidR="008257C1">
        <w:rPr>
          <w:rFonts w:asciiTheme="minorHAnsi" w:hAnsiTheme="minorHAnsi" w:cstheme="minorHAnsi"/>
        </w:rPr>
        <w:t>o</w:t>
      </w:r>
      <w:r w:rsidRPr="007D56C9">
        <w:rPr>
          <w:rFonts w:asciiTheme="minorHAnsi" w:hAnsiTheme="minorHAnsi" w:cstheme="minorHAnsi"/>
        </w:rPr>
        <w:t>rders to facilitate the timely disposition of the matter. This will include assessing compliance with all pre-filing requirements, ensuring that all required documents have been filed, assessing the need for an interim hearing and any expert evidence, making directions for dispute resolution and identifying matters which are appropriate for transfer to Division 1. Risk issues will also be considered at this hearing, and cases may be allocated to specialist lists including the Magellan List.</w:t>
      </w:r>
    </w:p>
    <w:p w14:paraId="3BB35067" w14:textId="29E552EC" w:rsidR="00935015" w:rsidRPr="007D56C9" w:rsidRDefault="00935015" w:rsidP="007D56C9">
      <w:pPr>
        <w:pStyle w:val="ListParagraph"/>
        <w:numPr>
          <w:ilvl w:val="0"/>
          <w:numId w:val="5"/>
        </w:numPr>
        <w:autoSpaceDE w:val="0"/>
        <w:autoSpaceDN w:val="0"/>
        <w:spacing w:after="120" w:line="240" w:lineRule="auto"/>
        <w:rPr>
          <w:rFonts w:asciiTheme="minorHAnsi" w:hAnsiTheme="minorHAnsi" w:cstheme="minorHAnsi"/>
          <w:sz w:val="20"/>
          <w:szCs w:val="20"/>
          <w:lang w:eastAsia="en-AU"/>
        </w:rPr>
      </w:pPr>
      <w:r w:rsidRPr="007D56C9">
        <w:rPr>
          <w:rFonts w:asciiTheme="minorHAnsi" w:hAnsiTheme="minorHAnsi" w:cstheme="minorHAnsi"/>
          <w:b/>
          <w:bCs/>
        </w:rPr>
        <w:t>Interim Hearing</w:t>
      </w:r>
      <w:r w:rsidR="00E751BF" w:rsidRPr="007D56C9">
        <w:rPr>
          <w:rFonts w:asciiTheme="minorHAnsi" w:hAnsiTheme="minorHAnsi" w:cstheme="minorHAnsi"/>
          <w:bCs/>
        </w:rPr>
        <w:t xml:space="preserve"> (if required) </w:t>
      </w:r>
      <w:r w:rsidRPr="007D56C9">
        <w:rPr>
          <w:rFonts w:asciiTheme="minorHAnsi" w:hAnsiTheme="minorHAnsi" w:cstheme="minorHAnsi"/>
          <w:b/>
          <w:bCs/>
        </w:rPr>
        <w:br/>
        <w:t>Type of event:</w:t>
      </w:r>
      <w:r w:rsidRPr="007D56C9">
        <w:rPr>
          <w:rFonts w:asciiTheme="minorHAnsi" w:hAnsiTheme="minorHAnsi" w:cstheme="minorHAnsi"/>
        </w:rPr>
        <w:t xml:space="preserve"> </w:t>
      </w:r>
      <w:r w:rsidR="008257C1">
        <w:rPr>
          <w:rFonts w:asciiTheme="minorHAnsi" w:hAnsiTheme="minorHAnsi" w:cstheme="minorHAnsi"/>
        </w:rPr>
        <w:t>H</w:t>
      </w:r>
      <w:r w:rsidRPr="007D56C9">
        <w:rPr>
          <w:rFonts w:asciiTheme="minorHAnsi" w:hAnsiTheme="minorHAnsi" w:cstheme="minorHAnsi"/>
        </w:rPr>
        <w:t>earing before a Senior Judicial Registrar, or if necessary, a Judge</w:t>
      </w:r>
      <w:r w:rsidR="008257C1">
        <w:rPr>
          <w:rFonts w:asciiTheme="minorHAnsi" w:hAnsiTheme="minorHAnsi" w:cstheme="minorHAnsi"/>
        </w:rPr>
        <w:t>.</w:t>
      </w:r>
    </w:p>
    <w:p w14:paraId="69204B51" w14:textId="592165F2" w:rsidR="00935015" w:rsidRPr="007D56C9" w:rsidRDefault="00935015" w:rsidP="00935015">
      <w:pPr>
        <w:pStyle w:val="ListParagraph"/>
        <w:autoSpaceDE w:val="0"/>
        <w:autoSpaceDN w:val="0"/>
        <w:spacing w:after="0" w:line="240" w:lineRule="auto"/>
        <w:rPr>
          <w:rFonts w:asciiTheme="minorHAnsi" w:hAnsiTheme="minorHAnsi" w:cstheme="minorHAnsi"/>
        </w:rPr>
      </w:pPr>
      <w:r w:rsidRPr="007D56C9">
        <w:rPr>
          <w:rFonts w:asciiTheme="minorHAnsi" w:hAnsiTheme="minorHAnsi" w:cstheme="minorHAnsi"/>
          <w:b/>
          <w:bCs/>
        </w:rPr>
        <w:t xml:space="preserve">Timeframe: </w:t>
      </w:r>
      <w:r w:rsidRPr="007D56C9">
        <w:rPr>
          <w:rFonts w:asciiTheme="minorHAnsi" w:hAnsiTheme="minorHAnsi" w:cstheme="minorHAnsi"/>
        </w:rPr>
        <w:t>At an appropriate time having regard to the urgency of the matter and the need to obtain appropriate evidence</w:t>
      </w:r>
      <w:r w:rsidR="008257C1">
        <w:rPr>
          <w:rFonts w:asciiTheme="minorHAnsi" w:hAnsiTheme="minorHAnsi" w:cstheme="minorHAnsi"/>
        </w:rPr>
        <w:t>.</w:t>
      </w:r>
    </w:p>
    <w:p w14:paraId="67229AFF" w14:textId="1B41F9BF" w:rsidR="00935015" w:rsidRPr="007D56C9" w:rsidRDefault="00935015" w:rsidP="0087523B">
      <w:pPr>
        <w:pStyle w:val="ListParagraph"/>
        <w:autoSpaceDE w:val="0"/>
        <w:autoSpaceDN w:val="0"/>
        <w:spacing w:after="240" w:line="240" w:lineRule="auto"/>
        <w:contextualSpacing w:val="0"/>
        <w:rPr>
          <w:rFonts w:asciiTheme="minorHAnsi" w:hAnsiTheme="minorHAnsi" w:cstheme="minorHAnsi"/>
          <w:b/>
          <w:bCs/>
        </w:rPr>
      </w:pPr>
      <w:r w:rsidRPr="007D56C9">
        <w:rPr>
          <w:rFonts w:asciiTheme="minorHAnsi" w:hAnsiTheme="minorHAnsi" w:cstheme="minorHAnsi"/>
          <w:b/>
          <w:bCs/>
        </w:rPr>
        <w:t xml:space="preserve">Purpose: </w:t>
      </w:r>
      <w:r w:rsidRPr="007D56C9">
        <w:rPr>
          <w:rFonts w:asciiTheme="minorHAnsi" w:hAnsiTheme="minorHAnsi" w:cstheme="minorHAnsi"/>
        </w:rPr>
        <w:t xml:space="preserve">Determination of any interim applications </w:t>
      </w:r>
      <w:r w:rsidR="00E912CC" w:rsidRPr="007D56C9">
        <w:rPr>
          <w:rFonts w:asciiTheme="minorHAnsi" w:hAnsiTheme="minorHAnsi" w:cstheme="minorHAnsi"/>
        </w:rPr>
        <w:t>brought by the parties.</w:t>
      </w:r>
    </w:p>
    <w:p w14:paraId="218F027B" w14:textId="085605A1" w:rsidR="00935015" w:rsidRPr="007D56C9" w:rsidRDefault="00935015" w:rsidP="008257C1">
      <w:pPr>
        <w:pStyle w:val="ListParagraph"/>
        <w:numPr>
          <w:ilvl w:val="0"/>
          <w:numId w:val="5"/>
        </w:numPr>
        <w:autoSpaceDE w:val="0"/>
        <w:autoSpaceDN w:val="0"/>
        <w:spacing w:after="0" w:line="240" w:lineRule="auto"/>
        <w:jc w:val="both"/>
        <w:rPr>
          <w:rFonts w:asciiTheme="minorHAnsi" w:hAnsiTheme="minorHAnsi" w:cstheme="minorHAnsi"/>
          <w:b/>
          <w:bCs/>
        </w:rPr>
      </w:pPr>
      <w:r w:rsidRPr="007D56C9">
        <w:rPr>
          <w:rFonts w:asciiTheme="minorHAnsi" w:hAnsiTheme="minorHAnsi" w:cstheme="minorHAnsi"/>
          <w:b/>
          <w:bCs/>
        </w:rPr>
        <w:t xml:space="preserve">Dispute Resolution </w:t>
      </w:r>
    </w:p>
    <w:p w14:paraId="7FDABD72" w14:textId="21D1FDD9" w:rsidR="00935015" w:rsidRPr="007D56C9" w:rsidRDefault="00935015" w:rsidP="008257C1">
      <w:pPr>
        <w:autoSpaceDE w:val="0"/>
        <w:autoSpaceDN w:val="0"/>
        <w:ind w:left="720"/>
        <w:rPr>
          <w:rFonts w:asciiTheme="minorHAnsi" w:hAnsiTheme="minorHAnsi" w:cstheme="minorHAnsi"/>
          <w:sz w:val="22"/>
          <w:szCs w:val="22"/>
        </w:rPr>
      </w:pPr>
      <w:r w:rsidRPr="007D56C9">
        <w:rPr>
          <w:rFonts w:asciiTheme="minorHAnsi" w:hAnsiTheme="minorHAnsi" w:cstheme="minorHAnsi"/>
          <w:b/>
          <w:bCs/>
          <w:sz w:val="22"/>
          <w:szCs w:val="22"/>
        </w:rPr>
        <w:t>Type of event:</w:t>
      </w:r>
      <w:r w:rsidRPr="007D56C9">
        <w:rPr>
          <w:rFonts w:asciiTheme="minorHAnsi" w:hAnsiTheme="minorHAnsi" w:cstheme="minorHAnsi"/>
          <w:sz w:val="22"/>
          <w:szCs w:val="22"/>
        </w:rPr>
        <w:t xml:space="preserve"> </w:t>
      </w:r>
      <w:r w:rsidR="00E912CC" w:rsidRPr="007D56C9">
        <w:rPr>
          <w:rFonts w:asciiTheme="minorHAnsi" w:hAnsiTheme="minorHAnsi" w:cstheme="minorHAnsi"/>
          <w:sz w:val="22"/>
          <w:szCs w:val="22"/>
        </w:rPr>
        <w:t>Dispute resolution event such as mediation, Conciliation Conference or Family Dispute Resolution, conducted either externally or within the Court.</w:t>
      </w:r>
    </w:p>
    <w:p w14:paraId="05A2BDA5" w14:textId="77777777" w:rsidR="00935015" w:rsidRPr="007D56C9" w:rsidRDefault="00935015" w:rsidP="00935015">
      <w:pPr>
        <w:pStyle w:val="ListParagraph"/>
        <w:autoSpaceDE w:val="0"/>
        <w:autoSpaceDN w:val="0"/>
        <w:spacing w:after="0" w:line="240" w:lineRule="auto"/>
        <w:rPr>
          <w:rFonts w:asciiTheme="minorHAnsi" w:hAnsiTheme="minorHAnsi" w:cstheme="minorHAnsi"/>
        </w:rPr>
      </w:pPr>
      <w:r w:rsidRPr="007D56C9">
        <w:rPr>
          <w:rFonts w:asciiTheme="minorHAnsi" w:hAnsiTheme="minorHAnsi" w:cstheme="minorHAnsi"/>
          <w:b/>
          <w:bCs/>
        </w:rPr>
        <w:t>Timeframe:</w:t>
      </w:r>
      <w:r w:rsidRPr="007D56C9">
        <w:rPr>
          <w:rFonts w:asciiTheme="minorHAnsi" w:hAnsiTheme="minorHAnsi" w:cstheme="minorHAnsi"/>
        </w:rPr>
        <w:t xml:space="preserve"> Expected to be within 5 months from date of filing.</w:t>
      </w:r>
    </w:p>
    <w:p w14:paraId="4F5226E7" w14:textId="2163E427" w:rsidR="00935015" w:rsidRPr="007D56C9" w:rsidRDefault="00935015" w:rsidP="0087523B">
      <w:pPr>
        <w:pStyle w:val="ListParagraph"/>
        <w:autoSpaceDE w:val="0"/>
        <w:autoSpaceDN w:val="0"/>
        <w:spacing w:after="240" w:line="240" w:lineRule="auto"/>
        <w:contextualSpacing w:val="0"/>
        <w:rPr>
          <w:rFonts w:asciiTheme="minorHAnsi" w:hAnsiTheme="minorHAnsi" w:cstheme="minorHAnsi"/>
        </w:rPr>
      </w:pPr>
      <w:r w:rsidRPr="007D56C9">
        <w:rPr>
          <w:rFonts w:asciiTheme="minorHAnsi" w:hAnsiTheme="minorHAnsi" w:cstheme="minorHAnsi"/>
          <w:b/>
          <w:bCs/>
        </w:rPr>
        <w:t>Purpose:</w:t>
      </w:r>
      <w:r w:rsidRPr="007D56C9">
        <w:rPr>
          <w:rFonts w:asciiTheme="minorHAnsi" w:hAnsiTheme="minorHAnsi" w:cstheme="minorHAnsi"/>
        </w:rPr>
        <w:t xml:space="preserve">  The FCFCOA pathway places significant </w:t>
      </w:r>
      <w:r w:rsidR="00E912CC" w:rsidRPr="007D56C9">
        <w:rPr>
          <w:rFonts w:asciiTheme="minorHAnsi" w:hAnsiTheme="minorHAnsi" w:cstheme="minorHAnsi"/>
        </w:rPr>
        <w:t>emphasis</w:t>
      </w:r>
      <w:r w:rsidRPr="007D56C9">
        <w:rPr>
          <w:rFonts w:asciiTheme="minorHAnsi" w:hAnsiTheme="minorHAnsi" w:cstheme="minorHAnsi"/>
        </w:rPr>
        <w:t xml:space="preserve"> on dispute resolution. This is designed to </w:t>
      </w:r>
      <w:r w:rsidR="004F4582" w:rsidRPr="007D56C9">
        <w:rPr>
          <w:rFonts w:asciiTheme="minorHAnsi" w:hAnsiTheme="minorHAnsi" w:cstheme="minorHAnsi"/>
        </w:rPr>
        <w:t xml:space="preserve">assist parties to </w:t>
      </w:r>
      <w:r w:rsidRPr="007D56C9">
        <w:rPr>
          <w:rFonts w:asciiTheme="minorHAnsi" w:hAnsiTheme="minorHAnsi" w:cstheme="minorHAnsi"/>
        </w:rPr>
        <w:t xml:space="preserve">resolve </w:t>
      </w:r>
      <w:r w:rsidR="004F4582" w:rsidRPr="007D56C9">
        <w:rPr>
          <w:rFonts w:asciiTheme="minorHAnsi" w:hAnsiTheme="minorHAnsi" w:cstheme="minorHAnsi"/>
        </w:rPr>
        <w:t>their cases and enable them to cease their engagement with the court system whenever this can be done safely</w:t>
      </w:r>
      <w:r w:rsidR="00E912CC" w:rsidRPr="007D56C9">
        <w:rPr>
          <w:rFonts w:asciiTheme="minorHAnsi" w:hAnsiTheme="minorHAnsi" w:cstheme="minorHAnsi"/>
        </w:rPr>
        <w:t>.</w:t>
      </w:r>
    </w:p>
    <w:p w14:paraId="4D2D25D5" w14:textId="14A9AEAB" w:rsidR="00935015" w:rsidRPr="007D56C9" w:rsidRDefault="00935015" w:rsidP="007D56C9">
      <w:pPr>
        <w:pStyle w:val="ListParagraph"/>
        <w:numPr>
          <w:ilvl w:val="0"/>
          <w:numId w:val="5"/>
        </w:numPr>
        <w:autoSpaceDE w:val="0"/>
        <w:autoSpaceDN w:val="0"/>
        <w:spacing w:after="120" w:line="240" w:lineRule="auto"/>
        <w:jc w:val="both"/>
        <w:rPr>
          <w:rFonts w:asciiTheme="minorHAnsi" w:hAnsiTheme="minorHAnsi" w:cstheme="minorHAnsi"/>
          <w:b/>
          <w:bCs/>
        </w:rPr>
      </w:pPr>
      <w:r w:rsidRPr="007D56C9">
        <w:rPr>
          <w:rFonts w:asciiTheme="minorHAnsi" w:hAnsiTheme="minorHAnsi" w:cstheme="minorHAnsi"/>
          <w:b/>
          <w:bCs/>
        </w:rPr>
        <w:t>Compliance and Readiness Hearing</w:t>
      </w:r>
    </w:p>
    <w:p w14:paraId="5811304C" w14:textId="7F636D83" w:rsidR="00935015" w:rsidRPr="007D56C9" w:rsidRDefault="00935015" w:rsidP="00935015">
      <w:pPr>
        <w:pStyle w:val="ListParagraph"/>
        <w:autoSpaceDE w:val="0"/>
        <w:autoSpaceDN w:val="0"/>
        <w:spacing w:after="0" w:line="240" w:lineRule="auto"/>
        <w:rPr>
          <w:rFonts w:asciiTheme="minorHAnsi" w:hAnsiTheme="minorHAnsi" w:cstheme="minorHAnsi"/>
        </w:rPr>
      </w:pPr>
      <w:r w:rsidRPr="007D56C9">
        <w:rPr>
          <w:rFonts w:asciiTheme="minorHAnsi" w:hAnsiTheme="minorHAnsi" w:cstheme="minorHAnsi"/>
          <w:b/>
          <w:bCs/>
        </w:rPr>
        <w:t>Type of event:</w:t>
      </w:r>
      <w:r w:rsidRPr="007D56C9">
        <w:rPr>
          <w:rFonts w:asciiTheme="minorHAnsi" w:hAnsiTheme="minorHAnsi" w:cstheme="minorHAnsi"/>
        </w:rPr>
        <w:t xml:space="preserve"> </w:t>
      </w:r>
      <w:r w:rsidR="004F4582" w:rsidRPr="007D56C9">
        <w:rPr>
          <w:rFonts w:asciiTheme="minorHAnsi" w:hAnsiTheme="minorHAnsi" w:cstheme="minorHAnsi"/>
        </w:rPr>
        <w:t>Compliance</w:t>
      </w:r>
      <w:r w:rsidRPr="007D56C9">
        <w:rPr>
          <w:rFonts w:asciiTheme="minorHAnsi" w:hAnsiTheme="minorHAnsi" w:cstheme="minorHAnsi"/>
        </w:rPr>
        <w:t xml:space="preserve"> hearing before a Judge</w:t>
      </w:r>
      <w:r w:rsidR="004F4582" w:rsidRPr="007D56C9">
        <w:rPr>
          <w:rFonts w:asciiTheme="minorHAnsi" w:hAnsiTheme="minorHAnsi" w:cstheme="minorHAnsi"/>
        </w:rPr>
        <w:t xml:space="preserve"> or Senior Judicial Registrar</w:t>
      </w:r>
      <w:r w:rsidRPr="007D56C9">
        <w:rPr>
          <w:rFonts w:asciiTheme="minorHAnsi" w:hAnsiTheme="minorHAnsi" w:cstheme="minorHAnsi"/>
        </w:rPr>
        <w:t>.</w:t>
      </w:r>
    </w:p>
    <w:p w14:paraId="2676BE3C" w14:textId="3351B59D" w:rsidR="00935015" w:rsidRPr="007D56C9" w:rsidRDefault="00935015" w:rsidP="00935015">
      <w:pPr>
        <w:pStyle w:val="ListParagraph"/>
        <w:autoSpaceDE w:val="0"/>
        <w:autoSpaceDN w:val="0"/>
        <w:spacing w:after="0" w:line="240" w:lineRule="auto"/>
        <w:rPr>
          <w:rFonts w:asciiTheme="minorHAnsi" w:hAnsiTheme="minorHAnsi" w:cstheme="minorHAnsi"/>
        </w:rPr>
      </w:pPr>
      <w:r w:rsidRPr="007D56C9">
        <w:rPr>
          <w:rFonts w:asciiTheme="minorHAnsi" w:hAnsiTheme="minorHAnsi" w:cstheme="minorHAnsi"/>
          <w:b/>
          <w:bCs/>
        </w:rPr>
        <w:t xml:space="preserve">Timeframe: </w:t>
      </w:r>
      <w:r w:rsidR="00E751BF" w:rsidRPr="007D56C9">
        <w:rPr>
          <w:rFonts w:asciiTheme="minorHAnsi" w:hAnsiTheme="minorHAnsi" w:cstheme="minorHAnsi"/>
          <w:bCs/>
        </w:rPr>
        <w:t>F</w:t>
      </w:r>
      <w:r w:rsidRPr="007D56C9">
        <w:rPr>
          <w:rFonts w:asciiTheme="minorHAnsi" w:hAnsiTheme="minorHAnsi" w:cstheme="minorHAnsi"/>
        </w:rPr>
        <w:t>ollowing Dispute Resolution event, and expected to be no later than 6 months from the date of filing.</w:t>
      </w:r>
    </w:p>
    <w:p w14:paraId="346CC97B" w14:textId="7F715DDC" w:rsidR="00935015" w:rsidRPr="007D56C9" w:rsidRDefault="00935015" w:rsidP="0087523B">
      <w:pPr>
        <w:pStyle w:val="ListParagraph"/>
        <w:spacing w:after="240"/>
        <w:contextualSpacing w:val="0"/>
        <w:rPr>
          <w:rFonts w:asciiTheme="minorHAnsi" w:hAnsiTheme="minorHAnsi" w:cstheme="minorHAnsi"/>
        </w:rPr>
      </w:pPr>
      <w:r w:rsidRPr="007D56C9">
        <w:rPr>
          <w:rFonts w:asciiTheme="minorHAnsi" w:hAnsiTheme="minorHAnsi" w:cstheme="minorHAnsi"/>
          <w:b/>
          <w:bCs/>
        </w:rPr>
        <w:t>Purpose:</w:t>
      </w:r>
      <w:r w:rsidRPr="007D56C9">
        <w:rPr>
          <w:rFonts w:asciiTheme="minorHAnsi" w:hAnsiTheme="minorHAnsi" w:cstheme="minorHAnsi"/>
        </w:rPr>
        <w:t xml:space="preserve"> If matters remain unresolved after Dispute Resolution </w:t>
      </w:r>
      <w:r w:rsidR="00E751BF" w:rsidRPr="007D56C9">
        <w:rPr>
          <w:rFonts w:asciiTheme="minorHAnsi" w:hAnsiTheme="minorHAnsi" w:cstheme="minorHAnsi"/>
        </w:rPr>
        <w:t xml:space="preserve">the judicial officer </w:t>
      </w:r>
      <w:r w:rsidR="008257C1">
        <w:rPr>
          <w:rFonts w:asciiTheme="minorHAnsi" w:hAnsiTheme="minorHAnsi" w:cstheme="minorHAnsi"/>
        </w:rPr>
        <w:t xml:space="preserve">presiding over </w:t>
      </w:r>
      <w:r w:rsidRPr="007D56C9">
        <w:rPr>
          <w:rFonts w:asciiTheme="minorHAnsi" w:hAnsiTheme="minorHAnsi" w:cstheme="minorHAnsi"/>
        </w:rPr>
        <w:t>this event</w:t>
      </w:r>
      <w:r w:rsidR="008257C1">
        <w:rPr>
          <w:rFonts w:asciiTheme="minorHAnsi" w:hAnsiTheme="minorHAnsi" w:cstheme="minorHAnsi"/>
        </w:rPr>
        <w:t>,</w:t>
      </w:r>
      <w:r w:rsidRPr="007D56C9">
        <w:rPr>
          <w:rFonts w:asciiTheme="minorHAnsi" w:hAnsiTheme="minorHAnsi" w:cstheme="minorHAnsi"/>
        </w:rPr>
        <w:t xml:space="preserve"> will check to see if parties have complied with </w:t>
      </w:r>
      <w:r w:rsidR="008257C1">
        <w:rPr>
          <w:rFonts w:asciiTheme="minorHAnsi" w:hAnsiTheme="minorHAnsi" w:cstheme="minorHAnsi"/>
        </w:rPr>
        <w:t>c</w:t>
      </w:r>
      <w:r w:rsidRPr="007D56C9">
        <w:rPr>
          <w:rFonts w:asciiTheme="minorHAnsi" w:hAnsiTheme="minorHAnsi" w:cstheme="minorHAnsi"/>
        </w:rPr>
        <w:t xml:space="preserve">ourt </w:t>
      </w:r>
      <w:r w:rsidR="008257C1">
        <w:rPr>
          <w:rFonts w:asciiTheme="minorHAnsi" w:hAnsiTheme="minorHAnsi" w:cstheme="minorHAnsi"/>
        </w:rPr>
        <w:t>o</w:t>
      </w:r>
      <w:r w:rsidRPr="007D56C9">
        <w:rPr>
          <w:rFonts w:asciiTheme="minorHAnsi" w:hAnsiTheme="minorHAnsi" w:cstheme="minorHAnsi"/>
        </w:rPr>
        <w:t>rders and directions</w:t>
      </w:r>
      <w:r w:rsidR="008257C1">
        <w:rPr>
          <w:rFonts w:asciiTheme="minorHAnsi" w:hAnsiTheme="minorHAnsi" w:cstheme="minorHAnsi"/>
        </w:rPr>
        <w:t xml:space="preserve"> to</w:t>
      </w:r>
      <w:r w:rsidRPr="007D56C9">
        <w:rPr>
          <w:rFonts w:asciiTheme="minorHAnsi" w:hAnsiTheme="minorHAnsi" w:cstheme="minorHAnsi"/>
        </w:rPr>
        <w:t xml:space="preserve"> ensure that parties have made a genuine attempt to resolve issues. </w:t>
      </w:r>
      <w:r w:rsidR="00E751BF" w:rsidRPr="007D56C9">
        <w:rPr>
          <w:rFonts w:asciiTheme="minorHAnsi" w:hAnsiTheme="minorHAnsi" w:cstheme="minorHAnsi"/>
        </w:rPr>
        <w:t>This event</w:t>
      </w:r>
      <w:r w:rsidRPr="007D56C9">
        <w:rPr>
          <w:rFonts w:asciiTheme="minorHAnsi" w:hAnsiTheme="minorHAnsi" w:cstheme="minorHAnsi"/>
        </w:rPr>
        <w:t xml:space="preserve"> will involve a robust exploration of the reasons for continuation of the matter and options for bringing it to a conclusion prior to </w:t>
      </w:r>
      <w:r w:rsidRPr="007D56C9">
        <w:rPr>
          <w:rFonts w:asciiTheme="minorHAnsi" w:hAnsiTheme="minorHAnsi" w:cstheme="minorHAnsi"/>
        </w:rPr>
        <w:lastRenderedPageBreak/>
        <w:t xml:space="preserve">trial. Further consideration as to the appropriate Division for each matter will be undertaken at this hearing. </w:t>
      </w:r>
      <w:r w:rsidR="00E751BF" w:rsidRPr="007D56C9">
        <w:rPr>
          <w:rFonts w:asciiTheme="minorHAnsi" w:hAnsiTheme="minorHAnsi" w:cstheme="minorHAnsi"/>
        </w:rPr>
        <w:t>This hearing will be used to allocate a trial date.</w:t>
      </w:r>
    </w:p>
    <w:p w14:paraId="397F2C1C" w14:textId="430A47CE" w:rsidR="00E751BF" w:rsidRPr="007D56C9" w:rsidRDefault="00E751BF" w:rsidP="007D56C9">
      <w:pPr>
        <w:pStyle w:val="ListParagraph"/>
        <w:numPr>
          <w:ilvl w:val="0"/>
          <w:numId w:val="5"/>
        </w:numPr>
        <w:autoSpaceDE w:val="0"/>
        <w:autoSpaceDN w:val="0"/>
        <w:spacing w:after="120" w:line="240" w:lineRule="auto"/>
        <w:jc w:val="both"/>
        <w:rPr>
          <w:rFonts w:asciiTheme="minorHAnsi" w:hAnsiTheme="minorHAnsi" w:cstheme="minorHAnsi"/>
          <w:b/>
          <w:bCs/>
        </w:rPr>
      </w:pPr>
      <w:r w:rsidRPr="007D56C9">
        <w:rPr>
          <w:rFonts w:asciiTheme="minorHAnsi" w:hAnsiTheme="minorHAnsi" w:cstheme="minorHAnsi"/>
          <w:b/>
          <w:bCs/>
        </w:rPr>
        <w:t>Trial Management Hearing</w:t>
      </w:r>
      <w:r w:rsidRPr="007D56C9">
        <w:rPr>
          <w:rFonts w:asciiTheme="minorHAnsi" w:hAnsiTheme="minorHAnsi" w:cstheme="minorHAnsi"/>
          <w:bCs/>
        </w:rPr>
        <w:t xml:space="preserve"> (if required) </w:t>
      </w:r>
    </w:p>
    <w:p w14:paraId="1A6B88FA" w14:textId="316700F9" w:rsidR="00E751BF" w:rsidRPr="007D56C9" w:rsidRDefault="00E751BF" w:rsidP="00E751BF">
      <w:pPr>
        <w:pStyle w:val="ListParagraph"/>
        <w:autoSpaceDE w:val="0"/>
        <w:autoSpaceDN w:val="0"/>
        <w:spacing w:after="120" w:line="240" w:lineRule="auto"/>
        <w:jc w:val="both"/>
        <w:rPr>
          <w:rFonts w:asciiTheme="minorHAnsi" w:hAnsiTheme="minorHAnsi" w:cstheme="minorHAnsi"/>
          <w:b/>
          <w:bCs/>
        </w:rPr>
      </w:pPr>
      <w:r w:rsidRPr="007D56C9">
        <w:rPr>
          <w:rFonts w:asciiTheme="minorHAnsi" w:hAnsiTheme="minorHAnsi" w:cstheme="minorHAnsi"/>
          <w:b/>
          <w:bCs/>
        </w:rPr>
        <w:t xml:space="preserve">Type of event: </w:t>
      </w:r>
      <w:r w:rsidRPr="007D56C9">
        <w:rPr>
          <w:rFonts w:asciiTheme="minorHAnsi" w:hAnsiTheme="minorHAnsi" w:cstheme="minorHAnsi"/>
          <w:bCs/>
        </w:rPr>
        <w:t xml:space="preserve">Directions hearing before the allocated trial Judge. </w:t>
      </w:r>
    </w:p>
    <w:p w14:paraId="49E20D01" w14:textId="47BD09C7" w:rsidR="00E751BF" w:rsidRPr="007D56C9" w:rsidRDefault="00E751BF" w:rsidP="00E751BF">
      <w:pPr>
        <w:pStyle w:val="ListParagraph"/>
        <w:autoSpaceDE w:val="0"/>
        <w:autoSpaceDN w:val="0"/>
        <w:spacing w:after="0" w:line="240" w:lineRule="auto"/>
        <w:rPr>
          <w:rFonts w:asciiTheme="minorHAnsi" w:hAnsiTheme="minorHAnsi" w:cstheme="minorHAnsi"/>
        </w:rPr>
      </w:pPr>
      <w:r w:rsidRPr="007D56C9">
        <w:rPr>
          <w:rFonts w:asciiTheme="minorHAnsi" w:hAnsiTheme="minorHAnsi" w:cstheme="minorHAnsi"/>
          <w:b/>
          <w:bCs/>
        </w:rPr>
        <w:t xml:space="preserve">Timeframe: </w:t>
      </w:r>
      <w:r w:rsidRPr="007D56C9">
        <w:rPr>
          <w:rFonts w:asciiTheme="minorHAnsi" w:hAnsiTheme="minorHAnsi" w:cstheme="minorHAnsi"/>
          <w:bCs/>
        </w:rPr>
        <w:t>Prior to commencement of trial, if considered appropriate by trial Judge</w:t>
      </w:r>
      <w:r w:rsidRPr="007D56C9">
        <w:rPr>
          <w:rFonts w:asciiTheme="minorHAnsi" w:hAnsiTheme="minorHAnsi" w:cstheme="minorHAnsi"/>
        </w:rPr>
        <w:t>.</w:t>
      </w:r>
    </w:p>
    <w:p w14:paraId="0203E782" w14:textId="01CD2A0C" w:rsidR="00E751BF" w:rsidRPr="007D56C9" w:rsidRDefault="00E751BF" w:rsidP="0087523B">
      <w:pPr>
        <w:pStyle w:val="ListParagraph"/>
        <w:autoSpaceDE w:val="0"/>
        <w:autoSpaceDN w:val="0"/>
        <w:spacing w:after="240" w:line="240" w:lineRule="auto"/>
        <w:contextualSpacing w:val="0"/>
        <w:jc w:val="both"/>
        <w:rPr>
          <w:rFonts w:asciiTheme="minorHAnsi" w:hAnsiTheme="minorHAnsi" w:cstheme="minorHAnsi"/>
          <w:bCs/>
        </w:rPr>
      </w:pPr>
      <w:r w:rsidRPr="007D56C9">
        <w:rPr>
          <w:rFonts w:asciiTheme="minorHAnsi" w:hAnsiTheme="minorHAnsi" w:cstheme="minorHAnsi"/>
          <w:b/>
          <w:bCs/>
        </w:rPr>
        <w:t>Purpose:</w:t>
      </w:r>
      <w:r w:rsidR="007D56C9">
        <w:rPr>
          <w:rFonts w:asciiTheme="minorHAnsi" w:hAnsiTheme="minorHAnsi" w:cstheme="minorHAnsi"/>
          <w:b/>
          <w:bCs/>
        </w:rPr>
        <w:t xml:space="preserve"> </w:t>
      </w:r>
      <w:r w:rsidR="007D56C9" w:rsidRPr="007D56C9">
        <w:rPr>
          <w:rFonts w:asciiTheme="minorHAnsi" w:hAnsiTheme="minorHAnsi" w:cstheme="minorHAnsi"/>
          <w:bCs/>
        </w:rPr>
        <w:t>T</w:t>
      </w:r>
      <w:r w:rsidRPr="007D56C9">
        <w:rPr>
          <w:rFonts w:asciiTheme="minorHAnsi" w:hAnsiTheme="minorHAnsi" w:cstheme="minorHAnsi"/>
          <w:bCs/>
        </w:rPr>
        <w:t>he making of any further orders and directions as considered necessary or appropriate by the trial Judge.</w:t>
      </w:r>
    </w:p>
    <w:p w14:paraId="0A8FA445" w14:textId="2669877A" w:rsidR="00935015" w:rsidRPr="007D56C9" w:rsidRDefault="00935015" w:rsidP="007D56C9">
      <w:pPr>
        <w:pStyle w:val="ListParagraph"/>
        <w:numPr>
          <w:ilvl w:val="0"/>
          <w:numId w:val="5"/>
        </w:numPr>
        <w:autoSpaceDE w:val="0"/>
        <w:autoSpaceDN w:val="0"/>
        <w:spacing w:after="120" w:line="240" w:lineRule="auto"/>
        <w:jc w:val="both"/>
        <w:rPr>
          <w:rFonts w:asciiTheme="minorHAnsi" w:hAnsiTheme="minorHAnsi" w:cstheme="minorHAnsi"/>
          <w:b/>
          <w:bCs/>
        </w:rPr>
      </w:pPr>
      <w:r w:rsidRPr="007D56C9">
        <w:rPr>
          <w:rFonts w:asciiTheme="minorHAnsi" w:hAnsiTheme="minorHAnsi" w:cstheme="minorHAnsi"/>
          <w:b/>
          <w:bCs/>
        </w:rPr>
        <w:t>Trial</w:t>
      </w:r>
    </w:p>
    <w:p w14:paraId="439DA13D" w14:textId="040DE695" w:rsidR="00935015" w:rsidRPr="007D56C9" w:rsidRDefault="00935015" w:rsidP="00935015">
      <w:pPr>
        <w:pStyle w:val="ListParagraph"/>
        <w:autoSpaceDE w:val="0"/>
        <w:autoSpaceDN w:val="0"/>
        <w:spacing w:after="0" w:line="240" w:lineRule="auto"/>
        <w:rPr>
          <w:rFonts w:asciiTheme="minorHAnsi" w:hAnsiTheme="minorHAnsi" w:cstheme="minorHAnsi"/>
        </w:rPr>
      </w:pPr>
      <w:r w:rsidRPr="007D56C9">
        <w:rPr>
          <w:rFonts w:asciiTheme="minorHAnsi" w:hAnsiTheme="minorHAnsi" w:cstheme="minorHAnsi"/>
          <w:b/>
          <w:bCs/>
        </w:rPr>
        <w:t>Type of event:</w:t>
      </w:r>
      <w:r w:rsidR="00E751BF" w:rsidRPr="007D56C9">
        <w:rPr>
          <w:rFonts w:asciiTheme="minorHAnsi" w:hAnsiTheme="minorHAnsi" w:cstheme="minorHAnsi"/>
        </w:rPr>
        <w:t xml:space="preserve"> Final hearing. </w:t>
      </w:r>
    </w:p>
    <w:p w14:paraId="113F8784" w14:textId="03BC68F3" w:rsidR="00935015" w:rsidRPr="007D56C9" w:rsidRDefault="00935015" w:rsidP="00935015">
      <w:pPr>
        <w:pStyle w:val="ListParagraph"/>
        <w:autoSpaceDE w:val="0"/>
        <w:autoSpaceDN w:val="0"/>
        <w:spacing w:after="0" w:line="240" w:lineRule="auto"/>
        <w:rPr>
          <w:rFonts w:asciiTheme="minorHAnsi" w:hAnsiTheme="minorHAnsi" w:cstheme="minorHAnsi"/>
        </w:rPr>
      </w:pPr>
      <w:r w:rsidRPr="007D56C9">
        <w:rPr>
          <w:rFonts w:asciiTheme="minorHAnsi" w:hAnsiTheme="minorHAnsi" w:cstheme="minorHAnsi"/>
          <w:b/>
          <w:bCs/>
        </w:rPr>
        <w:t>Timeframe:</w:t>
      </w:r>
      <w:r w:rsidRPr="007D56C9">
        <w:rPr>
          <w:rFonts w:asciiTheme="minorHAnsi" w:hAnsiTheme="minorHAnsi" w:cstheme="minorHAnsi"/>
        </w:rPr>
        <w:t xml:space="preserve"> The aim is for matters that have not resolved, and require a trial, to be listed within 12 months from the date of filing. This may be subject to the parties complying with relevant orders and directions.</w:t>
      </w:r>
    </w:p>
    <w:p w14:paraId="4B2F06BD" w14:textId="40F8562E" w:rsidR="00654C6F" w:rsidRDefault="00935015" w:rsidP="0087523B">
      <w:pPr>
        <w:ind w:left="720"/>
        <w:jc w:val="both"/>
        <w:rPr>
          <w:rFonts w:asciiTheme="minorHAnsi" w:hAnsiTheme="minorHAnsi" w:cstheme="minorHAnsi"/>
          <w:sz w:val="22"/>
          <w:szCs w:val="22"/>
        </w:rPr>
      </w:pPr>
      <w:r w:rsidRPr="007D56C9">
        <w:rPr>
          <w:rFonts w:asciiTheme="minorHAnsi" w:hAnsiTheme="minorHAnsi" w:cstheme="minorHAnsi"/>
          <w:b/>
          <w:bCs/>
          <w:sz w:val="22"/>
          <w:szCs w:val="22"/>
        </w:rPr>
        <w:t>Purpose:</w:t>
      </w:r>
      <w:r w:rsidRPr="007D56C9">
        <w:rPr>
          <w:rFonts w:asciiTheme="minorHAnsi" w:hAnsiTheme="minorHAnsi" w:cstheme="minorHAnsi"/>
          <w:sz w:val="22"/>
          <w:szCs w:val="22"/>
        </w:rPr>
        <w:t xml:space="preserve"> </w:t>
      </w:r>
      <w:r w:rsidR="00E751BF" w:rsidRPr="007D56C9">
        <w:rPr>
          <w:rFonts w:asciiTheme="minorHAnsi" w:hAnsiTheme="minorHAnsi" w:cstheme="minorHAnsi"/>
          <w:sz w:val="22"/>
          <w:szCs w:val="22"/>
        </w:rPr>
        <w:t>Determination of outstanding applications</w:t>
      </w:r>
      <w:r w:rsidRPr="007D56C9">
        <w:rPr>
          <w:rFonts w:asciiTheme="minorHAnsi" w:hAnsiTheme="minorHAnsi" w:cstheme="minorHAnsi"/>
          <w:sz w:val="22"/>
          <w:szCs w:val="22"/>
        </w:rPr>
        <w:t>.</w:t>
      </w:r>
    </w:p>
    <w:p w14:paraId="5BB6AED3" w14:textId="7E6B2931" w:rsidR="00D771F0" w:rsidRPr="0087523B" w:rsidRDefault="00D771F0" w:rsidP="0087523B">
      <w:pPr>
        <w:pStyle w:val="Heading3"/>
      </w:pPr>
      <w:r w:rsidRPr="0087523B">
        <w:t xml:space="preserve">Change to </w:t>
      </w:r>
      <w:r w:rsidR="00870CBF" w:rsidRPr="0087523B">
        <w:t>Child Dispute Services and Family Consultants</w:t>
      </w:r>
    </w:p>
    <w:p w14:paraId="7892FAF9" w14:textId="36A50C09" w:rsidR="00F63881" w:rsidRDefault="00F63881" w:rsidP="0087523B">
      <w:pPr>
        <w:shd w:val="clear" w:color="auto" w:fill="FFFFFF"/>
        <w:spacing w:after="240"/>
        <w:rPr>
          <w:rFonts w:asciiTheme="minorHAnsi" w:hAnsiTheme="minorHAnsi" w:cstheme="minorHAnsi"/>
          <w:sz w:val="22"/>
          <w:szCs w:val="22"/>
          <w:lang w:val="en-US" w:eastAsia="en-GB"/>
        </w:rPr>
      </w:pPr>
      <w:r w:rsidRPr="00F63881">
        <w:rPr>
          <w:rFonts w:asciiTheme="minorHAnsi" w:hAnsiTheme="minorHAnsi" w:cstheme="minorHAnsi"/>
          <w:sz w:val="22"/>
          <w:szCs w:val="22"/>
        </w:rPr>
        <w:t>From 1 September, t</w:t>
      </w:r>
      <w:r w:rsidR="00D771F0" w:rsidRPr="00F63881">
        <w:rPr>
          <w:rFonts w:asciiTheme="minorHAnsi" w:hAnsiTheme="minorHAnsi" w:cstheme="minorHAnsi"/>
          <w:sz w:val="22"/>
          <w:szCs w:val="22"/>
        </w:rPr>
        <w:t>he Courts</w:t>
      </w:r>
      <w:r w:rsidRPr="00F63881">
        <w:rPr>
          <w:rFonts w:asciiTheme="minorHAnsi" w:hAnsiTheme="minorHAnsi" w:cstheme="minorHAnsi"/>
          <w:sz w:val="22"/>
          <w:szCs w:val="22"/>
        </w:rPr>
        <w:t>’</w:t>
      </w:r>
      <w:r w:rsidR="00D771F0" w:rsidRPr="00F63881">
        <w:rPr>
          <w:rFonts w:asciiTheme="minorHAnsi" w:hAnsiTheme="minorHAnsi" w:cstheme="minorHAnsi"/>
          <w:sz w:val="22"/>
          <w:szCs w:val="22"/>
        </w:rPr>
        <w:t xml:space="preserve"> Child Dispute Services will become known as the Court Children’s Service (CCS)</w:t>
      </w:r>
      <w:r w:rsidRPr="00F63881">
        <w:rPr>
          <w:rFonts w:asciiTheme="minorHAnsi" w:hAnsiTheme="minorHAnsi" w:cstheme="minorHAnsi"/>
          <w:sz w:val="22"/>
          <w:szCs w:val="22"/>
        </w:rPr>
        <w:t>, and t</w:t>
      </w:r>
      <w:r w:rsidRPr="00F63881">
        <w:rPr>
          <w:rFonts w:asciiTheme="minorHAnsi" w:hAnsiTheme="minorHAnsi" w:cstheme="minorHAnsi"/>
          <w:sz w:val="22"/>
          <w:szCs w:val="22"/>
          <w:lang w:val="en-US" w:eastAsia="en-GB"/>
        </w:rPr>
        <w:t>he Courts’ on-staff psychologists and social workers will be renamed Court Child Experts to reflect the broadening of their duties to those of both family consultant and family counsellor as defined in the Family Law Act.</w:t>
      </w:r>
    </w:p>
    <w:p w14:paraId="39B31792" w14:textId="41F07818" w:rsidR="00F63881" w:rsidRPr="00F63881" w:rsidRDefault="00F63881" w:rsidP="0087523B">
      <w:pPr>
        <w:shd w:val="clear" w:color="auto" w:fill="FFFFFF"/>
        <w:spacing w:after="240"/>
        <w:rPr>
          <w:rFonts w:asciiTheme="minorHAnsi" w:hAnsiTheme="minorHAnsi" w:cstheme="minorHAnsi"/>
          <w:sz w:val="22"/>
          <w:szCs w:val="22"/>
          <w:lang w:val="en-US" w:eastAsia="en-GB"/>
        </w:rPr>
      </w:pPr>
      <w:r w:rsidRPr="00F63881">
        <w:rPr>
          <w:rFonts w:asciiTheme="minorHAnsi" w:hAnsiTheme="minorHAnsi" w:cstheme="minorHAnsi"/>
          <w:sz w:val="22"/>
          <w:szCs w:val="22"/>
          <w:lang w:val="en-US" w:eastAsia="en-GB"/>
        </w:rPr>
        <w:t>If input from a Court Child Expert is necessary at an early stage of proceedings, the report prepared will be a Child Impact Report. This new style of report will seek to:</w:t>
      </w:r>
    </w:p>
    <w:p w14:paraId="269C1249" w14:textId="77777777" w:rsidR="00F63881" w:rsidRPr="00F63881" w:rsidRDefault="00F63881" w:rsidP="0087523B">
      <w:pPr>
        <w:numPr>
          <w:ilvl w:val="0"/>
          <w:numId w:val="13"/>
        </w:numPr>
        <w:shd w:val="clear" w:color="auto" w:fill="FFFFFF"/>
        <w:rPr>
          <w:rFonts w:asciiTheme="minorHAnsi" w:hAnsiTheme="minorHAnsi" w:cstheme="minorHAnsi"/>
          <w:sz w:val="22"/>
          <w:szCs w:val="22"/>
          <w:lang w:eastAsia="en-GB"/>
        </w:rPr>
      </w:pPr>
      <w:r w:rsidRPr="00F63881">
        <w:rPr>
          <w:rFonts w:asciiTheme="minorHAnsi" w:hAnsiTheme="minorHAnsi" w:cstheme="minorHAnsi"/>
          <w:sz w:val="22"/>
          <w:szCs w:val="22"/>
          <w:lang w:eastAsia="en-GB"/>
        </w:rPr>
        <w:t>Focus the parties on the impact the dispute is having on the child/ren</w:t>
      </w:r>
    </w:p>
    <w:p w14:paraId="4C76309E" w14:textId="77777777" w:rsidR="00F63881" w:rsidRPr="00F63881" w:rsidRDefault="00F63881" w:rsidP="0087523B">
      <w:pPr>
        <w:numPr>
          <w:ilvl w:val="0"/>
          <w:numId w:val="13"/>
        </w:numPr>
        <w:shd w:val="clear" w:color="auto" w:fill="FFFFFF"/>
        <w:rPr>
          <w:rFonts w:asciiTheme="minorHAnsi" w:hAnsiTheme="minorHAnsi" w:cstheme="minorHAnsi"/>
          <w:sz w:val="22"/>
          <w:szCs w:val="22"/>
          <w:lang w:eastAsia="en-GB"/>
        </w:rPr>
      </w:pPr>
      <w:r w:rsidRPr="00F63881">
        <w:rPr>
          <w:rFonts w:asciiTheme="minorHAnsi" w:hAnsiTheme="minorHAnsi" w:cstheme="minorHAnsi"/>
          <w:sz w:val="22"/>
          <w:szCs w:val="22"/>
          <w:lang w:eastAsia="en-GB"/>
        </w:rPr>
        <w:t>Give a voice to the child at the early stage of proceedings</w:t>
      </w:r>
    </w:p>
    <w:p w14:paraId="6D33FCC8" w14:textId="77777777" w:rsidR="00F63881" w:rsidRPr="00F63881" w:rsidRDefault="00F63881" w:rsidP="0087523B">
      <w:pPr>
        <w:numPr>
          <w:ilvl w:val="0"/>
          <w:numId w:val="13"/>
        </w:numPr>
        <w:shd w:val="clear" w:color="auto" w:fill="FFFFFF"/>
        <w:rPr>
          <w:rFonts w:asciiTheme="minorHAnsi" w:hAnsiTheme="minorHAnsi" w:cstheme="minorHAnsi"/>
          <w:sz w:val="22"/>
          <w:szCs w:val="22"/>
          <w:lang w:eastAsia="en-GB"/>
        </w:rPr>
      </w:pPr>
      <w:r w:rsidRPr="00F63881">
        <w:rPr>
          <w:rFonts w:asciiTheme="minorHAnsi" w:hAnsiTheme="minorHAnsi" w:cstheme="minorHAnsi"/>
          <w:sz w:val="22"/>
          <w:szCs w:val="22"/>
          <w:lang w:eastAsia="en-GB"/>
        </w:rPr>
        <w:t>Inform the dispute resolution event</w:t>
      </w:r>
    </w:p>
    <w:p w14:paraId="7E756742" w14:textId="26EF8413" w:rsidR="00F63881" w:rsidRPr="00F63881" w:rsidRDefault="00F63881" w:rsidP="0087523B">
      <w:pPr>
        <w:numPr>
          <w:ilvl w:val="0"/>
          <w:numId w:val="13"/>
        </w:numPr>
        <w:shd w:val="clear" w:color="auto" w:fill="FFFFFF"/>
        <w:rPr>
          <w:rFonts w:asciiTheme="minorHAnsi" w:hAnsiTheme="minorHAnsi" w:cstheme="minorHAnsi"/>
          <w:sz w:val="22"/>
          <w:szCs w:val="22"/>
          <w:lang w:eastAsia="en-GB"/>
        </w:rPr>
      </w:pPr>
      <w:r w:rsidRPr="00F63881">
        <w:rPr>
          <w:rFonts w:asciiTheme="minorHAnsi" w:hAnsiTheme="minorHAnsi" w:cstheme="minorHAnsi"/>
          <w:sz w:val="22"/>
          <w:szCs w:val="22"/>
          <w:lang w:eastAsia="en-GB"/>
        </w:rPr>
        <w:t>Provide evidence for an interim hearing where necessary, and</w:t>
      </w:r>
    </w:p>
    <w:p w14:paraId="790750AD" w14:textId="099A035E" w:rsidR="00F63881" w:rsidRPr="00F63881" w:rsidRDefault="00F63881" w:rsidP="0087523B">
      <w:pPr>
        <w:numPr>
          <w:ilvl w:val="0"/>
          <w:numId w:val="13"/>
        </w:numPr>
        <w:shd w:val="clear" w:color="auto" w:fill="FFFFFF"/>
        <w:spacing w:after="240"/>
        <w:rPr>
          <w:rFonts w:asciiTheme="minorHAnsi" w:hAnsiTheme="minorHAnsi" w:cstheme="minorHAnsi"/>
          <w:strike/>
          <w:sz w:val="22"/>
          <w:szCs w:val="22"/>
          <w:lang w:eastAsia="en-GB"/>
        </w:rPr>
      </w:pPr>
      <w:r w:rsidRPr="00F63881">
        <w:rPr>
          <w:rFonts w:asciiTheme="minorHAnsi" w:hAnsiTheme="minorHAnsi" w:cstheme="minorHAnsi"/>
          <w:sz w:val="22"/>
          <w:szCs w:val="22"/>
          <w:lang w:eastAsia="en-GB"/>
        </w:rPr>
        <w:t>Assist the Court in identifying what evidence is required for trial.</w:t>
      </w:r>
    </w:p>
    <w:p w14:paraId="58DBD3C0" w14:textId="3DB16461" w:rsidR="00F63881" w:rsidRPr="00F63881" w:rsidRDefault="00F63881" w:rsidP="0087523B">
      <w:pPr>
        <w:shd w:val="clear" w:color="auto" w:fill="FFFFFF"/>
        <w:rPr>
          <w:rFonts w:asciiTheme="minorHAnsi" w:hAnsiTheme="minorHAnsi" w:cstheme="minorHAnsi"/>
          <w:sz w:val="22"/>
          <w:szCs w:val="22"/>
          <w:lang w:val="en-US" w:eastAsia="en-GB"/>
        </w:rPr>
      </w:pPr>
      <w:r w:rsidRPr="00F63881">
        <w:rPr>
          <w:rFonts w:asciiTheme="minorHAnsi" w:hAnsiTheme="minorHAnsi" w:cstheme="minorHAnsi"/>
          <w:sz w:val="22"/>
          <w:szCs w:val="22"/>
          <w:lang w:val="en-US" w:eastAsia="en-GB"/>
        </w:rPr>
        <w:t>At the later stage, and if dispute resolution was not appropriate or was unsuccessful, a further report may be ordered and prepared. The types of reports that will be completed at this stage of proceedings will be:</w:t>
      </w:r>
    </w:p>
    <w:p w14:paraId="04574552" w14:textId="0EA65AEB" w:rsidR="00F63881" w:rsidRPr="00F63881" w:rsidRDefault="00F63881" w:rsidP="0087523B">
      <w:pPr>
        <w:pStyle w:val="ListParagraph"/>
        <w:numPr>
          <w:ilvl w:val="0"/>
          <w:numId w:val="13"/>
        </w:numPr>
        <w:shd w:val="clear" w:color="auto" w:fill="FFFFFF"/>
        <w:spacing w:after="0" w:line="240" w:lineRule="auto"/>
        <w:rPr>
          <w:rFonts w:asciiTheme="minorHAnsi" w:hAnsiTheme="minorHAnsi" w:cstheme="minorHAnsi"/>
          <w:lang w:val="en-US" w:eastAsia="en-GB"/>
        </w:rPr>
      </w:pPr>
      <w:r w:rsidRPr="00F63881">
        <w:rPr>
          <w:rFonts w:asciiTheme="minorHAnsi" w:hAnsiTheme="minorHAnsi" w:cstheme="minorHAnsi"/>
          <w:lang w:val="en-US" w:eastAsia="en-GB"/>
        </w:rPr>
        <w:t>A Family Report as is currently prepared,</w:t>
      </w:r>
    </w:p>
    <w:p w14:paraId="230B02BA" w14:textId="48367382" w:rsidR="00F63881" w:rsidRPr="00F63881" w:rsidRDefault="00F63881" w:rsidP="0087523B">
      <w:pPr>
        <w:pStyle w:val="ListParagraph"/>
        <w:numPr>
          <w:ilvl w:val="0"/>
          <w:numId w:val="13"/>
        </w:numPr>
        <w:shd w:val="clear" w:color="auto" w:fill="FFFFFF"/>
        <w:spacing w:after="0" w:line="240" w:lineRule="auto"/>
        <w:rPr>
          <w:rFonts w:asciiTheme="minorHAnsi" w:hAnsiTheme="minorHAnsi" w:cstheme="minorHAnsi"/>
          <w:lang w:val="en-US" w:eastAsia="en-GB"/>
        </w:rPr>
      </w:pPr>
      <w:r w:rsidRPr="00F63881">
        <w:rPr>
          <w:rFonts w:asciiTheme="minorHAnsi" w:hAnsiTheme="minorHAnsi" w:cstheme="minorHAnsi"/>
          <w:lang w:val="en-US" w:eastAsia="en-GB"/>
        </w:rPr>
        <w:t>A Specific Issues Report – if only circumscribed issues remain outstanding, and</w:t>
      </w:r>
    </w:p>
    <w:p w14:paraId="78746C4A" w14:textId="77777777" w:rsidR="00F63881" w:rsidRPr="00F63881" w:rsidRDefault="00F63881" w:rsidP="0087523B">
      <w:pPr>
        <w:pStyle w:val="ListParagraph"/>
        <w:numPr>
          <w:ilvl w:val="0"/>
          <w:numId w:val="13"/>
        </w:numPr>
        <w:shd w:val="clear" w:color="auto" w:fill="FFFFFF"/>
        <w:spacing w:after="240" w:line="240" w:lineRule="auto"/>
        <w:contextualSpacing w:val="0"/>
        <w:rPr>
          <w:rFonts w:asciiTheme="minorHAnsi" w:hAnsiTheme="minorHAnsi" w:cstheme="minorHAnsi"/>
          <w:lang w:val="en-US" w:eastAsia="en-GB"/>
        </w:rPr>
      </w:pPr>
      <w:r w:rsidRPr="00F63881">
        <w:rPr>
          <w:rFonts w:asciiTheme="minorHAnsi" w:hAnsiTheme="minorHAnsi" w:cstheme="minorHAnsi"/>
          <w:lang w:val="en-US" w:eastAsia="en-GB"/>
        </w:rPr>
        <w:t>A Child Impact Addendum Report – building on the Child Impact Report where necessary.</w:t>
      </w:r>
    </w:p>
    <w:p w14:paraId="256B411B" w14:textId="3764CA5B" w:rsidR="00F63881" w:rsidRPr="00F63881" w:rsidRDefault="00F63881" w:rsidP="0087523B">
      <w:pPr>
        <w:shd w:val="clear" w:color="auto" w:fill="FFFFFF"/>
        <w:spacing w:after="240"/>
        <w:rPr>
          <w:rFonts w:asciiTheme="minorHAnsi" w:hAnsiTheme="minorHAnsi" w:cstheme="minorHAnsi"/>
          <w:sz w:val="22"/>
          <w:szCs w:val="22"/>
          <w:lang w:val="en-US" w:eastAsia="en-GB"/>
        </w:rPr>
      </w:pPr>
      <w:r w:rsidRPr="00F63881">
        <w:rPr>
          <w:rFonts w:asciiTheme="minorHAnsi" w:hAnsiTheme="minorHAnsi" w:cstheme="minorHAnsi"/>
          <w:sz w:val="22"/>
          <w:szCs w:val="22"/>
          <w:lang w:val="en-US" w:eastAsia="en-GB"/>
        </w:rPr>
        <w:t xml:space="preserve">These later stage reports will only be ordered and released in preparation for a trial, so that the Court’s resources are used as efficiently and effectively as possible.  Parties, and their legal representatives, should not expect to receive updated or additional family reports where they are not necessary. </w:t>
      </w:r>
    </w:p>
    <w:p w14:paraId="1EAD63C8" w14:textId="09ECB14E" w:rsidR="00F63881" w:rsidRPr="00F63881" w:rsidRDefault="00F63881" w:rsidP="0087523B">
      <w:pPr>
        <w:shd w:val="clear" w:color="auto" w:fill="FFFFFF"/>
        <w:spacing w:after="240"/>
        <w:rPr>
          <w:rFonts w:asciiTheme="minorHAnsi" w:hAnsiTheme="minorHAnsi" w:cstheme="minorHAnsi"/>
          <w:sz w:val="22"/>
          <w:szCs w:val="22"/>
          <w:lang w:val="en-US" w:eastAsia="en-GB"/>
        </w:rPr>
      </w:pPr>
      <w:r w:rsidRPr="00F63881">
        <w:rPr>
          <w:rFonts w:asciiTheme="minorHAnsi" w:hAnsiTheme="minorHAnsi" w:cstheme="minorHAnsi"/>
          <w:sz w:val="22"/>
          <w:szCs w:val="22"/>
          <w:lang w:val="en-US" w:eastAsia="en-GB"/>
        </w:rPr>
        <w:t>The Court will continue to use the services of Regulation 7 Family Consultants to prepare Family Reports.</w:t>
      </w:r>
    </w:p>
    <w:p w14:paraId="66F8B401" w14:textId="0311B3EB" w:rsidR="00857F5D" w:rsidRPr="00744031" w:rsidRDefault="008517D8" w:rsidP="0087523B">
      <w:pPr>
        <w:pStyle w:val="Heading2"/>
        <w:rPr>
          <w:lang w:eastAsia="en-US"/>
        </w:rPr>
      </w:pPr>
      <w:r w:rsidRPr="00744031">
        <w:rPr>
          <w:lang w:eastAsia="en-US"/>
        </w:rPr>
        <w:t>G</w:t>
      </w:r>
      <w:r w:rsidR="00857F5D" w:rsidRPr="00744031">
        <w:rPr>
          <w:lang w:eastAsia="en-US"/>
        </w:rPr>
        <w:t xml:space="preserve">eneral </w:t>
      </w:r>
      <w:r w:rsidR="006A15F7" w:rsidRPr="00744031">
        <w:rPr>
          <w:lang w:eastAsia="en-US"/>
        </w:rPr>
        <w:t>F</w:t>
      </w:r>
      <w:r w:rsidR="00857F5D" w:rsidRPr="00744031">
        <w:rPr>
          <w:lang w:eastAsia="en-US"/>
        </w:rPr>
        <w:t xml:space="preserve">ederal </w:t>
      </w:r>
      <w:r w:rsidR="006A15F7" w:rsidRPr="00744031">
        <w:rPr>
          <w:lang w:eastAsia="en-US"/>
        </w:rPr>
        <w:t>L</w:t>
      </w:r>
      <w:r w:rsidR="00857F5D" w:rsidRPr="00744031">
        <w:rPr>
          <w:lang w:eastAsia="en-US"/>
        </w:rPr>
        <w:t xml:space="preserve">aw </w:t>
      </w:r>
      <w:r w:rsidRPr="00744031">
        <w:rPr>
          <w:lang w:eastAsia="en-US"/>
        </w:rPr>
        <w:t>Rules for Division 2</w:t>
      </w:r>
    </w:p>
    <w:p w14:paraId="7F5A9571" w14:textId="579FBFCE" w:rsidR="00857F5D" w:rsidRPr="00C4092C" w:rsidRDefault="008517D8" w:rsidP="0087523B">
      <w:pPr>
        <w:spacing w:after="240"/>
        <w:rPr>
          <w:rFonts w:asciiTheme="minorHAnsi" w:hAnsiTheme="minorHAnsi" w:cstheme="minorHAnsi"/>
          <w:sz w:val="22"/>
          <w:szCs w:val="22"/>
        </w:rPr>
      </w:pPr>
      <w:r w:rsidRPr="00C4092C">
        <w:rPr>
          <w:rFonts w:asciiTheme="minorHAnsi" w:hAnsiTheme="minorHAnsi" w:cstheme="minorHAnsi"/>
          <w:sz w:val="22"/>
          <w:szCs w:val="22"/>
        </w:rPr>
        <w:t xml:space="preserve">The </w:t>
      </w:r>
      <w:r w:rsidRPr="00C4092C">
        <w:rPr>
          <w:rFonts w:asciiTheme="minorHAnsi" w:hAnsiTheme="minorHAnsi" w:cstheme="minorHAnsi"/>
          <w:i/>
          <w:iCs/>
          <w:sz w:val="22"/>
          <w:szCs w:val="22"/>
        </w:rPr>
        <w:t>Federal Circuit and Family Court of Australia (Division 2) (Bankruptcy Rules) 2021</w:t>
      </w:r>
      <w:r w:rsidRPr="00C4092C">
        <w:rPr>
          <w:rFonts w:asciiTheme="minorHAnsi" w:hAnsiTheme="minorHAnsi" w:cstheme="minorHAnsi"/>
          <w:sz w:val="22"/>
          <w:szCs w:val="22"/>
        </w:rPr>
        <w:t xml:space="preserve"> and the </w:t>
      </w:r>
      <w:r w:rsidRPr="00C4092C">
        <w:rPr>
          <w:rFonts w:asciiTheme="minorHAnsi" w:hAnsiTheme="minorHAnsi" w:cstheme="minorHAnsi"/>
          <w:i/>
          <w:iCs/>
          <w:sz w:val="22"/>
          <w:szCs w:val="22"/>
        </w:rPr>
        <w:t>Federal Circuit and Family Court of Australia (Division 2)</w:t>
      </w:r>
      <w:r w:rsidR="006A15F7" w:rsidRPr="00C4092C">
        <w:rPr>
          <w:rFonts w:asciiTheme="minorHAnsi" w:hAnsiTheme="minorHAnsi" w:cstheme="minorHAnsi"/>
          <w:i/>
          <w:iCs/>
          <w:sz w:val="22"/>
          <w:szCs w:val="22"/>
        </w:rPr>
        <w:t xml:space="preserve"> </w:t>
      </w:r>
      <w:r w:rsidRPr="00C4092C">
        <w:rPr>
          <w:rFonts w:asciiTheme="minorHAnsi" w:hAnsiTheme="minorHAnsi" w:cstheme="minorHAnsi"/>
          <w:i/>
          <w:iCs/>
          <w:sz w:val="22"/>
          <w:szCs w:val="22"/>
        </w:rPr>
        <w:t>(General Federal Law) Rules 2021</w:t>
      </w:r>
      <w:r w:rsidRPr="00C4092C">
        <w:rPr>
          <w:rFonts w:asciiTheme="minorHAnsi" w:hAnsiTheme="minorHAnsi" w:cstheme="minorHAnsi"/>
          <w:sz w:val="22"/>
          <w:szCs w:val="22"/>
        </w:rPr>
        <w:t xml:space="preserve"> are </w:t>
      </w:r>
      <w:r w:rsidR="006A15F7" w:rsidRPr="00C4092C">
        <w:rPr>
          <w:rFonts w:asciiTheme="minorHAnsi" w:hAnsiTheme="minorHAnsi" w:cstheme="minorHAnsi"/>
          <w:sz w:val="22"/>
          <w:szCs w:val="22"/>
        </w:rPr>
        <w:t xml:space="preserve">in the process of </w:t>
      </w:r>
      <w:r w:rsidRPr="00C4092C">
        <w:rPr>
          <w:rFonts w:asciiTheme="minorHAnsi" w:hAnsiTheme="minorHAnsi" w:cstheme="minorHAnsi"/>
          <w:sz w:val="22"/>
          <w:szCs w:val="22"/>
        </w:rPr>
        <w:t>being finalised. As outlined in</w:t>
      </w:r>
      <w:r w:rsidR="00DC394B">
        <w:rPr>
          <w:rFonts w:asciiTheme="minorHAnsi" w:hAnsiTheme="minorHAnsi" w:cstheme="minorHAnsi"/>
          <w:sz w:val="22"/>
          <w:szCs w:val="22"/>
        </w:rPr>
        <w:t xml:space="preserve"> the</w:t>
      </w:r>
      <w:r w:rsidRPr="00C4092C">
        <w:rPr>
          <w:rFonts w:asciiTheme="minorHAnsi" w:hAnsiTheme="minorHAnsi" w:cstheme="minorHAnsi"/>
          <w:sz w:val="22"/>
          <w:szCs w:val="22"/>
        </w:rPr>
        <w:t xml:space="preserve"> </w:t>
      </w:r>
      <w:hyperlink r:id="rId12" w:history="1">
        <w:r w:rsidRPr="00C4092C">
          <w:rPr>
            <w:rStyle w:val="Hyperlink"/>
            <w:rFonts w:asciiTheme="minorHAnsi" w:hAnsiTheme="minorHAnsi" w:cstheme="minorHAnsi"/>
            <w:sz w:val="22"/>
            <w:szCs w:val="22"/>
          </w:rPr>
          <w:t xml:space="preserve">Update </w:t>
        </w:r>
        <w:r w:rsidR="00390EB6" w:rsidRPr="00C4092C">
          <w:rPr>
            <w:rStyle w:val="Hyperlink"/>
            <w:rFonts w:asciiTheme="minorHAnsi" w:hAnsiTheme="minorHAnsi" w:cstheme="minorHAnsi"/>
            <w:sz w:val="22"/>
            <w:szCs w:val="22"/>
          </w:rPr>
          <w:t xml:space="preserve">to the Profession </w:t>
        </w:r>
        <w:r w:rsidRPr="00C4092C">
          <w:rPr>
            <w:rStyle w:val="Hyperlink"/>
            <w:rFonts w:asciiTheme="minorHAnsi" w:hAnsiTheme="minorHAnsi" w:cstheme="minorHAnsi"/>
            <w:sz w:val="22"/>
            <w:szCs w:val="22"/>
          </w:rPr>
          <w:t>No. 3</w:t>
        </w:r>
      </w:hyperlink>
      <w:r w:rsidRPr="00C4092C">
        <w:rPr>
          <w:rFonts w:asciiTheme="minorHAnsi" w:hAnsiTheme="minorHAnsi" w:cstheme="minorHAnsi"/>
          <w:sz w:val="22"/>
          <w:szCs w:val="22"/>
        </w:rPr>
        <w:t xml:space="preserve">, </w:t>
      </w:r>
      <w:r w:rsidR="00857F5D" w:rsidRPr="00C4092C">
        <w:rPr>
          <w:rFonts w:asciiTheme="minorHAnsi" w:hAnsiTheme="minorHAnsi" w:cstheme="minorHAnsi"/>
          <w:sz w:val="22"/>
          <w:szCs w:val="22"/>
        </w:rPr>
        <w:t xml:space="preserve">there will not be a great deal of difference in the new </w:t>
      </w:r>
      <w:r w:rsidR="007D56C9">
        <w:rPr>
          <w:rFonts w:asciiTheme="minorHAnsi" w:hAnsiTheme="minorHAnsi" w:cstheme="minorHAnsi"/>
          <w:sz w:val="22"/>
          <w:szCs w:val="22"/>
        </w:rPr>
        <w:t>Rules</w:t>
      </w:r>
      <w:r w:rsidR="00857F5D" w:rsidRPr="00C4092C">
        <w:rPr>
          <w:rFonts w:asciiTheme="minorHAnsi" w:hAnsiTheme="minorHAnsi" w:cstheme="minorHAnsi"/>
          <w:sz w:val="22"/>
          <w:szCs w:val="22"/>
        </w:rPr>
        <w:t>, at this stage for general federal law cases. It is proposed that a more fulsome review and update of the GFL and Bankruptcy Rules be undertaken in the future at a time that will allow for broader consultation.</w:t>
      </w:r>
      <w:r w:rsidR="00DC394B">
        <w:rPr>
          <w:rFonts w:asciiTheme="minorHAnsi" w:hAnsiTheme="minorHAnsi" w:cstheme="minorHAnsi"/>
          <w:sz w:val="22"/>
          <w:szCs w:val="22"/>
        </w:rPr>
        <w:t xml:space="preserve"> </w:t>
      </w:r>
    </w:p>
    <w:p w14:paraId="2BCFC2ED" w14:textId="70379427" w:rsidR="00C4092C" w:rsidRPr="00C4092C" w:rsidRDefault="00DC394B" w:rsidP="0087523B">
      <w:pPr>
        <w:spacing w:after="240"/>
        <w:rPr>
          <w:rFonts w:asciiTheme="minorHAnsi" w:hAnsiTheme="minorHAnsi" w:cstheme="minorHAnsi"/>
          <w:sz w:val="22"/>
          <w:szCs w:val="22"/>
        </w:rPr>
      </w:pPr>
      <w:r>
        <w:rPr>
          <w:rFonts w:asciiTheme="minorHAnsi" w:hAnsiTheme="minorHAnsi" w:cstheme="minorHAnsi"/>
          <w:sz w:val="22"/>
          <w:szCs w:val="22"/>
        </w:rPr>
        <w:lastRenderedPageBreak/>
        <w:t>Note that t</w:t>
      </w:r>
      <w:r w:rsidR="00C4092C" w:rsidRPr="00C4092C">
        <w:rPr>
          <w:rFonts w:asciiTheme="minorHAnsi" w:hAnsiTheme="minorHAnsi" w:cstheme="minorHAnsi"/>
          <w:sz w:val="22"/>
          <w:szCs w:val="22"/>
        </w:rPr>
        <w:t xml:space="preserve">he FCC’s existing general federal law jurisdiction and fair work jurisdiction will not be impacted by the establishment of the FCFCOA, with no changes to the existing case management or appeal pathway. </w:t>
      </w:r>
    </w:p>
    <w:p w14:paraId="5FA8811A" w14:textId="1B31CEC6" w:rsidR="00996444" w:rsidRPr="005C0EBF" w:rsidRDefault="00996444" w:rsidP="0087523B">
      <w:pPr>
        <w:pStyle w:val="Heading2"/>
      </w:pPr>
      <w:r w:rsidRPr="005C0EBF">
        <w:t>Furth</w:t>
      </w:r>
      <w:r w:rsidR="00DF4CDB" w:rsidRPr="005C0EBF">
        <w:t>e</w:t>
      </w:r>
      <w:r w:rsidRPr="005C0EBF">
        <w:t>r information</w:t>
      </w:r>
    </w:p>
    <w:p w14:paraId="73F78912" w14:textId="432E4047" w:rsidR="00DC394B" w:rsidRDefault="00996444" w:rsidP="0087523B">
      <w:pPr>
        <w:rPr>
          <w:rFonts w:asciiTheme="minorHAnsi" w:hAnsiTheme="minorHAnsi" w:cstheme="minorHAnsi"/>
          <w:sz w:val="22"/>
          <w:szCs w:val="22"/>
        </w:rPr>
      </w:pPr>
      <w:r w:rsidRPr="00C4092C">
        <w:rPr>
          <w:rFonts w:asciiTheme="minorHAnsi" w:hAnsiTheme="minorHAnsi" w:cstheme="minorHAnsi"/>
          <w:sz w:val="22"/>
          <w:szCs w:val="22"/>
        </w:rPr>
        <w:t>P</w:t>
      </w:r>
      <w:r w:rsidR="00B2641A" w:rsidRPr="00C4092C">
        <w:rPr>
          <w:rFonts w:asciiTheme="minorHAnsi" w:hAnsiTheme="minorHAnsi" w:cstheme="minorHAnsi"/>
          <w:sz w:val="22"/>
          <w:szCs w:val="22"/>
        </w:rPr>
        <w:t>ractitioners are encouraged to</w:t>
      </w:r>
      <w:r w:rsidRPr="00C4092C">
        <w:rPr>
          <w:rFonts w:asciiTheme="minorHAnsi" w:hAnsiTheme="minorHAnsi" w:cstheme="minorHAnsi"/>
          <w:sz w:val="22"/>
          <w:szCs w:val="22"/>
        </w:rPr>
        <w:t xml:space="preserve"> review previous updates which can be accessed from the </w:t>
      </w:r>
      <w:hyperlink r:id="rId13" w:history="1">
        <w:r w:rsidRPr="00C4092C">
          <w:rPr>
            <w:rStyle w:val="Hyperlink"/>
            <w:rFonts w:asciiTheme="minorHAnsi" w:hAnsiTheme="minorHAnsi" w:cstheme="minorHAnsi"/>
            <w:sz w:val="22"/>
            <w:szCs w:val="22"/>
          </w:rPr>
          <w:t>FCoA website</w:t>
        </w:r>
      </w:hyperlink>
      <w:r w:rsidRPr="00C4092C">
        <w:rPr>
          <w:rFonts w:asciiTheme="minorHAnsi" w:hAnsiTheme="minorHAnsi" w:cstheme="minorHAnsi"/>
          <w:sz w:val="22"/>
          <w:szCs w:val="22"/>
        </w:rPr>
        <w:t xml:space="preserve"> and </w:t>
      </w:r>
      <w:hyperlink r:id="rId14" w:history="1">
        <w:r w:rsidRPr="00C4092C">
          <w:rPr>
            <w:rStyle w:val="Hyperlink"/>
            <w:rFonts w:asciiTheme="minorHAnsi" w:hAnsiTheme="minorHAnsi" w:cstheme="minorHAnsi"/>
            <w:sz w:val="22"/>
            <w:szCs w:val="22"/>
          </w:rPr>
          <w:t>FCC website</w:t>
        </w:r>
      </w:hyperlink>
      <w:r w:rsidRPr="00C4092C">
        <w:rPr>
          <w:rFonts w:asciiTheme="minorHAnsi" w:hAnsiTheme="minorHAnsi" w:cstheme="minorHAnsi"/>
          <w:sz w:val="22"/>
          <w:szCs w:val="22"/>
        </w:rPr>
        <w:t xml:space="preserve">. </w:t>
      </w:r>
      <w:r w:rsidR="00F57C02" w:rsidRPr="00C4092C">
        <w:rPr>
          <w:rFonts w:asciiTheme="minorHAnsi" w:hAnsiTheme="minorHAnsi" w:cstheme="minorHAnsi"/>
          <w:sz w:val="22"/>
          <w:szCs w:val="22"/>
        </w:rPr>
        <w:t>P</w:t>
      </w:r>
      <w:r w:rsidRPr="00C4092C">
        <w:rPr>
          <w:rFonts w:asciiTheme="minorHAnsi" w:hAnsiTheme="minorHAnsi" w:cstheme="minorHAnsi"/>
          <w:sz w:val="22"/>
          <w:szCs w:val="22"/>
        </w:rPr>
        <w:t xml:space="preserve">ractitioners </w:t>
      </w:r>
      <w:r w:rsidR="00F57C02" w:rsidRPr="00C4092C">
        <w:rPr>
          <w:rFonts w:asciiTheme="minorHAnsi" w:hAnsiTheme="minorHAnsi" w:cstheme="minorHAnsi"/>
          <w:sz w:val="22"/>
          <w:szCs w:val="22"/>
        </w:rPr>
        <w:t xml:space="preserve">and the public </w:t>
      </w:r>
      <w:r w:rsidRPr="00C4092C">
        <w:rPr>
          <w:rFonts w:asciiTheme="minorHAnsi" w:hAnsiTheme="minorHAnsi" w:cstheme="minorHAnsi"/>
          <w:sz w:val="22"/>
          <w:szCs w:val="22"/>
        </w:rPr>
        <w:t xml:space="preserve">can subscribe </w:t>
      </w:r>
      <w:r w:rsidR="00F57C02" w:rsidRPr="00C4092C">
        <w:rPr>
          <w:rFonts w:asciiTheme="minorHAnsi" w:hAnsiTheme="minorHAnsi" w:cstheme="minorHAnsi"/>
          <w:sz w:val="22"/>
          <w:szCs w:val="22"/>
        </w:rPr>
        <w:t xml:space="preserve">to receive updates from the Courts </w:t>
      </w:r>
      <w:r w:rsidRPr="00C4092C">
        <w:rPr>
          <w:rFonts w:asciiTheme="minorHAnsi" w:hAnsiTheme="minorHAnsi" w:cstheme="minorHAnsi"/>
          <w:sz w:val="22"/>
          <w:szCs w:val="22"/>
        </w:rPr>
        <w:t xml:space="preserve">via the </w:t>
      </w:r>
      <w:hyperlink r:id="rId15" w:history="1">
        <w:r w:rsidRPr="00C4092C">
          <w:rPr>
            <w:rStyle w:val="Hyperlink"/>
            <w:rFonts w:asciiTheme="minorHAnsi" w:hAnsiTheme="minorHAnsi" w:cstheme="minorHAnsi"/>
            <w:sz w:val="22"/>
            <w:szCs w:val="22"/>
          </w:rPr>
          <w:t>FCoA website</w:t>
        </w:r>
      </w:hyperlink>
      <w:r w:rsidR="00F57C02" w:rsidRPr="00C4092C">
        <w:rPr>
          <w:rFonts w:asciiTheme="minorHAnsi" w:hAnsiTheme="minorHAnsi" w:cstheme="minorHAnsi"/>
          <w:sz w:val="22"/>
          <w:szCs w:val="22"/>
        </w:rPr>
        <w:t xml:space="preserve"> or </w:t>
      </w:r>
      <w:hyperlink r:id="rId16" w:history="1">
        <w:r w:rsidR="00F57C02" w:rsidRPr="00C4092C">
          <w:rPr>
            <w:rStyle w:val="Hyperlink"/>
            <w:rFonts w:asciiTheme="minorHAnsi" w:hAnsiTheme="minorHAnsi" w:cstheme="minorHAnsi"/>
            <w:sz w:val="22"/>
            <w:szCs w:val="22"/>
          </w:rPr>
          <w:t>FCC website</w:t>
        </w:r>
      </w:hyperlink>
      <w:r w:rsidR="00F57C02" w:rsidRPr="00C4092C">
        <w:rPr>
          <w:rFonts w:asciiTheme="minorHAnsi" w:hAnsiTheme="minorHAnsi" w:cstheme="minorHAnsi"/>
          <w:sz w:val="22"/>
          <w:szCs w:val="22"/>
        </w:rPr>
        <w:t>.</w:t>
      </w:r>
      <w:r w:rsidRPr="00C4092C">
        <w:rPr>
          <w:rFonts w:asciiTheme="minorHAnsi" w:hAnsiTheme="minorHAnsi" w:cstheme="minorHAnsi"/>
          <w:sz w:val="22"/>
          <w:szCs w:val="22"/>
        </w:rPr>
        <w:t xml:space="preserve"> </w:t>
      </w:r>
    </w:p>
    <w:p w14:paraId="625BDF15" w14:textId="5C729AE5" w:rsidR="003F20EF" w:rsidRDefault="003F20EF" w:rsidP="0087523B">
      <w:pPr>
        <w:spacing w:before="240"/>
        <w:jc w:val="both"/>
        <w:rPr>
          <w:rFonts w:asciiTheme="minorHAnsi" w:hAnsiTheme="minorHAnsi" w:cstheme="minorHAnsi"/>
          <w:sz w:val="22"/>
          <w:szCs w:val="22"/>
        </w:rPr>
      </w:pPr>
      <w:r>
        <w:rPr>
          <w:rFonts w:asciiTheme="minorHAnsi" w:hAnsiTheme="minorHAnsi" w:cstheme="minorHAnsi"/>
          <w:sz w:val="22"/>
          <w:szCs w:val="22"/>
        </w:rPr>
        <w:t>-ends-</w:t>
      </w:r>
    </w:p>
    <w:p w14:paraId="11677A4D" w14:textId="6C59DA26" w:rsidR="00550AC0" w:rsidRPr="005C0EBF" w:rsidRDefault="00550AC0" w:rsidP="0087523B">
      <w:pPr>
        <w:autoSpaceDE w:val="0"/>
        <w:autoSpaceDN w:val="0"/>
        <w:spacing w:before="2280"/>
        <w:jc w:val="both"/>
        <w:rPr>
          <w:rFonts w:asciiTheme="minorHAnsi" w:eastAsiaTheme="minorEastAsia" w:hAnsiTheme="minorHAnsi" w:cstheme="minorHAnsi"/>
          <w:noProof/>
          <w:color w:val="666666"/>
          <w:sz w:val="18"/>
          <w:szCs w:val="18"/>
        </w:rPr>
      </w:pPr>
      <w:bookmarkStart w:id="1" w:name="_MailAutoSig"/>
      <w:r w:rsidRPr="005C0EBF">
        <w:rPr>
          <w:rFonts w:asciiTheme="minorHAnsi" w:eastAsiaTheme="minorEastAsia" w:hAnsiTheme="minorHAnsi" w:cstheme="minorHAnsi"/>
          <w:b/>
          <w:bCs/>
          <w:noProof/>
          <w:color w:val="44546A"/>
          <w:sz w:val="18"/>
          <w:szCs w:val="18"/>
        </w:rPr>
        <w:t>Media enquiries:</w:t>
      </w:r>
      <w:r w:rsidR="007D56C9">
        <w:rPr>
          <w:rFonts w:asciiTheme="minorHAnsi" w:eastAsiaTheme="minorEastAsia" w:hAnsiTheme="minorHAnsi" w:cstheme="minorHAnsi"/>
          <w:b/>
          <w:bCs/>
          <w:noProof/>
          <w:color w:val="44546A"/>
          <w:sz w:val="18"/>
          <w:szCs w:val="18"/>
        </w:rPr>
        <w:t xml:space="preserve">  </w:t>
      </w:r>
      <w:r w:rsidRPr="005C0EBF">
        <w:rPr>
          <w:rFonts w:asciiTheme="minorHAnsi" w:eastAsiaTheme="minorEastAsia" w:hAnsiTheme="minorHAnsi" w:cstheme="minorHAnsi"/>
          <w:b/>
          <w:bCs/>
          <w:noProof/>
          <w:color w:val="44546A"/>
          <w:sz w:val="18"/>
          <w:szCs w:val="18"/>
        </w:rPr>
        <w:t xml:space="preserve">Denise Healy, </w:t>
      </w:r>
      <w:r w:rsidRPr="005C0EBF">
        <w:rPr>
          <w:rFonts w:asciiTheme="minorHAnsi" w:eastAsiaTheme="minorEastAsia" w:hAnsiTheme="minorHAnsi" w:cstheme="minorHAnsi"/>
          <w:noProof/>
          <w:color w:val="666666"/>
          <w:sz w:val="18"/>
          <w:szCs w:val="18"/>
        </w:rPr>
        <w:t xml:space="preserve">Director – Media &amp; Public Affairs </w:t>
      </w:r>
    </w:p>
    <w:p w14:paraId="49CBA986" w14:textId="77777777" w:rsidR="00550AC0" w:rsidRPr="005C0EBF" w:rsidRDefault="00550AC0" w:rsidP="00DC394B">
      <w:pPr>
        <w:autoSpaceDE w:val="0"/>
        <w:autoSpaceDN w:val="0"/>
        <w:jc w:val="both"/>
        <w:rPr>
          <w:rFonts w:asciiTheme="minorHAnsi" w:eastAsiaTheme="minorEastAsia" w:hAnsiTheme="minorHAnsi" w:cstheme="minorHAnsi"/>
          <w:noProof/>
          <w:color w:val="666666"/>
          <w:sz w:val="18"/>
          <w:szCs w:val="18"/>
        </w:rPr>
      </w:pPr>
      <w:r w:rsidRPr="005C0EBF">
        <w:rPr>
          <w:rFonts w:asciiTheme="minorHAnsi" w:eastAsiaTheme="minorEastAsia" w:hAnsiTheme="minorHAnsi" w:cstheme="minorHAnsi"/>
          <w:noProof/>
          <w:color w:val="666666"/>
          <w:sz w:val="18"/>
          <w:szCs w:val="18"/>
        </w:rPr>
        <w:t>Family Court of Australia |</w:t>
      </w:r>
      <w:r w:rsidRPr="005C0EBF">
        <w:rPr>
          <w:rFonts w:asciiTheme="minorHAnsi" w:eastAsiaTheme="minorEastAsia" w:hAnsiTheme="minorHAnsi" w:cstheme="minorHAnsi"/>
          <w:b/>
          <w:bCs/>
          <w:noProof/>
          <w:color w:val="666666"/>
          <w:sz w:val="18"/>
          <w:szCs w:val="18"/>
        </w:rPr>
        <w:t xml:space="preserve"> </w:t>
      </w:r>
      <w:r w:rsidRPr="005C0EBF">
        <w:rPr>
          <w:rFonts w:asciiTheme="minorHAnsi" w:eastAsiaTheme="minorEastAsia" w:hAnsiTheme="minorHAnsi" w:cstheme="minorHAnsi"/>
          <w:noProof/>
          <w:color w:val="666666"/>
          <w:sz w:val="18"/>
          <w:szCs w:val="18"/>
        </w:rPr>
        <w:t xml:space="preserve">Federal Circuit Court of Australia </w:t>
      </w:r>
    </w:p>
    <w:p w14:paraId="3D15071E" w14:textId="77777777" w:rsidR="00550AC0" w:rsidRPr="005C0EBF" w:rsidRDefault="00550AC0" w:rsidP="00DC394B">
      <w:pPr>
        <w:jc w:val="both"/>
        <w:rPr>
          <w:rFonts w:asciiTheme="minorHAnsi" w:eastAsiaTheme="minorEastAsia" w:hAnsiTheme="minorHAnsi" w:cstheme="minorHAnsi"/>
          <w:noProof/>
          <w:color w:val="666666"/>
          <w:sz w:val="18"/>
          <w:szCs w:val="18"/>
        </w:rPr>
      </w:pPr>
      <w:r w:rsidRPr="005C0EBF">
        <w:rPr>
          <w:rFonts w:asciiTheme="minorHAnsi" w:eastAsiaTheme="minorEastAsia" w:hAnsiTheme="minorHAnsi" w:cstheme="minorHAnsi"/>
          <w:b/>
          <w:bCs/>
          <w:noProof/>
          <w:color w:val="44546A"/>
          <w:sz w:val="18"/>
          <w:szCs w:val="18"/>
        </w:rPr>
        <w:t>p.</w:t>
      </w:r>
      <w:r w:rsidRPr="005C0EBF">
        <w:rPr>
          <w:rFonts w:asciiTheme="minorHAnsi" w:eastAsiaTheme="minorEastAsia" w:hAnsiTheme="minorHAnsi" w:cstheme="minorHAnsi"/>
          <w:b/>
          <w:bCs/>
          <w:noProof/>
          <w:color w:val="000000"/>
          <w:sz w:val="18"/>
          <w:szCs w:val="18"/>
        </w:rPr>
        <w:t xml:space="preserve"> </w:t>
      </w:r>
      <w:r w:rsidRPr="005C0EBF">
        <w:rPr>
          <w:rFonts w:asciiTheme="minorHAnsi" w:eastAsiaTheme="minorEastAsia" w:hAnsiTheme="minorHAnsi" w:cstheme="minorHAnsi"/>
          <w:noProof/>
          <w:color w:val="666666"/>
          <w:sz w:val="18"/>
          <w:szCs w:val="18"/>
        </w:rPr>
        <w:t xml:space="preserve">(03) 8638 6436 | </w:t>
      </w:r>
      <w:r w:rsidRPr="005C0EBF">
        <w:rPr>
          <w:rFonts w:asciiTheme="minorHAnsi" w:eastAsiaTheme="minorEastAsia" w:hAnsiTheme="minorHAnsi" w:cstheme="minorHAnsi"/>
          <w:b/>
          <w:bCs/>
          <w:noProof/>
          <w:color w:val="44546A"/>
          <w:sz w:val="18"/>
          <w:szCs w:val="18"/>
        </w:rPr>
        <w:t xml:space="preserve">m. </w:t>
      </w:r>
      <w:r w:rsidRPr="005C0EBF">
        <w:rPr>
          <w:rFonts w:asciiTheme="minorHAnsi" w:eastAsiaTheme="minorEastAsia" w:hAnsiTheme="minorHAnsi" w:cstheme="minorHAnsi"/>
          <w:noProof/>
          <w:color w:val="666666"/>
          <w:sz w:val="18"/>
          <w:szCs w:val="18"/>
        </w:rPr>
        <w:t>0409 743 695</w:t>
      </w:r>
    </w:p>
    <w:p w14:paraId="5976D51A" w14:textId="45E9034F" w:rsidR="00D50A7F" w:rsidRPr="005C0EBF" w:rsidRDefault="00550AC0" w:rsidP="00DC394B">
      <w:pPr>
        <w:jc w:val="both"/>
        <w:rPr>
          <w:rFonts w:asciiTheme="minorHAnsi" w:hAnsiTheme="minorHAnsi" w:cstheme="minorHAnsi"/>
          <w:bCs/>
          <w:lang w:eastAsia="zh-CN"/>
        </w:rPr>
      </w:pPr>
      <w:r w:rsidRPr="005C0EBF">
        <w:rPr>
          <w:rFonts w:asciiTheme="minorHAnsi" w:eastAsiaTheme="minorEastAsia" w:hAnsiTheme="minorHAnsi" w:cstheme="minorHAnsi"/>
          <w:b/>
          <w:bCs/>
          <w:noProof/>
          <w:color w:val="44546A"/>
          <w:sz w:val="18"/>
          <w:szCs w:val="18"/>
        </w:rPr>
        <w:t>e.</w:t>
      </w:r>
      <w:r w:rsidRPr="005C0EBF">
        <w:rPr>
          <w:rFonts w:asciiTheme="minorHAnsi" w:eastAsiaTheme="minorEastAsia" w:hAnsiTheme="minorHAnsi" w:cstheme="minorHAnsi"/>
          <w:b/>
          <w:bCs/>
          <w:noProof/>
          <w:color w:val="000000"/>
          <w:sz w:val="18"/>
          <w:szCs w:val="18"/>
        </w:rPr>
        <w:t xml:space="preserve"> </w:t>
      </w:r>
      <w:hyperlink r:id="rId17" w:history="1">
        <w:r w:rsidRPr="005C0EBF">
          <w:rPr>
            <w:rStyle w:val="Hyperlink"/>
            <w:rFonts w:asciiTheme="minorHAnsi" w:eastAsiaTheme="minorEastAsia" w:hAnsiTheme="minorHAnsi" w:cstheme="minorHAnsi"/>
            <w:noProof/>
            <w:sz w:val="18"/>
            <w:szCs w:val="18"/>
          </w:rPr>
          <w:t>denise.healy@familycourt.gov.au</w:t>
        </w:r>
      </w:hyperlink>
      <w:bookmarkEnd w:id="1"/>
    </w:p>
    <w:sectPr w:rsidR="00D50A7F" w:rsidRPr="005C0EBF" w:rsidSect="009901DC">
      <w:headerReference w:type="even" r:id="rId18"/>
      <w:headerReference w:type="default" r:id="rId19"/>
      <w:footerReference w:type="even" r:id="rId20"/>
      <w:footerReference w:type="default" r:id="rId21"/>
      <w:headerReference w:type="first" r:id="rId22"/>
      <w:footerReference w:type="first" r:id="rId23"/>
      <w:pgSz w:w="11906" w:h="16838"/>
      <w:pgMar w:top="1134" w:right="1133"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692320" w14:textId="77777777" w:rsidR="00225C5C" w:rsidRDefault="00225C5C">
      <w:r>
        <w:separator/>
      </w:r>
    </w:p>
  </w:endnote>
  <w:endnote w:type="continuationSeparator" w:id="0">
    <w:p w14:paraId="01F188E8" w14:textId="77777777" w:rsidR="00225C5C" w:rsidRDefault="00225C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Light">
    <w:panose1 w:val="00000000000000000000"/>
    <w:charset w:val="00"/>
    <w:family w:val="swiss"/>
    <w:notTrueType/>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A7F47C" w14:textId="77777777" w:rsidR="00E430F1" w:rsidRDefault="00E430F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1475902656"/>
      <w:docPartObj>
        <w:docPartGallery w:val="Page Numbers (Bottom of Page)"/>
        <w:docPartUnique/>
      </w:docPartObj>
    </w:sdtPr>
    <w:sdtEndPr>
      <w:rPr>
        <w:color w:val="7F7F7F" w:themeColor="background1" w:themeShade="7F"/>
        <w:spacing w:val="60"/>
      </w:rPr>
    </w:sdtEndPr>
    <w:sdtContent>
      <w:p w14:paraId="1C1BECD7" w14:textId="295AB6E6" w:rsidR="006853FE" w:rsidRPr="006853FE" w:rsidRDefault="006853FE" w:rsidP="006853FE">
        <w:pPr>
          <w:pStyle w:val="Footer"/>
          <w:pBdr>
            <w:top w:val="single" w:sz="4" w:space="1" w:color="D9D9D9" w:themeColor="background1" w:themeShade="D9"/>
          </w:pBdr>
          <w:jc w:val="right"/>
          <w:rPr>
            <w:b/>
            <w:bCs/>
            <w:sz w:val="16"/>
            <w:szCs w:val="16"/>
          </w:rPr>
        </w:pPr>
        <w:r w:rsidRPr="006853FE">
          <w:rPr>
            <w:sz w:val="16"/>
            <w:szCs w:val="16"/>
          </w:rPr>
          <w:fldChar w:fldCharType="begin"/>
        </w:r>
        <w:r w:rsidRPr="006853FE">
          <w:rPr>
            <w:sz w:val="16"/>
            <w:szCs w:val="16"/>
          </w:rPr>
          <w:instrText xml:space="preserve"> PAGE   \* MERGEFORMAT </w:instrText>
        </w:r>
        <w:r w:rsidRPr="006853FE">
          <w:rPr>
            <w:sz w:val="16"/>
            <w:szCs w:val="16"/>
          </w:rPr>
          <w:fldChar w:fldCharType="separate"/>
        </w:r>
        <w:r w:rsidR="0087523B" w:rsidRPr="0087523B">
          <w:rPr>
            <w:b/>
            <w:bCs/>
            <w:noProof/>
            <w:sz w:val="16"/>
            <w:szCs w:val="16"/>
          </w:rPr>
          <w:t>2</w:t>
        </w:r>
        <w:r w:rsidRPr="006853FE">
          <w:rPr>
            <w:b/>
            <w:bCs/>
            <w:noProof/>
            <w:sz w:val="16"/>
            <w:szCs w:val="16"/>
          </w:rPr>
          <w:fldChar w:fldCharType="end"/>
        </w:r>
        <w:r w:rsidRPr="006853FE">
          <w:rPr>
            <w:b/>
            <w:bCs/>
            <w:sz w:val="16"/>
            <w:szCs w:val="16"/>
          </w:rPr>
          <w:t xml:space="preserve"> | </w:t>
        </w:r>
        <w:r w:rsidRPr="006853FE">
          <w:rPr>
            <w:color w:val="7F7F7F" w:themeColor="background1" w:themeShade="7F"/>
            <w:spacing w:val="60"/>
            <w:sz w:val="16"/>
            <w:szCs w:val="16"/>
          </w:rPr>
          <w:t>Page</w:t>
        </w:r>
      </w:p>
    </w:sdtContent>
  </w:sdt>
  <w:p w14:paraId="6E7C664E" w14:textId="77777777" w:rsidR="00D055AD" w:rsidRDefault="00D055A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387639" w14:textId="77777777" w:rsidR="00E430F1" w:rsidRDefault="00E430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56E61B" w14:textId="77777777" w:rsidR="00225C5C" w:rsidRDefault="00225C5C">
      <w:r>
        <w:separator/>
      </w:r>
    </w:p>
  </w:footnote>
  <w:footnote w:type="continuationSeparator" w:id="0">
    <w:p w14:paraId="6C9650D5" w14:textId="77777777" w:rsidR="00225C5C" w:rsidRDefault="00225C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9CD513" w14:textId="77777777" w:rsidR="00E430F1" w:rsidRDefault="00E430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35419C" w14:textId="66E15F0D" w:rsidR="00037ADB" w:rsidRDefault="00AE34E6" w:rsidP="008E0DA5">
    <w:pPr>
      <w:pStyle w:val="Footer"/>
    </w:pPr>
    <w:r w:rsidRPr="00AB7BFC">
      <w:rPr>
        <w:b/>
        <w:noProof/>
      </w:rPr>
      <w:drawing>
        <wp:inline distT="0" distB="0" distL="0" distR="0" wp14:anchorId="21B29893" wp14:editId="5B93F25A">
          <wp:extent cx="4007005" cy="614607"/>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oA_FCC_LONG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056208" cy="622154"/>
                  </a:xfrm>
                  <a:prstGeom prst="rect">
                    <a:avLst/>
                  </a:prstGeom>
                </pic:spPr>
              </pic:pic>
            </a:graphicData>
          </a:graphic>
        </wp:inline>
      </w:drawing>
    </w:r>
  </w:p>
  <w:p w14:paraId="3F22D06E" w14:textId="77777777" w:rsidR="00643FCF" w:rsidRPr="00643FCF" w:rsidRDefault="00AE34E6" w:rsidP="007F5F48">
    <w:pPr>
      <w:keepNext/>
      <w:spacing w:before="80"/>
      <w:outlineLvl w:val="0"/>
      <w:rPr>
        <w:rFonts w:ascii="Arial" w:hAnsi="Arial" w:cs="Arial"/>
        <w:sz w:val="20"/>
        <w:lang w:eastAsia="en-US"/>
      </w:rPr>
    </w:pPr>
    <w:r>
      <w:rPr>
        <w:noProof/>
      </w:rPr>
      <mc:AlternateContent>
        <mc:Choice Requires="wps">
          <w:drawing>
            <wp:anchor distT="0" distB="0" distL="114300" distR="114300" simplePos="0" relativeHeight="251657216" behindDoc="0" locked="0" layoutInCell="1" allowOverlap="1" wp14:anchorId="55C55450" wp14:editId="0E40774D">
              <wp:simplePos x="0" y="0"/>
              <wp:positionH relativeFrom="margin">
                <wp:posOffset>727446</wp:posOffset>
              </wp:positionH>
              <wp:positionV relativeFrom="paragraph">
                <wp:posOffset>10160</wp:posOffset>
              </wp:positionV>
              <wp:extent cx="5162400" cy="0"/>
              <wp:effectExtent l="0" t="0" r="1968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62400" cy="0"/>
                      </a:xfrm>
                      <a:prstGeom prst="line">
                        <a:avLst/>
                      </a:prstGeom>
                      <a:noFill/>
                      <a:ln w="24765">
                        <a:solidFill>
                          <a:schemeClr val="bg1">
                            <a:lumMod val="8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6B08FA5F" id="Straight Connector 4" o:spid="_x0000_s1026" style="position:absolute;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7.3pt,.8pt" to="463.8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" strokecolor="#d8d8d8 [2732]" strokeweight="1.95pt">
              <w10:wrap anchorx="margin"/>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46C7C4" w14:textId="77777777" w:rsidR="00E430F1" w:rsidRDefault="00E430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1525D9"/>
    <w:multiLevelType w:val="hybridMultilevel"/>
    <w:tmpl w:val="825CA7FC"/>
    <w:lvl w:ilvl="0" w:tplc="0196494E">
      <w:start w:val="5600"/>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92856E0"/>
    <w:multiLevelType w:val="hybridMultilevel"/>
    <w:tmpl w:val="22DCC508"/>
    <w:lvl w:ilvl="0" w:tplc="5FC0A7AE">
      <w:start w:val="1"/>
      <w:numFmt w:val="decimal"/>
      <w:lvlText w:val="%1)"/>
      <w:lvlJc w:val="left"/>
      <w:pPr>
        <w:ind w:left="720" w:hanging="360"/>
      </w:pPr>
      <w:rPr>
        <w:b/>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 w15:restartNumberingAfterBreak="0">
    <w:nsid w:val="19922571"/>
    <w:multiLevelType w:val="hybridMultilevel"/>
    <w:tmpl w:val="99F83C96"/>
    <w:lvl w:ilvl="0" w:tplc="CF6CED0C">
      <w:start w:val="1"/>
      <w:numFmt w:val="lowerLetter"/>
      <w:lvlText w:val="(%1)"/>
      <w:lvlJc w:val="left"/>
      <w:pPr>
        <w:ind w:left="720" w:hanging="360"/>
      </w:pPr>
      <w:rPr>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 w15:restartNumberingAfterBreak="0">
    <w:nsid w:val="2A110833"/>
    <w:multiLevelType w:val="multilevel"/>
    <w:tmpl w:val="7306311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2CA74146"/>
    <w:multiLevelType w:val="hybridMultilevel"/>
    <w:tmpl w:val="9F32BE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7B438BE"/>
    <w:multiLevelType w:val="hybridMultilevel"/>
    <w:tmpl w:val="10CE2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E4A312F"/>
    <w:multiLevelType w:val="hybridMultilevel"/>
    <w:tmpl w:val="4726CF62"/>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5"/>
  </w:num>
  <w:num w:numId="4">
    <w:abstractNumId w:val="0"/>
  </w:num>
  <w:num w:numId="5">
    <w:abstractNumId w:val="1"/>
  </w:num>
  <w:num w:numId="6">
    <w:abstractNumId w:val="3"/>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4"/>
  </w:num>
  <w:num w:numId="13">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34E6"/>
    <w:rsid w:val="00002E4A"/>
    <w:rsid w:val="000047AA"/>
    <w:rsid w:val="000175DA"/>
    <w:rsid w:val="00020523"/>
    <w:rsid w:val="0002483E"/>
    <w:rsid w:val="00025663"/>
    <w:rsid w:val="000310AB"/>
    <w:rsid w:val="0003201B"/>
    <w:rsid w:val="00032494"/>
    <w:rsid w:val="000451E7"/>
    <w:rsid w:val="00047782"/>
    <w:rsid w:val="00050023"/>
    <w:rsid w:val="0005139C"/>
    <w:rsid w:val="0005311A"/>
    <w:rsid w:val="00057FCA"/>
    <w:rsid w:val="00063B72"/>
    <w:rsid w:val="00063F91"/>
    <w:rsid w:val="00066209"/>
    <w:rsid w:val="00067A83"/>
    <w:rsid w:val="000726AF"/>
    <w:rsid w:val="00073EEE"/>
    <w:rsid w:val="00077BC4"/>
    <w:rsid w:val="000857BD"/>
    <w:rsid w:val="000917EA"/>
    <w:rsid w:val="00094A2D"/>
    <w:rsid w:val="00095D9B"/>
    <w:rsid w:val="00097873"/>
    <w:rsid w:val="000A3339"/>
    <w:rsid w:val="000B30F9"/>
    <w:rsid w:val="000B4FDD"/>
    <w:rsid w:val="000B5B20"/>
    <w:rsid w:val="000B7BC8"/>
    <w:rsid w:val="000D2131"/>
    <w:rsid w:val="000D377A"/>
    <w:rsid w:val="000D4A68"/>
    <w:rsid w:val="000D7C15"/>
    <w:rsid w:val="000E163D"/>
    <w:rsid w:val="000F6A9F"/>
    <w:rsid w:val="000F704C"/>
    <w:rsid w:val="000F75AA"/>
    <w:rsid w:val="00110ABD"/>
    <w:rsid w:val="00111321"/>
    <w:rsid w:val="00111B11"/>
    <w:rsid w:val="00115698"/>
    <w:rsid w:val="00115CED"/>
    <w:rsid w:val="00122402"/>
    <w:rsid w:val="00122A30"/>
    <w:rsid w:val="00130971"/>
    <w:rsid w:val="00130DB5"/>
    <w:rsid w:val="001418A7"/>
    <w:rsid w:val="00142415"/>
    <w:rsid w:val="001426D1"/>
    <w:rsid w:val="00143E33"/>
    <w:rsid w:val="00147DC2"/>
    <w:rsid w:val="00152C4E"/>
    <w:rsid w:val="0015697C"/>
    <w:rsid w:val="0016107E"/>
    <w:rsid w:val="00161AFE"/>
    <w:rsid w:val="00161E28"/>
    <w:rsid w:val="00167D4E"/>
    <w:rsid w:val="001722C0"/>
    <w:rsid w:val="0018277D"/>
    <w:rsid w:val="00184CAC"/>
    <w:rsid w:val="00190678"/>
    <w:rsid w:val="00193C43"/>
    <w:rsid w:val="00193EDE"/>
    <w:rsid w:val="0019619D"/>
    <w:rsid w:val="00197EEE"/>
    <w:rsid w:val="001A004C"/>
    <w:rsid w:val="001A3C7E"/>
    <w:rsid w:val="001A4EBF"/>
    <w:rsid w:val="001B5CD6"/>
    <w:rsid w:val="001C21F7"/>
    <w:rsid w:val="001E0B76"/>
    <w:rsid w:val="001E4C5F"/>
    <w:rsid w:val="001E7C64"/>
    <w:rsid w:val="00201267"/>
    <w:rsid w:val="00203F9D"/>
    <w:rsid w:val="00210CB4"/>
    <w:rsid w:val="00211D90"/>
    <w:rsid w:val="002130F3"/>
    <w:rsid w:val="00224B94"/>
    <w:rsid w:val="00225C5C"/>
    <w:rsid w:val="00225D79"/>
    <w:rsid w:val="002361A6"/>
    <w:rsid w:val="002522B6"/>
    <w:rsid w:val="002546A9"/>
    <w:rsid w:val="00256489"/>
    <w:rsid w:val="00264DCF"/>
    <w:rsid w:val="0026629E"/>
    <w:rsid w:val="00272566"/>
    <w:rsid w:val="00275FAF"/>
    <w:rsid w:val="00282C31"/>
    <w:rsid w:val="00286FB9"/>
    <w:rsid w:val="00287FA8"/>
    <w:rsid w:val="002A112A"/>
    <w:rsid w:val="002A1798"/>
    <w:rsid w:val="002D0038"/>
    <w:rsid w:val="002E006A"/>
    <w:rsid w:val="002E0207"/>
    <w:rsid w:val="002E0843"/>
    <w:rsid w:val="002E347D"/>
    <w:rsid w:val="002E4EC1"/>
    <w:rsid w:val="002E71F9"/>
    <w:rsid w:val="002F5CD8"/>
    <w:rsid w:val="002F73C5"/>
    <w:rsid w:val="0030227F"/>
    <w:rsid w:val="003047E9"/>
    <w:rsid w:val="003053CE"/>
    <w:rsid w:val="0030689E"/>
    <w:rsid w:val="0031295D"/>
    <w:rsid w:val="00317400"/>
    <w:rsid w:val="00317A22"/>
    <w:rsid w:val="00322E77"/>
    <w:rsid w:val="00326F16"/>
    <w:rsid w:val="003302AF"/>
    <w:rsid w:val="00330BF9"/>
    <w:rsid w:val="00331792"/>
    <w:rsid w:val="003328DC"/>
    <w:rsid w:val="00340861"/>
    <w:rsid w:val="0034498E"/>
    <w:rsid w:val="003461EC"/>
    <w:rsid w:val="003506F5"/>
    <w:rsid w:val="00353339"/>
    <w:rsid w:val="00361190"/>
    <w:rsid w:val="003619E5"/>
    <w:rsid w:val="0036627A"/>
    <w:rsid w:val="00367C23"/>
    <w:rsid w:val="00370039"/>
    <w:rsid w:val="00371B83"/>
    <w:rsid w:val="00375533"/>
    <w:rsid w:val="003760A2"/>
    <w:rsid w:val="00382666"/>
    <w:rsid w:val="00385CD8"/>
    <w:rsid w:val="003871D1"/>
    <w:rsid w:val="00390A78"/>
    <w:rsid w:val="00390EB6"/>
    <w:rsid w:val="00391908"/>
    <w:rsid w:val="003A0900"/>
    <w:rsid w:val="003A0E0A"/>
    <w:rsid w:val="003A3639"/>
    <w:rsid w:val="003B0856"/>
    <w:rsid w:val="003B25E4"/>
    <w:rsid w:val="003C1CAE"/>
    <w:rsid w:val="003C2319"/>
    <w:rsid w:val="003D3209"/>
    <w:rsid w:val="003D58BA"/>
    <w:rsid w:val="003E24BD"/>
    <w:rsid w:val="003E2517"/>
    <w:rsid w:val="003E4F9E"/>
    <w:rsid w:val="003E7C8A"/>
    <w:rsid w:val="003F0D25"/>
    <w:rsid w:val="003F20EF"/>
    <w:rsid w:val="003F42CD"/>
    <w:rsid w:val="004053D0"/>
    <w:rsid w:val="00410658"/>
    <w:rsid w:val="004156B1"/>
    <w:rsid w:val="00424813"/>
    <w:rsid w:val="00430EE0"/>
    <w:rsid w:val="00431149"/>
    <w:rsid w:val="00436F4D"/>
    <w:rsid w:val="00437202"/>
    <w:rsid w:val="00442AA1"/>
    <w:rsid w:val="00442D13"/>
    <w:rsid w:val="0044451E"/>
    <w:rsid w:val="004504DA"/>
    <w:rsid w:val="004517D5"/>
    <w:rsid w:val="004543E3"/>
    <w:rsid w:val="0046024F"/>
    <w:rsid w:val="00463D85"/>
    <w:rsid w:val="00465380"/>
    <w:rsid w:val="004660B2"/>
    <w:rsid w:val="00467410"/>
    <w:rsid w:val="00474EBE"/>
    <w:rsid w:val="00476E4E"/>
    <w:rsid w:val="0047773B"/>
    <w:rsid w:val="00483A51"/>
    <w:rsid w:val="00486FB3"/>
    <w:rsid w:val="004A3948"/>
    <w:rsid w:val="004A6925"/>
    <w:rsid w:val="004B2770"/>
    <w:rsid w:val="004B6254"/>
    <w:rsid w:val="004C1F2A"/>
    <w:rsid w:val="004C5CB4"/>
    <w:rsid w:val="004D0238"/>
    <w:rsid w:val="004E0831"/>
    <w:rsid w:val="004E422F"/>
    <w:rsid w:val="004F4582"/>
    <w:rsid w:val="005004B1"/>
    <w:rsid w:val="00502805"/>
    <w:rsid w:val="005037F8"/>
    <w:rsid w:val="005038D9"/>
    <w:rsid w:val="00504A78"/>
    <w:rsid w:val="005061A7"/>
    <w:rsid w:val="00512D5C"/>
    <w:rsid w:val="00513842"/>
    <w:rsid w:val="00513B94"/>
    <w:rsid w:val="00521785"/>
    <w:rsid w:val="00530616"/>
    <w:rsid w:val="00534E37"/>
    <w:rsid w:val="00536F07"/>
    <w:rsid w:val="00550375"/>
    <w:rsid w:val="00550AC0"/>
    <w:rsid w:val="00561307"/>
    <w:rsid w:val="00564E14"/>
    <w:rsid w:val="0057433A"/>
    <w:rsid w:val="0057682F"/>
    <w:rsid w:val="00577AD9"/>
    <w:rsid w:val="00580F3C"/>
    <w:rsid w:val="00587A62"/>
    <w:rsid w:val="00591FB9"/>
    <w:rsid w:val="005A4AA1"/>
    <w:rsid w:val="005A5FC2"/>
    <w:rsid w:val="005B6C08"/>
    <w:rsid w:val="005C0EBF"/>
    <w:rsid w:val="005C5449"/>
    <w:rsid w:val="005C5DA0"/>
    <w:rsid w:val="005D1027"/>
    <w:rsid w:val="005D2D86"/>
    <w:rsid w:val="005D550F"/>
    <w:rsid w:val="005D6DB0"/>
    <w:rsid w:val="005E18C8"/>
    <w:rsid w:val="005F56CC"/>
    <w:rsid w:val="00604360"/>
    <w:rsid w:val="006070D9"/>
    <w:rsid w:val="00616C3C"/>
    <w:rsid w:val="00617062"/>
    <w:rsid w:val="006171D4"/>
    <w:rsid w:val="0062047D"/>
    <w:rsid w:val="00621925"/>
    <w:rsid w:val="00622617"/>
    <w:rsid w:val="00623AFB"/>
    <w:rsid w:val="00633F2D"/>
    <w:rsid w:val="0063495D"/>
    <w:rsid w:val="00635017"/>
    <w:rsid w:val="00636360"/>
    <w:rsid w:val="00636A37"/>
    <w:rsid w:val="00637A1D"/>
    <w:rsid w:val="0064018A"/>
    <w:rsid w:val="00640F80"/>
    <w:rsid w:val="00641869"/>
    <w:rsid w:val="00642005"/>
    <w:rsid w:val="00647436"/>
    <w:rsid w:val="00653B9F"/>
    <w:rsid w:val="00654C6F"/>
    <w:rsid w:val="0066241D"/>
    <w:rsid w:val="00664B4E"/>
    <w:rsid w:val="00676E73"/>
    <w:rsid w:val="006802E5"/>
    <w:rsid w:val="006853FE"/>
    <w:rsid w:val="00695641"/>
    <w:rsid w:val="006A15F7"/>
    <w:rsid w:val="006A3527"/>
    <w:rsid w:val="006A45AC"/>
    <w:rsid w:val="006B2C22"/>
    <w:rsid w:val="006C142A"/>
    <w:rsid w:val="006C64D7"/>
    <w:rsid w:val="006D6F85"/>
    <w:rsid w:val="006D78FA"/>
    <w:rsid w:val="006E06B1"/>
    <w:rsid w:val="006E41BF"/>
    <w:rsid w:val="006F0274"/>
    <w:rsid w:val="006F2301"/>
    <w:rsid w:val="006F6A04"/>
    <w:rsid w:val="00704F29"/>
    <w:rsid w:val="0071071D"/>
    <w:rsid w:val="0071225F"/>
    <w:rsid w:val="00712610"/>
    <w:rsid w:val="00712686"/>
    <w:rsid w:val="00713317"/>
    <w:rsid w:val="00722B4F"/>
    <w:rsid w:val="0072403E"/>
    <w:rsid w:val="0073112F"/>
    <w:rsid w:val="00732CC8"/>
    <w:rsid w:val="0073585B"/>
    <w:rsid w:val="00736032"/>
    <w:rsid w:val="00737E48"/>
    <w:rsid w:val="00743470"/>
    <w:rsid w:val="00744031"/>
    <w:rsid w:val="00744BFE"/>
    <w:rsid w:val="00751196"/>
    <w:rsid w:val="00754653"/>
    <w:rsid w:val="0075585A"/>
    <w:rsid w:val="0076242F"/>
    <w:rsid w:val="007631D6"/>
    <w:rsid w:val="00765BDC"/>
    <w:rsid w:val="007726AA"/>
    <w:rsid w:val="007743D6"/>
    <w:rsid w:val="00782AFD"/>
    <w:rsid w:val="00790AFA"/>
    <w:rsid w:val="00793114"/>
    <w:rsid w:val="007939A2"/>
    <w:rsid w:val="00794041"/>
    <w:rsid w:val="007A138B"/>
    <w:rsid w:val="007A15D5"/>
    <w:rsid w:val="007A3FA6"/>
    <w:rsid w:val="007A55C6"/>
    <w:rsid w:val="007A5B2D"/>
    <w:rsid w:val="007B0DD0"/>
    <w:rsid w:val="007B1FCC"/>
    <w:rsid w:val="007C088F"/>
    <w:rsid w:val="007C4FF0"/>
    <w:rsid w:val="007C5781"/>
    <w:rsid w:val="007D13E8"/>
    <w:rsid w:val="007D19D4"/>
    <w:rsid w:val="007D56C9"/>
    <w:rsid w:val="007D7BC4"/>
    <w:rsid w:val="007E2824"/>
    <w:rsid w:val="007E3157"/>
    <w:rsid w:val="007F2645"/>
    <w:rsid w:val="007F2E19"/>
    <w:rsid w:val="007F37AE"/>
    <w:rsid w:val="007F3F05"/>
    <w:rsid w:val="007F730D"/>
    <w:rsid w:val="007F75C8"/>
    <w:rsid w:val="00812D7B"/>
    <w:rsid w:val="0082413C"/>
    <w:rsid w:val="008257C1"/>
    <w:rsid w:val="00825C4E"/>
    <w:rsid w:val="00831CC7"/>
    <w:rsid w:val="00832E50"/>
    <w:rsid w:val="00833724"/>
    <w:rsid w:val="00834728"/>
    <w:rsid w:val="00835336"/>
    <w:rsid w:val="0083601E"/>
    <w:rsid w:val="008406CC"/>
    <w:rsid w:val="008412FA"/>
    <w:rsid w:val="00841A83"/>
    <w:rsid w:val="008517D8"/>
    <w:rsid w:val="00851ECA"/>
    <w:rsid w:val="00852A52"/>
    <w:rsid w:val="00857F5D"/>
    <w:rsid w:val="0086067F"/>
    <w:rsid w:val="00870CBF"/>
    <w:rsid w:val="00874688"/>
    <w:rsid w:val="0087523B"/>
    <w:rsid w:val="00877360"/>
    <w:rsid w:val="00882A88"/>
    <w:rsid w:val="008832E4"/>
    <w:rsid w:val="00883C54"/>
    <w:rsid w:val="00886FA3"/>
    <w:rsid w:val="00893524"/>
    <w:rsid w:val="00896DE1"/>
    <w:rsid w:val="008A4B6A"/>
    <w:rsid w:val="008A67C9"/>
    <w:rsid w:val="008A68DA"/>
    <w:rsid w:val="008B12D7"/>
    <w:rsid w:val="008B2BD2"/>
    <w:rsid w:val="008B434B"/>
    <w:rsid w:val="008C1DAE"/>
    <w:rsid w:val="008D0B71"/>
    <w:rsid w:val="008D1D83"/>
    <w:rsid w:val="008D3E29"/>
    <w:rsid w:val="008D468A"/>
    <w:rsid w:val="008D4E4E"/>
    <w:rsid w:val="008E124D"/>
    <w:rsid w:val="008E52AE"/>
    <w:rsid w:val="008F0241"/>
    <w:rsid w:val="008F4B04"/>
    <w:rsid w:val="008F5305"/>
    <w:rsid w:val="008F638E"/>
    <w:rsid w:val="0090270E"/>
    <w:rsid w:val="00903C2A"/>
    <w:rsid w:val="0090620C"/>
    <w:rsid w:val="0090716E"/>
    <w:rsid w:val="009155F8"/>
    <w:rsid w:val="009276C3"/>
    <w:rsid w:val="00932622"/>
    <w:rsid w:val="00933420"/>
    <w:rsid w:val="00935015"/>
    <w:rsid w:val="00936161"/>
    <w:rsid w:val="0093783A"/>
    <w:rsid w:val="009448B3"/>
    <w:rsid w:val="00945993"/>
    <w:rsid w:val="0094652E"/>
    <w:rsid w:val="009526A5"/>
    <w:rsid w:val="00953633"/>
    <w:rsid w:val="00955CAC"/>
    <w:rsid w:val="00956102"/>
    <w:rsid w:val="00956BB3"/>
    <w:rsid w:val="00956E03"/>
    <w:rsid w:val="00961917"/>
    <w:rsid w:val="00961C4D"/>
    <w:rsid w:val="00965264"/>
    <w:rsid w:val="00972A14"/>
    <w:rsid w:val="00974647"/>
    <w:rsid w:val="0098762C"/>
    <w:rsid w:val="009901DC"/>
    <w:rsid w:val="00996444"/>
    <w:rsid w:val="009969E1"/>
    <w:rsid w:val="00996CEA"/>
    <w:rsid w:val="009A6AA2"/>
    <w:rsid w:val="009B6C43"/>
    <w:rsid w:val="009C0342"/>
    <w:rsid w:val="009C0D53"/>
    <w:rsid w:val="009C1FE6"/>
    <w:rsid w:val="009C3162"/>
    <w:rsid w:val="009C5FB5"/>
    <w:rsid w:val="009D0CB0"/>
    <w:rsid w:val="009D1733"/>
    <w:rsid w:val="009D57B9"/>
    <w:rsid w:val="00A00DF2"/>
    <w:rsid w:val="00A125B7"/>
    <w:rsid w:val="00A144B5"/>
    <w:rsid w:val="00A15E20"/>
    <w:rsid w:val="00A2342A"/>
    <w:rsid w:val="00A23E00"/>
    <w:rsid w:val="00A24696"/>
    <w:rsid w:val="00A25ABC"/>
    <w:rsid w:val="00A26491"/>
    <w:rsid w:val="00A26D12"/>
    <w:rsid w:val="00A36D4A"/>
    <w:rsid w:val="00A45603"/>
    <w:rsid w:val="00A521A3"/>
    <w:rsid w:val="00A53854"/>
    <w:rsid w:val="00A60331"/>
    <w:rsid w:val="00A6068D"/>
    <w:rsid w:val="00A64E0D"/>
    <w:rsid w:val="00A6566E"/>
    <w:rsid w:val="00A65EB1"/>
    <w:rsid w:val="00A67E79"/>
    <w:rsid w:val="00A700A7"/>
    <w:rsid w:val="00A7166E"/>
    <w:rsid w:val="00A779B9"/>
    <w:rsid w:val="00A80091"/>
    <w:rsid w:val="00A80DA4"/>
    <w:rsid w:val="00A86BF7"/>
    <w:rsid w:val="00A870C2"/>
    <w:rsid w:val="00A92FC4"/>
    <w:rsid w:val="00A9477C"/>
    <w:rsid w:val="00A9531A"/>
    <w:rsid w:val="00A96F01"/>
    <w:rsid w:val="00AA0874"/>
    <w:rsid w:val="00AA5B27"/>
    <w:rsid w:val="00AA6477"/>
    <w:rsid w:val="00AB0E68"/>
    <w:rsid w:val="00AB213B"/>
    <w:rsid w:val="00AB4269"/>
    <w:rsid w:val="00AB7BFC"/>
    <w:rsid w:val="00AC1EE2"/>
    <w:rsid w:val="00AC2198"/>
    <w:rsid w:val="00AD00FA"/>
    <w:rsid w:val="00AD024B"/>
    <w:rsid w:val="00AD0B8C"/>
    <w:rsid w:val="00AD0D82"/>
    <w:rsid w:val="00AD2A7B"/>
    <w:rsid w:val="00AD4134"/>
    <w:rsid w:val="00AD58F3"/>
    <w:rsid w:val="00AD74A3"/>
    <w:rsid w:val="00AE1DFA"/>
    <w:rsid w:val="00AE2AC6"/>
    <w:rsid w:val="00AE2D7E"/>
    <w:rsid w:val="00AE34E6"/>
    <w:rsid w:val="00AE6317"/>
    <w:rsid w:val="00AF3C40"/>
    <w:rsid w:val="00AF5C42"/>
    <w:rsid w:val="00B02645"/>
    <w:rsid w:val="00B05FEE"/>
    <w:rsid w:val="00B07C37"/>
    <w:rsid w:val="00B1052F"/>
    <w:rsid w:val="00B14937"/>
    <w:rsid w:val="00B2417B"/>
    <w:rsid w:val="00B2423A"/>
    <w:rsid w:val="00B24A19"/>
    <w:rsid w:val="00B2641A"/>
    <w:rsid w:val="00B27746"/>
    <w:rsid w:val="00B43CA3"/>
    <w:rsid w:val="00B44E8C"/>
    <w:rsid w:val="00B47337"/>
    <w:rsid w:val="00B52487"/>
    <w:rsid w:val="00B53A35"/>
    <w:rsid w:val="00B54252"/>
    <w:rsid w:val="00B6370B"/>
    <w:rsid w:val="00B63ACD"/>
    <w:rsid w:val="00B71688"/>
    <w:rsid w:val="00B73790"/>
    <w:rsid w:val="00B73CFE"/>
    <w:rsid w:val="00B74497"/>
    <w:rsid w:val="00B90851"/>
    <w:rsid w:val="00B90C43"/>
    <w:rsid w:val="00B972DB"/>
    <w:rsid w:val="00BA10A9"/>
    <w:rsid w:val="00BA4AC8"/>
    <w:rsid w:val="00BB07C9"/>
    <w:rsid w:val="00BB5D69"/>
    <w:rsid w:val="00BC24B2"/>
    <w:rsid w:val="00BC52AF"/>
    <w:rsid w:val="00BC6BB7"/>
    <w:rsid w:val="00BD1C74"/>
    <w:rsid w:val="00BD1E33"/>
    <w:rsid w:val="00BD36B7"/>
    <w:rsid w:val="00BD3C12"/>
    <w:rsid w:val="00BD4F8D"/>
    <w:rsid w:val="00BD58AD"/>
    <w:rsid w:val="00BD7B59"/>
    <w:rsid w:val="00BE2B9B"/>
    <w:rsid w:val="00BE4391"/>
    <w:rsid w:val="00C053BE"/>
    <w:rsid w:val="00C06603"/>
    <w:rsid w:val="00C10F66"/>
    <w:rsid w:val="00C15310"/>
    <w:rsid w:val="00C16D49"/>
    <w:rsid w:val="00C2713F"/>
    <w:rsid w:val="00C3397C"/>
    <w:rsid w:val="00C340A5"/>
    <w:rsid w:val="00C37918"/>
    <w:rsid w:val="00C4092C"/>
    <w:rsid w:val="00C44F66"/>
    <w:rsid w:val="00C51D5E"/>
    <w:rsid w:val="00C532C2"/>
    <w:rsid w:val="00C5459A"/>
    <w:rsid w:val="00C71BD4"/>
    <w:rsid w:val="00C72435"/>
    <w:rsid w:val="00C7321E"/>
    <w:rsid w:val="00C74449"/>
    <w:rsid w:val="00C777C1"/>
    <w:rsid w:val="00C77CAC"/>
    <w:rsid w:val="00C82827"/>
    <w:rsid w:val="00C861C9"/>
    <w:rsid w:val="00C97D4D"/>
    <w:rsid w:val="00CA5101"/>
    <w:rsid w:val="00CA52F8"/>
    <w:rsid w:val="00CB31B1"/>
    <w:rsid w:val="00CB4906"/>
    <w:rsid w:val="00CC011C"/>
    <w:rsid w:val="00CC0EEE"/>
    <w:rsid w:val="00CC334C"/>
    <w:rsid w:val="00CC77A0"/>
    <w:rsid w:val="00CD5D7F"/>
    <w:rsid w:val="00CE120B"/>
    <w:rsid w:val="00CE15F7"/>
    <w:rsid w:val="00CE3D17"/>
    <w:rsid w:val="00CE7C6C"/>
    <w:rsid w:val="00CF0A36"/>
    <w:rsid w:val="00CF1913"/>
    <w:rsid w:val="00CF3812"/>
    <w:rsid w:val="00CF71E9"/>
    <w:rsid w:val="00D04152"/>
    <w:rsid w:val="00D055AD"/>
    <w:rsid w:val="00D12D12"/>
    <w:rsid w:val="00D17BD3"/>
    <w:rsid w:val="00D211E7"/>
    <w:rsid w:val="00D32B8C"/>
    <w:rsid w:val="00D36651"/>
    <w:rsid w:val="00D43B79"/>
    <w:rsid w:val="00D45EDF"/>
    <w:rsid w:val="00D471E2"/>
    <w:rsid w:val="00D5000A"/>
    <w:rsid w:val="00D504A8"/>
    <w:rsid w:val="00D505FA"/>
    <w:rsid w:val="00D50A7F"/>
    <w:rsid w:val="00D62995"/>
    <w:rsid w:val="00D63021"/>
    <w:rsid w:val="00D70D4C"/>
    <w:rsid w:val="00D71FFB"/>
    <w:rsid w:val="00D735E7"/>
    <w:rsid w:val="00D753F1"/>
    <w:rsid w:val="00D76CCB"/>
    <w:rsid w:val="00D77150"/>
    <w:rsid w:val="00D771F0"/>
    <w:rsid w:val="00D823DB"/>
    <w:rsid w:val="00D8287F"/>
    <w:rsid w:val="00D92ACC"/>
    <w:rsid w:val="00D93012"/>
    <w:rsid w:val="00D93905"/>
    <w:rsid w:val="00D94232"/>
    <w:rsid w:val="00DA5535"/>
    <w:rsid w:val="00DB0D8A"/>
    <w:rsid w:val="00DB3FDA"/>
    <w:rsid w:val="00DC1195"/>
    <w:rsid w:val="00DC394B"/>
    <w:rsid w:val="00DC3B61"/>
    <w:rsid w:val="00DC42EF"/>
    <w:rsid w:val="00DC6D1D"/>
    <w:rsid w:val="00DD6DBF"/>
    <w:rsid w:val="00DE1592"/>
    <w:rsid w:val="00DE2DE8"/>
    <w:rsid w:val="00DE2DED"/>
    <w:rsid w:val="00DE4866"/>
    <w:rsid w:val="00DE56FC"/>
    <w:rsid w:val="00DF4CDB"/>
    <w:rsid w:val="00E002A8"/>
    <w:rsid w:val="00E01416"/>
    <w:rsid w:val="00E0325A"/>
    <w:rsid w:val="00E03716"/>
    <w:rsid w:val="00E056B2"/>
    <w:rsid w:val="00E073B8"/>
    <w:rsid w:val="00E11EB8"/>
    <w:rsid w:val="00E12977"/>
    <w:rsid w:val="00E14336"/>
    <w:rsid w:val="00E21B99"/>
    <w:rsid w:val="00E243B1"/>
    <w:rsid w:val="00E32AD7"/>
    <w:rsid w:val="00E430F1"/>
    <w:rsid w:val="00E4419B"/>
    <w:rsid w:val="00E47B1B"/>
    <w:rsid w:val="00E56D5A"/>
    <w:rsid w:val="00E70B87"/>
    <w:rsid w:val="00E72046"/>
    <w:rsid w:val="00E72B53"/>
    <w:rsid w:val="00E73A7A"/>
    <w:rsid w:val="00E74D1F"/>
    <w:rsid w:val="00E751BF"/>
    <w:rsid w:val="00E75B13"/>
    <w:rsid w:val="00E853CF"/>
    <w:rsid w:val="00E87EA4"/>
    <w:rsid w:val="00E905E8"/>
    <w:rsid w:val="00E90E24"/>
    <w:rsid w:val="00E912CC"/>
    <w:rsid w:val="00E9616F"/>
    <w:rsid w:val="00E97055"/>
    <w:rsid w:val="00EA0C9D"/>
    <w:rsid w:val="00EA65A5"/>
    <w:rsid w:val="00EA76AA"/>
    <w:rsid w:val="00EB2A7A"/>
    <w:rsid w:val="00EB4106"/>
    <w:rsid w:val="00EB6204"/>
    <w:rsid w:val="00EC1A56"/>
    <w:rsid w:val="00EC4404"/>
    <w:rsid w:val="00EC4BF0"/>
    <w:rsid w:val="00EC5075"/>
    <w:rsid w:val="00EC540F"/>
    <w:rsid w:val="00ED3D43"/>
    <w:rsid w:val="00ED517E"/>
    <w:rsid w:val="00ED6121"/>
    <w:rsid w:val="00ED7930"/>
    <w:rsid w:val="00ED7B8F"/>
    <w:rsid w:val="00EE7B99"/>
    <w:rsid w:val="00EF107B"/>
    <w:rsid w:val="00EF15B1"/>
    <w:rsid w:val="00EF3FA9"/>
    <w:rsid w:val="00EF4FBB"/>
    <w:rsid w:val="00EF547B"/>
    <w:rsid w:val="00EF5DEA"/>
    <w:rsid w:val="00F04077"/>
    <w:rsid w:val="00F06CE6"/>
    <w:rsid w:val="00F12300"/>
    <w:rsid w:val="00F15819"/>
    <w:rsid w:val="00F23EFC"/>
    <w:rsid w:val="00F24EED"/>
    <w:rsid w:val="00F33378"/>
    <w:rsid w:val="00F335B8"/>
    <w:rsid w:val="00F513C8"/>
    <w:rsid w:val="00F560B2"/>
    <w:rsid w:val="00F57C02"/>
    <w:rsid w:val="00F6000B"/>
    <w:rsid w:val="00F63881"/>
    <w:rsid w:val="00F64CED"/>
    <w:rsid w:val="00F664C7"/>
    <w:rsid w:val="00F7030E"/>
    <w:rsid w:val="00F722E8"/>
    <w:rsid w:val="00F732AC"/>
    <w:rsid w:val="00F747B3"/>
    <w:rsid w:val="00F750A2"/>
    <w:rsid w:val="00F85C40"/>
    <w:rsid w:val="00F90C95"/>
    <w:rsid w:val="00F92F60"/>
    <w:rsid w:val="00F9477A"/>
    <w:rsid w:val="00F97641"/>
    <w:rsid w:val="00FA0226"/>
    <w:rsid w:val="00FA21B9"/>
    <w:rsid w:val="00FA6CD2"/>
    <w:rsid w:val="00FA7053"/>
    <w:rsid w:val="00FB0F15"/>
    <w:rsid w:val="00FB422E"/>
    <w:rsid w:val="00FB61CA"/>
    <w:rsid w:val="00FC0FF3"/>
    <w:rsid w:val="00FC3BC6"/>
    <w:rsid w:val="00FD7D5E"/>
    <w:rsid w:val="00FE141C"/>
    <w:rsid w:val="00FE23F4"/>
    <w:rsid w:val="00FE31FB"/>
    <w:rsid w:val="00FE576A"/>
    <w:rsid w:val="00FE7DAA"/>
    <w:rsid w:val="00FF1F12"/>
    <w:rsid w:val="00FF38EB"/>
    <w:rsid w:val="00FF39FE"/>
    <w:rsid w:val="00FF4D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118CE66"/>
  <w15:chartTrackingRefBased/>
  <w15:docId w15:val="{40DFC7A7-C8EF-4295-BA09-D24A46F92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34E6"/>
    <w:pPr>
      <w:spacing w:after="0" w:line="240" w:lineRule="auto"/>
    </w:pPr>
    <w:rPr>
      <w:rFonts w:ascii="Times New Roman" w:eastAsia="Times New Roman" w:hAnsi="Times New Roman" w:cs="Times New Roman"/>
      <w:sz w:val="24"/>
      <w:szCs w:val="24"/>
      <w:lang w:eastAsia="en-AU"/>
    </w:rPr>
  </w:style>
  <w:style w:type="paragraph" w:styleId="Heading1">
    <w:name w:val="heading 1"/>
    <w:basedOn w:val="Normal"/>
    <w:next w:val="Normal"/>
    <w:link w:val="Heading1Char"/>
    <w:qFormat/>
    <w:rsid w:val="001A4EBF"/>
    <w:pPr>
      <w:ind w:left="142" w:right="425"/>
      <w:jc w:val="center"/>
      <w:outlineLvl w:val="0"/>
    </w:pPr>
    <w:rPr>
      <w:rFonts w:asciiTheme="minorHAnsi" w:eastAsiaTheme="majorEastAsia" w:hAnsiTheme="minorHAnsi" w:cstheme="minorHAnsi"/>
      <w:b/>
      <w:bCs/>
      <w:color w:val="2E74B5" w:themeColor="accent1" w:themeShade="BF"/>
      <w:sz w:val="28"/>
      <w:szCs w:val="28"/>
    </w:rPr>
  </w:style>
  <w:style w:type="paragraph" w:styleId="Heading2">
    <w:name w:val="heading 2"/>
    <w:basedOn w:val="Normal"/>
    <w:next w:val="Normal"/>
    <w:link w:val="Heading2Char"/>
    <w:uiPriority w:val="9"/>
    <w:unhideWhenUsed/>
    <w:qFormat/>
    <w:rsid w:val="00B27746"/>
    <w:pPr>
      <w:keepNext/>
      <w:spacing w:before="240" w:after="120"/>
      <w:outlineLvl w:val="1"/>
    </w:pPr>
    <w:rPr>
      <w:rFonts w:asciiTheme="minorHAnsi" w:eastAsia="Calibri" w:hAnsiTheme="minorHAnsi" w:cstheme="minorHAnsi"/>
      <w:b/>
      <w:bCs/>
      <w:i/>
      <w:sz w:val="28"/>
      <w:szCs w:val="28"/>
    </w:rPr>
  </w:style>
  <w:style w:type="paragraph" w:styleId="Heading3">
    <w:name w:val="heading 3"/>
    <w:basedOn w:val="Normal"/>
    <w:next w:val="Normal"/>
    <w:link w:val="Heading3Char"/>
    <w:uiPriority w:val="9"/>
    <w:unhideWhenUsed/>
    <w:qFormat/>
    <w:rsid w:val="0087523B"/>
    <w:pPr>
      <w:spacing w:before="240" w:after="120"/>
      <w:outlineLvl w:val="2"/>
    </w:pPr>
    <w:rPr>
      <w:rFonts w:asciiTheme="minorHAnsi" w:eastAsiaTheme="minorHAnsi" w:hAnsiTheme="minorHAnsi" w:cstheme="minorHAnsi"/>
      <w:b/>
      <w:i/>
      <w:lang w:eastAsia="en-US"/>
    </w:rPr>
  </w:style>
  <w:style w:type="paragraph" w:styleId="Heading4">
    <w:name w:val="heading 4"/>
    <w:basedOn w:val="Normal"/>
    <w:next w:val="Normal"/>
    <w:link w:val="Heading4Char"/>
    <w:uiPriority w:val="9"/>
    <w:semiHidden/>
    <w:unhideWhenUsed/>
    <w:qFormat/>
    <w:rsid w:val="00712686"/>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AE34E6"/>
    <w:rPr>
      <w:color w:val="0563C1" w:themeColor="hyperlink"/>
      <w:u w:val="single"/>
    </w:rPr>
  </w:style>
  <w:style w:type="character" w:customStyle="1" w:styleId="apple-converted-space">
    <w:name w:val="apple-converted-space"/>
    <w:basedOn w:val="DefaultParagraphFont"/>
    <w:rsid w:val="00AE34E6"/>
  </w:style>
  <w:style w:type="paragraph" w:styleId="Header">
    <w:name w:val="header"/>
    <w:basedOn w:val="Normal"/>
    <w:link w:val="HeaderChar"/>
    <w:rsid w:val="00AE34E6"/>
    <w:pPr>
      <w:tabs>
        <w:tab w:val="center" w:pos="4513"/>
        <w:tab w:val="right" w:pos="9026"/>
      </w:tabs>
    </w:pPr>
  </w:style>
  <w:style w:type="character" w:customStyle="1" w:styleId="HeaderChar">
    <w:name w:val="Header Char"/>
    <w:basedOn w:val="DefaultParagraphFont"/>
    <w:link w:val="Header"/>
    <w:rsid w:val="00AE34E6"/>
    <w:rPr>
      <w:rFonts w:ascii="Times New Roman" w:eastAsia="Times New Roman" w:hAnsi="Times New Roman" w:cs="Times New Roman"/>
      <w:sz w:val="24"/>
      <w:szCs w:val="24"/>
      <w:lang w:eastAsia="en-AU"/>
    </w:rPr>
  </w:style>
  <w:style w:type="paragraph" w:styleId="Footer">
    <w:name w:val="footer"/>
    <w:basedOn w:val="Normal"/>
    <w:link w:val="FooterChar"/>
    <w:uiPriority w:val="99"/>
    <w:rsid w:val="00AE34E6"/>
    <w:pPr>
      <w:tabs>
        <w:tab w:val="center" w:pos="4513"/>
        <w:tab w:val="right" w:pos="9026"/>
      </w:tabs>
    </w:pPr>
  </w:style>
  <w:style w:type="character" w:customStyle="1" w:styleId="FooterChar">
    <w:name w:val="Footer Char"/>
    <w:basedOn w:val="DefaultParagraphFont"/>
    <w:link w:val="Footer"/>
    <w:uiPriority w:val="99"/>
    <w:rsid w:val="00AE34E6"/>
    <w:rPr>
      <w:rFonts w:ascii="Times New Roman" w:eastAsia="Times New Roman" w:hAnsi="Times New Roman" w:cs="Times New Roman"/>
      <w:sz w:val="24"/>
      <w:szCs w:val="24"/>
      <w:lang w:eastAsia="en-AU"/>
    </w:rPr>
  </w:style>
  <w:style w:type="character" w:customStyle="1" w:styleId="Heading1Char">
    <w:name w:val="Heading 1 Char"/>
    <w:basedOn w:val="DefaultParagraphFont"/>
    <w:link w:val="Heading1"/>
    <w:rsid w:val="001A4EBF"/>
    <w:rPr>
      <w:rFonts w:eastAsiaTheme="majorEastAsia" w:cstheme="minorHAnsi"/>
      <w:b/>
      <w:bCs/>
      <w:color w:val="2E74B5" w:themeColor="accent1" w:themeShade="BF"/>
      <w:sz w:val="28"/>
      <w:szCs w:val="28"/>
      <w:lang w:eastAsia="en-AU"/>
    </w:rPr>
  </w:style>
  <w:style w:type="paragraph" w:styleId="BalloonText">
    <w:name w:val="Balloon Text"/>
    <w:basedOn w:val="Normal"/>
    <w:link w:val="BalloonTextChar"/>
    <w:uiPriority w:val="99"/>
    <w:semiHidden/>
    <w:unhideWhenUsed/>
    <w:rsid w:val="00D92A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2ACC"/>
    <w:rPr>
      <w:rFonts w:ascii="Segoe UI" w:eastAsia="Times New Roman" w:hAnsi="Segoe UI" w:cs="Segoe UI"/>
      <w:sz w:val="18"/>
      <w:szCs w:val="18"/>
      <w:lang w:eastAsia="en-AU"/>
    </w:rPr>
  </w:style>
  <w:style w:type="paragraph" w:styleId="CommentText">
    <w:name w:val="annotation text"/>
    <w:basedOn w:val="Normal"/>
    <w:link w:val="CommentTextChar"/>
    <w:uiPriority w:val="99"/>
    <w:unhideWhenUsed/>
    <w:rsid w:val="005A5FC2"/>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5A5FC2"/>
    <w:rPr>
      <w:sz w:val="20"/>
      <w:szCs w:val="20"/>
    </w:rPr>
  </w:style>
  <w:style w:type="paragraph" w:customStyle="1" w:styleId="CM13">
    <w:name w:val="CM13"/>
    <w:basedOn w:val="Normal"/>
    <w:next w:val="Normal"/>
    <w:uiPriority w:val="99"/>
    <w:rsid w:val="00E002A8"/>
    <w:pPr>
      <w:autoSpaceDE w:val="0"/>
      <w:autoSpaceDN w:val="0"/>
      <w:adjustRightInd w:val="0"/>
    </w:pPr>
    <w:rPr>
      <w:rFonts w:ascii="Open Sans Light" w:eastAsiaTheme="minorHAnsi" w:hAnsi="Open Sans Light" w:cstheme="minorBidi"/>
      <w:lang w:eastAsia="en-US"/>
    </w:rPr>
  </w:style>
  <w:style w:type="paragraph" w:styleId="PlainText">
    <w:name w:val="Plain Text"/>
    <w:basedOn w:val="Normal"/>
    <w:link w:val="PlainTextChar"/>
    <w:uiPriority w:val="99"/>
    <w:unhideWhenUsed/>
    <w:rsid w:val="009276C3"/>
    <w:rPr>
      <w:rFonts w:ascii="Calibri" w:eastAsiaTheme="minorHAnsi" w:hAnsi="Calibri" w:cs="Calibri"/>
      <w:sz w:val="22"/>
      <w:szCs w:val="22"/>
      <w:lang w:eastAsia="en-US"/>
    </w:rPr>
  </w:style>
  <w:style w:type="character" w:customStyle="1" w:styleId="PlainTextChar">
    <w:name w:val="Plain Text Char"/>
    <w:basedOn w:val="DefaultParagraphFont"/>
    <w:link w:val="PlainText"/>
    <w:uiPriority w:val="99"/>
    <w:rsid w:val="009276C3"/>
    <w:rPr>
      <w:rFonts w:ascii="Calibri" w:hAnsi="Calibri" w:cs="Calibri"/>
    </w:rPr>
  </w:style>
  <w:style w:type="paragraph" w:customStyle="1" w:styleId="Default">
    <w:name w:val="Default"/>
    <w:basedOn w:val="Normal"/>
    <w:rsid w:val="009276C3"/>
    <w:pPr>
      <w:autoSpaceDE w:val="0"/>
      <w:autoSpaceDN w:val="0"/>
    </w:pPr>
    <w:rPr>
      <w:rFonts w:eastAsiaTheme="minorHAnsi"/>
      <w:color w:val="000000"/>
      <w:lang w:eastAsia="en-US"/>
    </w:rPr>
  </w:style>
  <w:style w:type="character" w:styleId="CommentReference">
    <w:name w:val="annotation reference"/>
    <w:basedOn w:val="DefaultParagraphFont"/>
    <w:uiPriority w:val="99"/>
    <w:semiHidden/>
    <w:unhideWhenUsed/>
    <w:rsid w:val="00FA6CD2"/>
    <w:rPr>
      <w:sz w:val="16"/>
      <w:szCs w:val="16"/>
    </w:rPr>
  </w:style>
  <w:style w:type="paragraph" w:styleId="CommentSubject">
    <w:name w:val="annotation subject"/>
    <w:basedOn w:val="CommentText"/>
    <w:next w:val="CommentText"/>
    <w:link w:val="CommentSubjectChar"/>
    <w:uiPriority w:val="99"/>
    <w:semiHidden/>
    <w:unhideWhenUsed/>
    <w:rsid w:val="00FA6CD2"/>
    <w:pPr>
      <w:spacing w:after="0"/>
    </w:pPr>
    <w:rPr>
      <w:rFonts w:ascii="Times New Roman" w:eastAsia="Times New Roman" w:hAnsi="Times New Roman" w:cs="Times New Roman"/>
      <w:b/>
      <w:bCs/>
      <w:lang w:eastAsia="en-AU"/>
    </w:rPr>
  </w:style>
  <w:style w:type="character" w:customStyle="1" w:styleId="CommentSubjectChar">
    <w:name w:val="Comment Subject Char"/>
    <w:basedOn w:val="CommentTextChar"/>
    <w:link w:val="CommentSubject"/>
    <w:uiPriority w:val="99"/>
    <w:semiHidden/>
    <w:rsid w:val="00FA6CD2"/>
    <w:rPr>
      <w:rFonts w:ascii="Times New Roman" w:eastAsia="Times New Roman" w:hAnsi="Times New Roman" w:cs="Times New Roman"/>
      <w:b/>
      <w:bCs/>
      <w:sz w:val="20"/>
      <w:szCs w:val="20"/>
      <w:lang w:eastAsia="en-AU"/>
    </w:rPr>
  </w:style>
  <w:style w:type="character" w:customStyle="1" w:styleId="Heading2Char">
    <w:name w:val="Heading 2 Char"/>
    <w:basedOn w:val="DefaultParagraphFont"/>
    <w:link w:val="Heading2"/>
    <w:uiPriority w:val="9"/>
    <w:rsid w:val="00B27746"/>
    <w:rPr>
      <w:rFonts w:eastAsia="Calibri" w:cstheme="minorHAnsi"/>
      <w:b/>
      <w:bCs/>
      <w:i/>
      <w:sz w:val="28"/>
      <w:szCs w:val="28"/>
      <w:lang w:eastAsia="en-AU"/>
    </w:rPr>
  </w:style>
  <w:style w:type="paragraph" w:styleId="NormalWeb">
    <w:name w:val="Normal (Web)"/>
    <w:basedOn w:val="Normal"/>
    <w:uiPriority w:val="99"/>
    <w:unhideWhenUsed/>
    <w:rsid w:val="007A55C6"/>
    <w:pPr>
      <w:spacing w:before="100" w:beforeAutospacing="1" w:after="100" w:afterAutospacing="1"/>
    </w:p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604360"/>
    <w:pPr>
      <w:spacing w:after="200" w:line="276" w:lineRule="auto"/>
      <w:ind w:left="720"/>
      <w:contextualSpacing/>
    </w:pPr>
    <w:rPr>
      <w:rFonts w:ascii="Calibri" w:eastAsiaTheme="minorHAnsi" w:hAnsi="Calibri" w:cs="Calibri"/>
      <w:sz w:val="22"/>
      <w:szCs w:val="22"/>
      <w:lang w:eastAsia="en-US"/>
    </w:rPr>
  </w:style>
  <w:style w:type="character" w:customStyle="1" w:styleId="Heading3Char">
    <w:name w:val="Heading 3 Char"/>
    <w:basedOn w:val="DefaultParagraphFont"/>
    <w:link w:val="Heading3"/>
    <w:uiPriority w:val="9"/>
    <w:rsid w:val="0087523B"/>
    <w:rPr>
      <w:rFonts w:cstheme="minorHAnsi"/>
      <w:b/>
      <w:i/>
      <w:sz w:val="24"/>
      <w:szCs w:val="24"/>
    </w:rPr>
  </w:style>
  <w:style w:type="paragraph" w:styleId="NoSpacing">
    <w:name w:val="No Spacing"/>
    <w:link w:val="NoSpacingChar"/>
    <w:uiPriority w:val="1"/>
    <w:qFormat/>
    <w:rsid w:val="00CF3812"/>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CF3812"/>
    <w:rPr>
      <w:rFonts w:eastAsiaTheme="minorEastAsia"/>
      <w:lang w:val="en-US"/>
    </w:rPr>
  </w:style>
  <w:style w:type="table" w:styleId="TableGrid">
    <w:name w:val="Table Grid"/>
    <w:basedOn w:val="TableNormal"/>
    <w:uiPriority w:val="39"/>
    <w:rsid w:val="00CB31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CB31B1"/>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1Light-Accent1">
    <w:name w:val="List Table 1 Light Accent 1"/>
    <w:basedOn w:val="TableNormal"/>
    <w:uiPriority w:val="46"/>
    <w:rsid w:val="00CB31B1"/>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2-Accent1">
    <w:name w:val="List Table 2 Accent 1"/>
    <w:basedOn w:val="TableNormal"/>
    <w:uiPriority w:val="47"/>
    <w:rsid w:val="00CB31B1"/>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BodyText">
    <w:name w:val="Body Text"/>
    <w:basedOn w:val="Normal"/>
    <w:link w:val="BodyTextChar"/>
    <w:rsid w:val="00BC6BB7"/>
    <w:pPr>
      <w:spacing w:after="120"/>
    </w:pPr>
    <w:rPr>
      <w:sz w:val="20"/>
      <w:szCs w:val="20"/>
      <w:lang w:eastAsia="zh-CN"/>
    </w:rPr>
  </w:style>
  <w:style w:type="character" w:customStyle="1" w:styleId="BodyTextChar">
    <w:name w:val="Body Text Char"/>
    <w:basedOn w:val="DefaultParagraphFont"/>
    <w:link w:val="BodyText"/>
    <w:rsid w:val="00BC6BB7"/>
    <w:rPr>
      <w:rFonts w:ascii="Times New Roman" w:eastAsia="Times New Roman" w:hAnsi="Times New Roman" w:cs="Times New Roman"/>
      <w:sz w:val="20"/>
      <w:szCs w:val="20"/>
      <w:lang w:eastAsia="zh-CN"/>
    </w:rPr>
  </w:style>
  <w:style w:type="paragraph" w:customStyle="1" w:styleId="m-b-0">
    <w:name w:val="m-b-0"/>
    <w:basedOn w:val="Normal"/>
    <w:rsid w:val="00521785"/>
    <w:pPr>
      <w:spacing w:before="100" w:beforeAutospacing="1" w:after="100" w:afterAutospacing="1"/>
    </w:pPr>
  </w:style>
  <w:style w:type="character" w:styleId="FollowedHyperlink">
    <w:name w:val="FollowedHyperlink"/>
    <w:basedOn w:val="DefaultParagraphFont"/>
    <w:uiPriority w:val="99"/>
    <w:semiHidden/>
    <w:unhideWhenUsed/>
    <w:rsid w:val="0026629E"/>
    <w:rPr>
      <w:color w:val="954F72" w:themeColor="followedHyperlink"/>
      <w:u w:val="single"/>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1EB8"/>
    <w:rPr>
      <w:rFonts w:ascii="Calibri" w:hAnsi="Calibri" w:cs="Calibri"/>
    </w:rPr>
  </w:style>
  <w:style w:type="character" w:customStyle="1" w:styleId="Heading4Char">
    <w:name w:val="Heading 4 Char"/>
    <w:basedOn w:val="DefaultParagraphFont"/>
    <w:link w:val="Heading4"/>
    <w:uiPriority w:val="9"/>
    <w:semiHidden/>
    <w:rsid w:val="00712686"/>
    <w:rPr>
      <w:rFonts w:asciiTheme="majorHAnsi" w:eastAsiaTheme="majorEastAsia" w:hAnsiTheme="majorHAnsi" w:cstheme="majorBidi"/>
      <w:i/>
      <w:iCs/>
      <w:color w:val="2E74B5" w:themeColor="accent1" w:themeShade="BF"/>
      <w:sz w:val="24"/>
      <w:szCs w:val="24"/>
      <w:lang w:eastAsia="en-AU"/>
    </w:rPr>
  </w:style>
  <w:style w:type="character" w:styleId="Strong">
    <w:name w:val="Strong"/>
    <w:basedOn w:val="DefaultParagraphFont"/>
    <w:uiPriority w:val="22"/>
    <w:qFormat/>
    <w:rsid w:val="007E2824"/>
    <w:rPr>
      <w:b/>
      <w:bCs/>
    </w:rPr>
  </w:style>
  <w:style w:type="paragraph" w:styleId="Revision">
    <w:name w:val="Revision"/>
    <w:hidden/>
    <w:uiPriority w:val="99"/>
    <w:semiHidden/>
    <w:rsid w:val="00057FCA"/>
    <w:pPr>
      <w:spacing w:after="0"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295029">
      <w:bodyDiv w:val="1"/>
      <w:marLeft w:val="0"/>
      <w:marRight w:val="0"/>
      <w:marTop w:val="0"/>
      <w:marBottom w:val="0"/>
      <w:divBdr>
        <w:top w:val="none" w:sz="0" w:space="0" w:color="auto"/>
        <w:left w:val="none" w:sz="0" w:space="0" w:color="auto"/>
        <w:bottom w:val="none" w:sz="0" w:space="0" w:color="auto"/>
        <w:right w:val="none" w:sz="0" w:space="0" w:color="auto"/>
      </w:divBdr>
    </w:div>
    <w:div w:id="97255717">
      <w:bodyDiv w:val="1"/>
      <w:marLeft w:val="0"/>
      <w:marRight w:val="0"/>
      <w:marTop w:val="0"/>
      <w:marBottom w:val="0"/>
      <w:divBdr>
        <w:top w:val="none" w:sz="0" w:space="0" w:color="auto"/>
        <w:left w:val="none" w:sz="0" w:space="0" w:color="auto"/>
        <w:bottom w:val="none" w:sz="0" w:space="0" w:color="auto"/>
        <w:right w:val="none" w:sz="0" w:space="0" w:color="auto"/>
      </w:divBdr>
    </w:div>
    <w:div w:id="250966581">
      <w:bodyDiv w:val="1"/>
      <w:marLeft w:val="0"/>
      <w:marRight w:val="0"/>
      <w:marTop w:val="0"/>
      <w:marBottom w:val="0"/>
      <w:divBdr>
        <w:top w:val="none" w:sz="0" w:space="0" w:color="auto"/>
        <w:left w:val="none" w:sz="0" w:space="0" w:color="auto"/>
        <w:bottom w:val="none" w:sz="0" w:space="0" w:color="auto"/>
        <w:right w:val="none" w:sz="0" w:space="0" w:color="auto"/>
      </w:divBdr>
    </w:div>
    <w:div w:id="258217417">
      <w:bodyDiv w:val="1"/>
      <w:marLeft w:val="0"/>
      <w:marRight w:val="0"/>
      <w:marTop w:val="0"/>
      <w:marBottom w:val="0"/>
      <w:divBdr>
        <w:top w:val="none" w:sz="0" w:space="0" w:color="auto"/>
        <w:left w:val="none" w:sz="0" w:space="0" w:color="auto"/>
        <w:bottom w:val="none" w:sz="0" w:space="0" w:color="auto"/>
        <w:right w:val="none" w:sz="0" w:space="0" w:color="auto"/>
      </w:divBdr>
    </w:div>
    <w:div w:id="259224748">
      <w:bodyDiv w:val="1"/>
      <w:marLeft w:val="0"/>
      <w:marRight w:val="0"/>
      <w:marTop w:val="0"/>
      <w:marBottom w:val="0"/>
      <w:divBdr>
        <w:top w:val="none" w:sz="0" w:space="0" w:color="auto"/>
        <w:left w:val="none" w:sz="0" w:space="0" w:color="auto"/>
        <w:bottom w:val="none" w:sz="0" w:space="0" w:color="auto"/>
        <w:right w:val="none" w:sz="0" w:space="0" w:color="auto"/>
      </w:divBdr>
    </w:div>
    <w:div w:id="264462616">
      <w:bodyDiv w:val="1"/>
      <w:marLeft w:val="0"/>
      <w:marRight w:val="0"/>
      <w:marTop w:val="0"/>
      <w:marBottom w:val="0"/>
      <w:divBdr>
        <w:top w:val="none" w:sz="0" w:space="0" w:color="auto"/>
        <w:left w:val="none" w:sz="0" w:space="0" w:color="auto"/>
        <w:bottom w:val="none" w:sz="0" w:space="0" w:color="auto"/>
        <w:right w:val="none" w:sz="0" w:space="0" w:color="auto"/>
      </w:divBdr>
    </w:div>
    <w:div w:id="271322845">
      <w:bodyDiv w:val="1"/>
      <w:marLeft w:val="0"/>
      <w:marRight w:val="0"/>
      <w:marTop w:val="0"/>
      <w:marBottom w:val="0"/>
      <w:divBdr>
        <w:top w:val="none" w:sz="0" w:space="0" w:color="auto"/>
        <w:left w:val="none" w:sz="0" w:space="0" w:color="auto"/>
        <w:bottom w:val="none" w:sz="0" w:space="0" w:color="auto"/>
        <w:right w:val="none" w:sz="0" w:space="0" w:color="auto"/>
      </w:divBdr>
    </w:div>
    <w:div w:id="331488840">
      <w:bodyDiv w:val="1"/>
      <w:marLeft w:val="0"/>
      <w:marRight w:val="0"/>
      <w:marTop w:val="0"/>
      <w:marBottom w:val="0"/>
      <w:divBdr>
        <w:top w:val="none" w:sz="0" w:space="0" w:color="auto"/>
        <w:left w:val="none" w:sz="0" w:space="0" w:color="auto"/>
        <w:bottom w:val="none" w:sz="0" w:space="0" w:color="auto"/>
        <w:right w:val="none" w:sz="0" w:space="0" w:color="auto"/>
      </w:divBdr>
    </w:div>
    <w:div w:id="446890872">
      <w:bodyDiv w:val="1"/>
      <w:marLeft w:val="0"/>
      <w:marRight w:val="0"/>
      <w:marTop w:val="0"/>
      <w:marBottom w:val="0"/>
      <w:divBdr>
        <w:top w:val="none" w:sz="0" w:space="0" w:color="auto"/>
        <w:left w:val="none" w:sz="0" w:space="0" w:color="auto"/>
        <w:bottom w:val="none" w:sz="0" w:space="0" w:color="auto"/>
        <w:right w:val="none" w:sz="0" w:space="0" w:color="auto"/>
      </w:divBdr>
    </w:div>
    <w:div w:id="496193940">
      <w:bodyDiv w:val="1"/>
      <w:marLeft w:val="0"/>
      <w:marRight w:val="0"/>
      <w:marTop w:val="0"/>
      <w:marBottom w:val="0"/>
      <w:divBdr>
        <w:top w:val="none" w:sz="0" w:space="0" w:color="auto"/>
        <w:left w:val="none" w:sz="0" w:space="0" w:color="auto"/>
        <w:bottom w:val="none" w:sz="0" w:space="0" w:color="auto"/>
        <w:right w:val="none" w:sz="0" w:space="0" w:color="auto"/>
      </w:divBdr>
    </w:div>
    <w:div w:id="504516663">
      <w:bodyDiv w:val="1"/>
      <w:marLeft w:val="0"/>
      <w:marRight w:val="0"/>
      <w:marTop w:val="0"/>
      <w:marBottom w:val="0"/>
      <w:divBdr>
        <w:top w:val="none" w:sz="0" w:space="0" w:color="auto"/>
        <w:left w:val="none" w:sz="0" w:space="0" w:color="auto"/>
        <w:bottom w:val="none" w:sz="0" w:space="0" w:color="auto"/>
        <w:right w:val="none" w:sz="0" w:space="0" w:color="auto"/>
      </w:divBdr>
    </w:div>
    <w:div w:id="512955634">
      <w:bodyDiv w:val="1"/>
      <w:marLeft w:val="0"/>
      <w:marRight w:val="0"/>
      <w:marTop w:val="0"/>
      <w:marBottom w:val="0"/>
      <w:divBdr>
        <w:top w:val="none" w:sz="0" w:space="0" w:color="auto"/>
        <w:left w:val="none" w:sz="0" w:space="0" w:color="auto"/>
        <w:bottom w:val="none" w:sz="0" w:space="0" w:color="auto"/>
        <w:right w:val="none" w:sz="0" w:space="0" w:color="auto"/>
      </w:divBdr>
    </w:div>
    <w:div w:id="521435959">
      <w:bodyDiv w:val="1"/>
      <w:marLeft w:val="0"/>
      <w:marRight w:val="0"/>
      <w:marTop w:val="0"/>
      <w:marBottom w:val="0"/>
      <w:divBdr>
        <w:top w:val="none" w:sz="0" w:space="0" w:color="auto"/>
        <w:left w:val="none" w:sz="0" w:space="0" w:color="auto"/>
        <w:bottom w:val="none" w:sz="0" w:space="0" w:color="auto"/>
        <w:right w:val="none" w:sz="0" w:space="0" w:color="auto"/>
      </w:divBdr>
    </w:div>
    <w:div w:id="542448427">
      <w:bodyDiv w:val="1"/>
      <w:marLeft w:val="0"/>
      <w:marRight w:val="0"/>
      <w:marTop w:val="0"/>
      <w:marBottom w:val="0"/>
      <w:divBdr>
        <w:top w:val="none" w:sz="0" w:space="0" w:color="auto"/>
        <w:left w:val="none" w:sz="0" w:space="0" w:color="auto"/>
        <w:bottom w:val="none" w:sz="0" w:space="0" w:color="auto"/>
        <w:right w:val="none" w:sz="0" w:space="0" w:color="auto"/>
      </w:divBdr>
    </w:div>
    <w:div w:id="573975214">
      <w:bodyDiv w:val="1"/>
      <w:marLeft w:val="0"/>
      <w:marRight w:val="0"/>
      <w:marTop w:val="0"/>
      <w:marBottom w:val="0"/>
      <w:divBdr>
        <w:top w:val="none" w:sz="0" w:space="0" w:color="auto"/>
        <w:left w:val="none" w:sz="0" w:space="0" w:color="auto"/>
        <w:bottom w:val="none" w:sz="0" w:space="0" w:color="auto"/>
        <w:right w:val="none" w:sz="0" w:space="0" w:color="auto"/>
      </w:divBdr>
    </w:div>
    <w:div w:id="587345644">
      <w:bodyDiv w:val="1"/>
      <w:marLeft w:val="0"/>
      <w:marRight w:val="0"/>
      <w:marTop w:val="0"/>
      <w:marBottom w:val="0"/>
      <w:divBdr>
        <w:top w:val="none" w:sz="0" w:space="0" w:color="auto"/>
        <w:left w:val="none" w:sz="0" w:space="0" w:color="auto"/>
        <w:bottom w:val="none" w:sz="0" w:space="0" w:color="auto"/>
        <w:right w:val="none" w:sz="0" w:space="0" w:color="auto"/>
      </w:divBdr>
      <w:divsChild>
        <w:div w:id="985623045">
          <w:marLeft w:val="0"/>
          <w:marRight w:val="0"/>
          <w:marTop w:val="225"/>
          <w:marBottom w:val="0"/>
          <w:divBdr>
            <w:top w:val="none" w:sz="0" w:space="0" w:color="auto"/>
            <w:left w:val="none" w:sz="0" w:space="0" w:color="auto"/>
            <w:bottom w:val="none" w:sz="0" w:space="0" w:color="auto"/>
            <w:right w:val="none" w:sz="0" w:space="0" w:color="auto"/>
          </w:divBdr>
          <w:divsChild>
            <w:div w:id="2117403228">
              <w:marLeft w:val="0"/>
              <w:marRight w:val="0"/>
              <w:marTop w:val="0"/>
              <w:marBottom w:val="0"/>
              <w:divBdr>
                <w:top w:val="none" w:sz="0" w:space="0" w:color="auto"/>
                <w:left w:val="none" w:sz="0" w:space="0" w:color="auto"/>
                <w:bottom w:val="none" w:sz="0" w:space="0" w:color="auto"/>
                <w:right w:val="none" w:sz="0" w:space="0" w:color="auto"/>
              </w:divBdr>
            </w:div>
            <w:div w:id="172569935">
              <w:marLeft w:val="0"/>
              <w:marRight w:val="0"/>
              <w:marTop w:val="0"/>
              <w:marBottom w:val="0"/>
              <w:divBdr>
                <w:top w:val="none" w:sz="0" w:space="0" w:color="auto"/>
                <w:left w:val="none" w:sz="0" w:space="0" w:color="auto"/>
                <w:bottom w:val="none" w:sz="0" w:space="0" w:color="auto"/>
                <w:right w:val="none" w:sz="0" w:space="0" w:color="auto"/>
              </w:divBdr>
            </w:div>
          </w:divsChild>
        </w:div>
        <w:div w:id="363411800">
          <w:marLeft w:val="0"/>
          <w:marRight w:val="0"/>
          <w:marTop w:val="225"/>
          <w:marBottom w:val="0"/>
          <w:divBdr>
            <w:top w:val="none" w:sz="0" w:space="0" w:color="auto"/>
            <w:left w:val="none" w:sz="0" w:space="0" w:color="auto"/>
            <w:bottom w:val="none" w:sz="0" w:space="0" w:color="auto"/>
            <w:right w:val="none" w:sz="0" w:space="0" w:color="auto"/>
          </w:divBdr>
          <w:divsChild>
            <w:div w:id="1677154716">
              <w:marLeft w:val="0"/>
              <w:marRight w:val="0"/>
              <w:marTop w:val="0"/>
              <w:marBottom w:val="0"/>
              <w:divBdr>
                <w:top w:val="none" w:sz="0" w:space="0" w:color="auto"/>
                <w:left w:val="none" w:sz="0" w:space="0" w:color="auto"/>
                <w:bottom w:val="none" w:sz="0" w:space="0" w:color="auto"/>
                <w:right w:val="none" w:sz="0" w:space="0" w:color="auto"/>
              </w:divBdr>
            </w:div>
            <w:div w:id="1549100737">
              <w:marLeft w:val="0"/>
              <w:marRight w:val="0"/>
              <w:marTop w:val="0"/>
              <w:marBottom w:val="0"/>
              <w:divBdr>
                <w:top w:val="none" w:sz="0" w:space="0" w:color="auto"/>
                <w:left w:val="none" w:sz="0" w:space="0" w:color="auto"/>
                <w:bottom w:val="none" w:sz="0" w:space="0" w:color="auto"/>
                <w:right w:val="none" w:sz="0" w:space="0" w:color="auto"/>
              </w:divBdr>
            </w:div>
          </w:divsChild>
        </w:div>
        <w:div w:id="1324360265">
          <w:marLeft w:val="0"/>
          <w:marRight w:val="0"/>
          <w:marTop w:val="225"/>
          <w:marBottom w:val="0"/>
          <w:divBdr>
            <w:top w:val="none" w:sz="0" w:space="0" w:color="auto"/>
            <w:left w:val="none" w:sz="0" w:space="0" w:color="auto"/>
            <w:bottom w:val="none" w:sz="0" w:space="0" w:color="auto"/>
            <w:right w:val="none" w:sz="0" w:space="0" w:color="auto"/>
          </w:divBdr>
          <w:divsChild>
            <w:div w:id="2084328724">
              <w:marLeft w:val="0"/>
              <w:marRight w:val="0"/>
              <w:marTop w:val="0"/>
              <w:marBottom w:val="0"/>
              <w:divBdr>
                <w:top w:val="none" w:sz="0" w:space="0" w:color="auto"/>
                <w:left w:val="none" w:sz="0" w:space="0" w:color="auto"/>
                <w:bottom w:val="none" w:sz="0" w:space="0" w:color="auto"/>
                <w:right w:val="none" w:sz="0" w:space="0" w:color="auto"/>
              </w:divBdr>
            </w:div>
            <w:div w:id="2105765511">
              <w:marLeft w:val="0"/>
              <w:marRight w:val="0"/>
              <w:marTop w:val="0"/>
              <w:marBottom w:val="0"/>
              <w:divBdr>
                <w:top w:val="none" w:sz="0" w:space="0" w:color="auto"/>
                <w:left w:val="none" w:sz="0" w:space="0" w:color="auto"/>
                <w:bottom w:val="none" w:sz="0" w:space="0" w:color="auto"/>
                <w:right w:val="none" w:sz="0" w:space="0" w:color="auto"/>
              </w:divBdr>
            </w:div>
          </w:divsChild>
        </w:div>
        <w:div w:id="1753817021">
          <w:marLeft w:val="0"/>
          <w:marRight w:val="0"/>
          <w:marTop w:val="225"/>
          <w:marBottom w:val="0"/>
          <w:divBdr>
            <w:top w:val="none" w:sz="0" w:space="0" w:color="auto"/>
            <w:left w:val="none" w:sz="0" w:space="0" w:color="auto"/>
            <w:bottom w:val="none" w:sz="0" w:space="0" w:color="auto"/>
            <w:right w:val="none" w:sz="0" w:space="0" w:color="auto"/>
          </w:divBdr>
          <w:divsChild>
            <w:div w:id="1689214177">
              <w:marLeft w:val="0"/>
              <w:marRight w:val="0"/>
              <w:marTop w:val="0"/>
              <w:marBottom w:val="0"/>
              <w:divBdr>
                <w:top w:val="none" w:sz="0" w:space="0" w:color="auto"/>
                <w:left w:val="none" w:sz="0" w:space="0" w:color="auto"/>
                <w:bottom w:val="none" w:sz="0" w:space="0" w:color="auto"/>
                <w:right w:val="none" w:sz="0" w:space="0" w:color="auto"/>
              </w:divBdr>
            </w:div>
            <w:div w:id="149599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513759">
      <w:bodyDiv w:val="1"/>
      <w:marLeft w:val="0"/>
      <w:marRight w:val="0"/>
      <w:marTop w:val="0"/>
      <w:marBottom w:val="0"/>
      <w:divBdr>
        <w:top w:val="none" w:sz="0" w:space="0" w:color="auto"/>
        <w:left w:val="none" w:sz="0" w:space="0" w:color="auto"/>
        <w:bottom w:val="none" w:sz="0" w:space="0" w:color="auto"/>
        <w:right w:val="none" w:sz="0" w:space="0" w:color="auto"/>
      </w:divBdr>
      <w:divsChild>
        <w:div w:id="717703791">
          <w:marLeft w:val="0"/>
          <w:marRight w:val="0"/>
          <w:marTop w:val="0"/>
          <w:marBottom w:val="0"/>
          <w:divBdr>
            <w:top w:val="none" w:sz="0" w:space="0" w:color="auto"/>
            <w:left w:val="none" w:sz="0" w:space="0" w:color="auto"/>
            <w:bottom w:val="none" w:sz="0" w:space="0" w:color="auto"/>
            <w:right w:val="none" w:sz="0" w:space="0" w:color="auto"/>
          </w:divBdr>
        </w:div>
      </w:divsChild>
    </w:div>
    <w:div w:id="675574751">
      <w:bodyDiv w:val="1"/>
      <w:marLeft w:val="0"/>
      <w:marRight w:val="0"/>
      <w:marTop w:val="0"/>
      <w:marBottom w:val="0"/>
      <w:divBdr>
        <w:top w:val="none" w:sz="0" w:space="0" w:color="auto"/>
        <w:left w:val="none" w:sz="0" w:space="0" w:color="auto"/>
        <w:bottom w:val="none" w:sz="0" w:space="0" w:color="auto"/>
        <w:right w:val="none" w:sz="0" w:space="0" w:color="auto"/>
      </w:divBdr>
    </w:div>
    <w:div w:id="746683495">
      <w:bodyDiv w:val="1"/>
      <w:marLeft w:val="0"/>
      <w:marRight w:val="0"/>
      <w:marTop w:val="0"/>
      <w:marBottom w:val="0"/>
      <w:divBdr>
        <w:top w:val="none" w:sz="0" w:space="0" w:color="auto"/>
        <w:left w:val="none" w:sz="0" w:space="0" w:color="auto"/>
        <w:bottom w:val="none" w:sz="0" w:space="0" w:color="auto"/>
        <w:right w:val="none" w:sz="0" w:space="0" w:color="auto"/>
      </w:divBdr>
    </w:div>
    <w:div w:id="758212748">
      <w:bodyDiv w:val="1"/>
      <w:marLeft w:val="0"/>
      <w:marRight w:val="0"/>
      <w:marTop w:val="0"/>
      <w:marBottom w:val="0"/>
      <w:divBdr>
        <w:top w:val="none" w:sz="0" w:space="0" w:color="auto"/>
        <w:left w:val="none" w:sz="0" w:space="0" w:color="auto"/>
        <w:bottom w:val="none" w:sz="0" w:space="0" w:color="auto"/>
        <w:right w:val="none" w:sz="0" w:space="0" w:color="auto"/>
      </w:divBdr>
    </w:div>
    <w:div w:id="765151175">
      <w:bodyDiv w:val="1"/>
      <w:marLeft w:val="0"/>
      <w:marRight w:val="0"/>
      <w:marTop w:val="0"/>
      <w:marBottom w:val="0"/>
      <w:divBdr>
        <w:top w:val="none" w:sz="0" w:space="0" w:color="auto"/>
        <w:left w:val="none" w:sz="0" w:space="0" w:color="auto"/>
        <w:bottom w:val="none" w:sz="0" w:space="0" w:color="auto"/>
        <w:right w:val="none" w:sz="0" w:space="0" w:color="auto"/>
      </w:divBdr>
    </w:div>
    <w:div w:id="784035976">
      <w:bodyDiv w:val="1"/>
      <w:marLeft w:val="0"/>
      <w:marRight w:val="0"/>
      <w:marTop w:val="0"/>
      <w:marBottom w:val="0"/>
      <w:divBdr>
        <w:top w:val="none" w:sz="0" w:space="0" w:color="auto"/>
        <w:left w:val="none" w:sz="0" w:space="0" w:color="auto"/>
        <w:bottom w:val="none" w:sz="0" w:space="0" w:color="auto"/>
        <w:right w:val="none" w:sz="0" w:space="0" w:color="auto"/>
      </w:divBdr>
    </w:div>
    <w:div w:id="798378837">
      <w:bodyDiv w:val="1"/>
      <w:marLeft w:val="0"/>
      <w:marRight w:val="0"/>
      <w:marTop w:val="0"/>
      <w:marBottom w:val="0"/>
      <w:divBdr>
        <w:top w:val="none" w:sz="0" w:space="0" w:color="auto"/>
        <w:left w:val="none" w:sz="0" w:space="0" w:color="auto"/>
        <w:bottom w:val="none" w:sz="0" w:space="0" w:color="auto"/>
        <w:right w:val="none" w:sz="0" w:space="0" w:color="auto"/>
      </w:divBdr>
    </w:div>
    <w:div w:id="808324543">
      <w:bodyDiv w:val="1"/>
      <w:marLeft w:val="0"/>
      <w:marRight w:val="0"/>
      <w:marTop w:val="0"/>
      <w:marBottom w:val="0"/>
      <w:divBdr>
        <w:top w:val="none" w:sz="0" w:space="0" w:color="auto"/>
        <w:left w:val="none" w:sz="0" w:space="0" w:color="auto"/>
        <w:bottom w:val="none" w:sz="0" w:space="0" w:color="auto"/>
        <w:right w:val="none" w:sz="0" w:space="0" w:color="auto"/>
      </w:divBdr>
    </w:div>
    <w:div w:id="810247375">
      <w:bodyDiv w:val="1"/>
      <w:marLeft w:val="0"/>
      <w:marRight w:val="0"/>
      <w:marTop w:val="0"/>
      <w:marBottom w:val="0"/>
      <w:divBdr>
        <w:top w:val="none" w:sz="0" w:space="0" w:color="auto"/>
        <w:left w:val="none" w:sz="0" w:space="0" w:color="auto"/>
        <w:bottom w:val="none" w:sz="0" w:space="0" w:color="auto"/>
        <w:right w:val="none" w:sz="0" w:space="0" w:color="auto"/>
      </w:divBdr>
    </w:div>
    <w:div w:id="847602249">
      <w:bodyDiv w:val="1"/>
      <w:marLeft w:val="0"/>
      <w:marRight w:val="0"/>
      <w:marTop w:val="0"/>
      <w:marBottom w:val="0"/>
      <w:divBdr>
        <w:top w:val="none" w:sz="0" w:space="0" w:color="auto"/>
        <w:left w:val="none" w:sz="0" w:space="0" w:color="auto"/>
        <w:bottom w:val="none" w:sz="0" w:space="0" w:color="auto"/>
        <w:right w:val="none" w:sz="0" w:space="0" w:color="auto"/>
      </w:divBdr>
    </w:div>
    <w:div w:id="871191342">
      <w:bodyDiv w:val="1"/>
      <w:marLeft w:val="0"/>
      <w:marRight w:val="0"/>
      <w:marTop w:val="0"/>
      <w:marBottom w:val="0"/>
      <w:divBdr>
        <w:top w:val="none" w:sz="0" w:space="0" w:color="auto"/>
        <w:left w:val="none" w:sz="0" w:space="0" w:color="auto"/>
        <w:bottom w:val="none" w:sz="0" w:space="0" w:color="auto"/>
        <w:right w:val="none" w:sz="0" w:space="0" w:color="auto"/>
      </w:divBdr>
    </w:div>
    <w:div w:id="945892414">
      <w:bodyDiv w:val="1"/>
      <w:marLeft w:val="0"/>
      <w:marRight w:val="0"/>
      <w:marTop w:val="0"/>
      <w:marBottom w:val="0"/>
      <w:divBdr>
        <w:top w:val="none" w:sz="0" w:space="0" w:color="auto"/>
        <w:left w:val="none" w:sz="0" w:space="0" w:color="auto"/>
        <w:bottom w:val="none" w:sz="0" w:space="0" w:color="auto"/>
        <w:right w:val="none" w:sz="0" w:space="0" w:color="auto"/>
      </w:divBdr>
    </w:div>
    <w:div w:id="1035616700">
      <w:bodyDiv w:val="1"/>
      <w:marLeft w:val="0"/>
      <w:marRight w:val="0"/>
      <w:marTop w:val="0"/>
      <w:marBottom w:val="0"/>
      <w:divBdr>
        <w:top w:val="none" w:sz="0" w:space="0" w:color="auto"/>
        <w:left w:val="none" w:sz="0" w:space="0" w:color="auto"/>
        <w:bottom w:val="none" w:sz="0" w:space="0" w:color="auto"/>
        <w:right w:val="none" w:sz="0" w:space="0" w:color="auto"/>
      </w:divBdr>
    </w:div>
    <w:div w:id="1037393321">
      <w:bodyDiv w:val="1"/>
      <w:marLeft w:val="0"/>
      <w:marRight w:val="0"/>
      <w:marTop w:val="0"/>
      <w:marBottom w:val="0"/>
      <w:divBdr>
        <w:top w:val="none" w:sz="0" w:space="0" w:color="auto"/>
        <w:left w:val="none" w:sz="0" w:space="0" w:color="auto"/>
        <w:bottom w:val="none" w:sz="0" w:space="0" w:color="auto"/>
        <w:right w:val="none" w:sz="0" w:space="0" w:color="auto"/>
      </w:divBdr>
    </w:div>
    <w:div w:id="1049958568">
      <w:bodyDiv w:val="1"/>
      <w:marLeft w:val="0"/>
      <w:marRight w:val="0"/>
      <w:marTop w:val="0"/>
      <w:marBottom w:val="0"/>
      <w:divBdr>
        <w:top w:val="none" w:sz="0" w:space="0" w:color="auto"/>
        <w:left w:val="none" w:sz="0" w:space="0" w:color="auto"/>
        <w:bottom w:val="none" w:sz="0" w:space="0" w:color="auto"/>
        <w:right w:val="none" w:sz="0" w:space="0" w:color="auto"/>
      </w:divBdr>
    </w:div>
    <w:div w:id="1140999465">
      <w:bodyDiv w:val="1"/>
      <w:marLeft w:val="0"/>
      <w:marRight w:val="0"/>
      <w:marTop w:val="0"/>
      <w:marBottom w:val="0"/>
      <w:divBdr>
        <w:top w:val="none" w:sz="0" w:space="0" w:color="auto"/>
        <w:left w:val="none" w:sz="0" w:space="0" w:color="auto"/>
        <w:bottom w:val="none" w:sz="0" w:space="0" w:color="auto"/>
        <w:right w:val="none" w:sz="0" w:space="0" w:color="auto"/>
      </w:divBdr>
    </w:div>
    <w:div w:id="1180969746">
      <w:bodyDiv w:val="1"/>
      <w:marLeft w:val="0"/>
      <w:marRight w:val="0"/>
      <w:marTop w:val="0"/>
      <w:marBottom w:val="0"/>
      <w:divBdr>
        <w:top w:val="none" w:sz="0" w:space="0" w:color="auto"/>
        <w:left w:val="none" w:sz="0" w:space="0" w:color="auto"/>
        <w:bottom w:val="none" w:sz="0" w:space="0" w:color="auto"/>
        <w:right w:val="none" w:sz="0" w:space="0" w:color="auto"/>
      </w:divBdr>
    </w:div>
    <w:div w:id="1276714142">
      <w:bodyDiv w:val="1"/>
      <w:marLeft w:val="0"/>
      <w:marRight w:val="0"/>
      <w:marTop w:val="0"/>
      <w:marBottom w:val="0"/>
      <w:divBdr>
        <w:top w:val="none" w:sz="0" w:space="0" w:color="auto"/>
        <w:left w:val="none" w:sz="0" w:space="0" w:color="auto"/>
        <w:bottom w:val="none" w:sz="0" w:space="0" w:color="auto"/>
        <w:right w:val="none" w:sz="0" w:space="0" w:color="auto"/>
      </w:divBdr>
      <w:divsChild>
        <w:div w:id="1312292902">
          <w:marLeft w:val="0"/>
          <w:marRight w:val="0"/>
          <w:marTop w:val="0"/>
          <w:marBottom w:val="0"/>
          <w:divBdr>
            <w:top w:val="none" w:sz="0" w:space="0" w:color="auto"/>
            <w:left w:val="none" w:sz="0" w:space="0" w:color="auto"/>
            <w:bottom w:val="none" w:sz="0" w:space="0" w:color="auto"/>
            <w:right w:val="none" w:sz="0" w:space="0" w:color="auto"/>
          </w:divBdr>
        </w:div>
      </w:divsChild>
    </w:div>
    <w:div w:id="1291588971">
      <w:bodyDiv w:val="1"/>
      <w:marLeft w:val="0"/>
      <w:marRight w:val="0"/>
      <w:marTop w:val="0"/>
      <w:marBottom w:val="0"/>
      <w:divBdr>
        <w:top w:val="none" w:sz="0" w:space="0" w:color="auto"/>
        <w:left w:val="none" w:sz="0" w:space="0" w:color="auto"/>
        <w:bottom w:val="none" w:sz="0" w:space="0" w:color="auto"/>
        <w:right w:val="none" w:sz="0" w:space="0" w:color="auto"/>
      </w:divBdr>
    </w:div>
    <w:div w:id="1382634375">
      <w:bodyDiv w:val="1"/>
      <w:marLeft w:val="0"/>
      <w:marRight w:val="0"/>
      <w:marTop w:val="0"/>
      <w:marBottom w:val="0"/>
      <w:divBdr>
        <w:top w:val="none" w:sz="0" w:space="0" w:color="auto"/>
        <w:left w:val="none" w:sz="0" w:space="0" w:color="auto"/>
        <w:bottom w:val="none" w:sz="0" w:space="0" w:color="auto"/>
        <w:right w:val="none" w:sz="0" w:space="0" w:color="auto"/>
      </w:divBdr>
    </w:div>
    <w:div w:id="1399589974">
      <w:bodyDiv w:val="1"/>
      <w:marLeft w:val="0"/>
      <w:marRight w:val="0"/>
      <w:marTop w:val="0"/>
      <w:marBottom w:val="0"/>
      <w:divBdr>
        <w:top w:val="none" w:sz="0" w:space="0" w:color="auto"/>
        <w:left w:val="none" w:sz="0" w:space="0" w:color="auto"/>
        <w:bottom w:val="none" w:sz="0" w:space="0" w:color="auto"/>
        <w:right w:val="none" w:sz="0" w:space="0" w:color="auto"/>
      </w:divBdr>
    </w:div>
    <w:div w:id="1459446597">
      <w:bodyDiv w:val="1"/>
      <w:marLeft w:val="0"/>
      <w:marRight w:val="0"/>
      <w:marTop w:val="0"/>
      <w:marBottom w:val="0"/>
      <w:divBdr>
        <w:top w:val="none" w:sz="0" w:space="0" w:color="auto"/>
        <w:left w:val="none" w:sz="0" w:space="0" w:color="auto"/>
        <w:bottom w:val="none" w:sz="0" w:space="0" w:color="auto"/>
        <w:right w:val="none" w:sz="0" w:space="0" w:color="auto"/>
      </w:divBdr>
    </w:div>
    <w:div w:id="1515270282">
      <w:bodyDiv w:val="1"/>
      <w:marLeft w:val="0"/>
      <w:marRight w:val="0"/>
      <w:marTop w:val="0"/>
      <w:marBottom w:val="0"/>
      <w:divBdr>
        <w:top w:val="none" w:sz="0" w:space="0" w:color="auto"/>
        <w:left w:val="none" w:sz="0" w:space="0" w:color="auto"/>
        <w:bottom w:val="none" w:sz="0" w:space="0" w:color="auto"/>
        <w:right w:val="none" w:sz="0" w:space="0" w:color="auto"/>
      </w:divBdr>
    </w:div>
    <w:div w:id="1578398638">
      <w:bodyDiv w:val="1"/>
      <w:marLeft w:val="0"/>
      <w:marRight w:val="0"/>
      <w:marTop w:val="0"/>
      <w:marBottom w:val="0"/>
      <w:divBdr>
        <w:top w:val="none" w:sz="0" w:space="0" w:color="auto"/>
        <w:left w:val="none" w:sz="0" w:space="0" w:color="auto"/>
        <w:bottom w:val="none" w:sz="0" w:space="0" w:color="auto"/>
        <w:right w:val="none" w:sz="0" w:space="0" w:color="auto"/>
      </w:divBdr>
    </w:div>
    <w:div w:id="1598515826">
      <w:bodyDiv w:val="1"/>
      <w:marLeft w:val="0"/>
      <w:marRight w:val="0"/>
      <w:marTop w:val="0"/>
      <w:marBottom w:val="0"/>
      <w:divBdr>
        <w:top w:val="none" w:sz="0" w:space="0" w:color="auto"/>
        <w:left w:val="none" w:sz="0" w:space="0" w:color="auto"/>
        <w:bottom w:val="none" w:sz="0" w:space="0" w:color="auto"/>
        <w:right w:val="none" w:sz="0" w:space="0" w:color="auto"/>
      </w:divBdr>
    </w:div>
    <w:div w:id="1653679549">
      <w:bodyDiv w:val="1"/>
      <w:marLeft w:val="0"/>
      <w:marRight w:val="0"/>
      <w:marTop w:val="0"/>
      <w:marBottom w:val="0"/>
      <w:divBdr>
        <w:top w:val="none" w:sz="0" w:space="0" w:color="auto"/>
        <w:left w:val="none" w:sz="0" w:space="0" w:color="auto"/>
        <w:bottom w:val="none" w:sz="0" w:space="0" w:color="auto"/>
        <w:right w:val="none" w:sz="0" w:space="0" w:color="auto"/>
      </w:divBdr>
    </w:div>
    <w:div w:id="1666930569">
      <w:bodyDiv w:val="1"/>
      <w:marLeft w:val="0"/>
      <w:marRight w:val="0"/>
      <w:marTop w:val="0"/>
      <w:marBottom w:val="0"/>
      <w:divBdr>
        <w:top w:val="none" w:sz="0" w:space="0" w:color="auto"/>
        <w:left w:val="none" w:sz="0" w:space="0" w:color="auto"/>
        <w:bottom w:val="none" w:sz="0" w:space="0" w:color="auto"/>
        <w:right w:val="none" w:sz="0" w:space="0" w:color="auto"/>
      </w:divBdr>
    </w:div>
    <w:div w:id="1687562323">
      <w:bodyDiv w:val="1"/>
      <w:marLeft w:val="0"/>
      <w:marRight w:val="0"/>
      <w:marTop w:val="0"/>
      <w:marBottom w:val="0"/>
      <w:divBdr>
        <w:top w:val="none" w:sz="0" w:space="0" w:color="auto"/>
        <w:left w:val="none" w:sz="0" w:space="0" w:color="auto"/>
        <w:bottom w:val="none" w:sz="0" w:space="0" w:color="auto"/>
        <w:right w:val="none" w:sz="0" w:space="0" w:color="auto"/>
      </w:divBdr>
    </w:div>
    <w:div w:id="1816335889">
      <w:bodyDiv w:val="1"/>
      <w:marLeft w:val="0"/>
      <w:marRight w:val="0"/>
      <w:marTop w:val="0"/>
      <w:marBottom w:val="0"/>
      <w:divBdr>
        <w:top w:val="none" w:sz="0" w:space="0" w:color="auto"/>
        <w:left w:val="none" w:sz="0" w:space="0" w:color="auto"/>
        <w:bottom w:val="none" w:sz="0" w:space="0" w:color="auto"/>
        <w:right w:val="none" w:sz="0" w:space="0" w:color="auto"/>
      </w:divBdr>
    </w:div>
    <w:div w:id="1901091509">
      <w:bodyDiv w:val="1"/>
      <w:marLeft w:val="0"/>
      <w:marRight w:val="0"/>
      <w:marTop w:val="0"/>
      <w:marBottom w:val="0"/>
      <w:divBdr>
        <w:top w:val="none" w:sz="0" w:space="0" w:color="auto"/>
        <w:left w:val="none" w:sz="0" w:space="0" w:color="auto"/>
        <w:bottom w:val="none" w:sz="0" w:space="0" w:color="auto"/>
        <w:right w:val="none" w:sz="0" w:space="0" w:color="auto"/>
      </w:divBdr>
    </w:div>
    <w:div w:id="1913351114">
      <w:bodyDiv w:val="1"/>
      <w:marLeft w:val="0"/>
      <w:marRight w:val="0"/>
      <w:marTop w:val="0"/>
      <w:marBottom w:val="0"/>
      <w:divBdr>
        <w:top w:val="none" w:sz="0" w:space="0" w:color="auto"/>
        <w:left w:val="none" w:sz="0" w:space="0" w:color="auto"/>
        <w:bottom w:val="none" w:sz="0" w:space="0" w:color="auto"/>
        <w:right w:val="none" w:sz="0" w:space="0" w:color="auto"/>
      </w:divBdr>
    </w:div>
    <w:div w:id="2051293862">
      <w:bodyDiv w:val="1"/>
      <w:marLeft w:val="0"/>
      <w:marRight w:val="0"/>
      <w:marTop w:val="0"/>
      <w:marBottom w:val="0"/>
      <w:divBdr>
        <w:top w:val="none" w:sz="0" w:space="0" w:color="auto"/>
        <w:left w:val="none" w:sz="0" w:space="0" w:color="auto"/>
        <w:bottom w:val="none" w:sz="0" w:space="0" w:color="auto"/>
        <w:right w:val="none" w:sz="0" w:space="0" w:color="auto"/>
      </w:divBdr>
    </w:div>
    <w:div w:id="2083792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ederalcircuitcourt.gov.au/wps/wcm/connect/fccweb/court-reform/merger-news-all" TargetMode="External"/><Relationship Id="rId13" Type="http://schemas.openxmlformats.org/officeDocument/2006/relationships/hyperlink" Target="http://www.familycourt.gov.au/wps/wcm/connect/fcoaweb/reports-and-publications/media-releases/2021/mr300721"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www.federalcircuitcourt.gov.au/wps/wcm/connect/fccweb/reports-and-publications/media-releases/2021/mr130821" TargetMode="External"/><Relationship Id="rId17" Type="http://schemas.openxmlformats.org/officeDocument/2006/relationships/hyperlink" Target="mailto:denise.healy@familycourt.gov.a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federalcircuitcourt.gov.au/wps/wcm/connect/fccweb/court-lists-and-circuits/subscrib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familycourt.gov.au/wps/wcm/connect/fcoaweb/court-lists-and-circuits/subscribe/" TargetMode="External"/><Relationship Id="rId23" Type="http://schemas.openxmlformats.org/officeDocument/2006/relationships/footer" Target="footer3.xml"/><Relationship Id="rId10" Type="http://schemas.openxmlformats.org/officeDocument/2006/relationships/hyperlink" Target="http://www.federalcircuitcourt.gov.au/wps/wcm/connect/fccweb/reports-and-publications/media-releases/2021/mr300721"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federalcircuitcourt.gov.au/wps/wcm/connect/fccweb/court-reform/fam-cpd" TargetMode="External"/><Relationship Id="rId14" Type="http://schemas.openxmlformats.org/officeDocument/2006/relationships/hyperlink" Target="http://www.federalcircuitcourt.gov.au/wps/wcm/connect/fccweb/reports-and-publications/media-releases/2021/mr300721" TargetMode="External"/><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65BF3F-6CD8-4E9E-A45F-096D24C42C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2109</Words>
  <Characters>12026</Characters>
  <Application>Microsoft Office Word</Application>
  <DocSecurity>4</DocSecurity>
  <Lines>100</Lines>
  <Paragraphs>28</Paragraphs>
  <ScaleCrop>false</ScaleCrop>
  <HeadingPairs>
    <vt:vector size="2" baseType="variant">
      <vt:variant>
        <vt:lpstr>Title</vt:lpstr>
      </vt:variant>
      <vt:variant>
        <vt:i4>1</vt:i4>
      </vt:variant>
    </vt:vector>
  </HeadingPairs>
  <TitlesOfParts>
    <vt:vector size="1" baseType="lpstr">
      <vt:lpstr>Media Release - Update to the profession: Commencement of the new</vt:lpstr>
    </vt:vector>
  </TitlesOfParts>
  <Company>Federal Court of Australia</Company>
  <LinksUpToDate>false</LinksUpToDate>
  <CharactersWithSpaces>14107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Update to the profession: Commencement of the new</dc:title>
  <dc:subject/>
  <dc:creator>Family Court of Australia;Federal Circuit Court of Australia</dc:creator>
  <cp:keywords/>
  <dc:description/>
  <cp:lastModifiedBy>Christine Tuff</cp:lastModifiedBy>
  <cp:revision>2</cp:revision>
  <cp:lastPrinted>2021-05-13T05:35:00Z</cp:lastPrinted>
  <dcterms:created xsi:type="dcterms:W3CDTF">2021-08-20T06:56:00Z</dcterms:created>
  <dcterms:modified xsi:type="dcterms:W3CDTF">2021-08-20T06:56:00Z</dcterms:modified>
</cp:coreProperties>
</file>