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p w14:paraId="3B3A5191" w14:textId="056996A8" w:rsidR="00E11EB8" w:rsidRPr="00DB3085" w:rsidRDefault="00AB7BFC" w:rsidP="00E11EB8">
      <w:pPr>
        <w:pStyle w:val="Heading1"/>
        <w:spacing w:before="480" w:after="360"/>
        <w:rPr>
          <w:noProof/>
          <w:sz w:val="32"/>
          <w:szCs w:val="32"/>
        </w:rPr>
      </w:pPr>
      <w:r w:rsidRPr="00DB3085">
        <w:rPr>
          <w:noProof/>
          <w:sz w:val="32"/>
          <w:szCs w:val="32"/>
        </w:rPr>
        <mc:AlternateContent>
          <mc:Choice Requires="wps">
            <w:drawing>
              <wp:anchor distT="0" distB="0" distL="114300" distR="114300" simplePos="0" relativeHeight="251659264" behindDoc="0" locked="0" layoutInCell="0" allowOverlap="1" wp14:anchorId="6B9917E8" wp14:editId="6B371C69">
                <wp:simplePos x="0" y="0"/>
                <wp:positionH relativeFrom="margin">
                  <wp:posOffset>3068620</wp:posOffset>
                </wp:positionH>
                <wp:positionV relativeFrom="line">
                  <wp:posOffset>-180711</wp:posOffset>
                </wp:positionV>
                <wp:extent cx="2865755" cy="266400"/>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400"/>
                        </a:xfrm>
                        <a:prstGeom prst="rect">
                          <a:avLst/>
                        </a:prstGeom>
                        <a:solidFill>
                          <a:schemeClr val="bg1">
                            <a:lumMod val="85000"/>
                          </a:schemeClr>
                        </a:solidFill>
                        <a:ln w="9525">
                          <a:solidFill>
                            <a:schemeClr val="bg1">
                              <a:lumMod val="85000"/>
                            </a:schemeClr>
                          </a:solidFill>
                          <a:miter lim="800000"/>
                          <a:headEnd/>
                          <a:tailEnd/>
                        </a:ln>
                        <a:extLst/>
                      </wps:spPr>
                      <wps:txbx>
                        <w:txbxContent>
                          <w:p w14:paraId="5A2D9093" w14:textId="1244270F" w:rsidR="00AB7BFC" w:rsidRPr="001A4EBF" w:rsidRDefault="00AD0C78"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20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left:0;text-align:left;margin-left:241.6pt;margin-top:-14.25pt;width:225.65pt;height:2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" o:allowincell="f" fillcolor="#d8d8d8 [2732]" strokecolor="#d8d8d8 [2732]">
                <v:textbox inset="2mm,0,0,0">
                  <w:txbxContent>
                    <w:p w14:paraId="5A2D9093" w14:textId="1244270F" w:rsidR="00AB7BFC" w:rsidRPr="001A4EBF" w:rsidRDefault="00AD0C78"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20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anchory="line"/>
              </v:shape>
            </w:pict>
          </mc:Fallback>
        </mc:AlternateContent>
      </w:r>
      <w:r w:rsidR="001A050E" w:rsidRPr="00DB3085">
        <w:rPr>
          <w:noProof/>
          <w:sz w:val="32"/>
          <w:szCs w:val="32"/>
        </w:rPr>
        <w:t xml:space="preserve">COVID-19 Update: </w:t>
      </w:r>
      <w:r w:rsidR="00AD0C78">
        <w:rPr>
          <w:noProof/>
          <w:sz w:val="32"/>
          <w:szCs w:val="32"/>
        </w:rPr>
        <w:t xml:space="preserve">Reminder that family law </w:t>
      </w:r>
      <w:r w:rsidR="00325BC9">
        <w:rPr>
          <w:noProof/>
          <w:sz w:val="32"/>
          <w:szCs w:val="32"/>
        </w:rPr>
        <w:t xml:space="preserve">disputes impacted by the pandemic </w:t>
      </w:r>
      <w:r w:rsidR="00601EB4">
        <w:rPr>
          <w:noProof/>
          <w:sz w:val="32"/>
          <w:szCs w:val="32"/>
        </w:rPr>
        <w:t>may</w:t>
      </w:r>
      <w:r w:rsidR="00AD0C78">
        <w:rPr>
          <w:noProof/>
          <w:sz w:val="32"/>
          <w:szCs w:val="32"/>
        </w:rPr>
        <w:t xml:space="preserve"> be dealt with through the Courts’ COVID-19 List</w:t>
      </w:r>
      <w:r w:rsidR="00E11EB8" w:rsidRPr="00DB3085">
        <w:rPr>
          <w:noProof/>
          <w:sz w:val="32"/>
          <w:szCs w:val="32"/>
        </w:rPr>
        <w:t xml:space="preserve"> </w:t>
      </w:r>
    </w:p>
    <w:bookmarkEnd w:id="0"/>
    <w:p w14:paraId="58835579" w14:textId="72411F0D" w:rsidR="001A050E" w:rsidRPr="00B32633" w:rsidRDefault="00AD0C78" w:rsidP="00AC6522">
      <w:pPr>
        <w:spacing w:after="240" w:line="276" w:lineRule="auto"/>
        <w:rPr>
          <w:rFonts w:ascii="Calibri" w:eastAsiaTheme="minorHAnsi" w:hAnsi="Calibri" w:cs="Calibri"/>
          <w:color w:val="000000"/>
          <w:sz w:val="22"/>
          <w:szCs w:val="22"/>
          <w:lang w:eastAsia="en-US"/>
        </w:rPr>
      </w:pPr>
      <w:r w:rsidRPr="00B32633">
        <w:rPr>
          <w:rFonts w:ascii="Calibri" w:eastAsiaTheme="minorHAnsi" w:hAnsi="Calibri" w:cs="Calibri"/>
          <w:color w:val="000000"/>
          <w:sz w:val="22"/>
          <w:szCs w:val="22"/>
          <w:lang w:eastAsia="en-US"/>
        </w:rPr>
        <w:t>As many Australian communities and families are enduring varying forms of Government</w:t>
      </w:r>
      <w:r w:rsidR="007571B4">
        <w:rPr>
          <w:rFonts w:ascii="Calibri" w:eastAsiaTheme="minorHAnsi" w:hAnsi="Calibri" w:cs="Calibri"/>
          <w:color w:val="000000"/>
          <w:sz w:val="22"/>
          <w:szCs w:val="22"/>
          <w:lang w:eastAsia="en-US"/>
        </w:rPr>
        <w:t>-</w:t>
      </w:r>
      <w:r w:rsidRPr="00B32633">
        <w:rPr>
          <w:rFonts w:ascii="Calibri" w:eastAsiaTheme="minorHAnsi" w:hAnsi="Calibri" w:cs="Calibri"/>
          <w:color w:val="000000"/>
          <w:sz w:val="22"/>
          <w:szCs w:val="22"/>
          <w:lang w:eastAsia="en-US"/>
        </w:rPr>
        <w:t xml:space="preserve">imposed </w:t>
      </w:r>
      <w:r w:rsidR="001A050E" w:rsidRPr="00B32633">
        <w:rPr>
          <w:rFonts w:ascii="Calibri" w:eastAsiaTheme="minorHAnsi" w:hAnsi="Calibri" w:cs="Calibri"/>
          <w:color w:val="000000"/>
          <w:sz w:val="22"/>
          <w:szCs w:val="22"/>
          <w:lang w:eastAsia="en-US"/>
        </w:rPr>
        <w:t>restrictions</w:t>
      </w:r>
      <w:r w:rsidRPr="00B32633">
        <w:rPr>
          <w:rFonts w:ascii="Calibri" w:eastAsiaTheme="minorHAnsi" w:hAnsi="Calibri" w:cs="Calibri"/>
          <w:color w:val="000000"/>
          <w:sz w:val="22"/>
          <w:szCs w:val="22"/>
          <w:lang w:eastAsia="en-US"/>
        </w:rPr>
        <w:t xml:space="preserve"> in response to the </w:t>
      </w:r>
      <w:r w:rsidR="00A03055">
        <w:rPr>
          <w:rFonts w:ascii="Calibri" w:eastAsiaTheme="minorHAnsi" w:hAnsi="Calibri" w:cs="Calibri"/>
          <w:color w:val="000000"/>
          <w:sz w:val="22"/>
          <w:szCs w:val="22"/>
          <w:lang w:eastAsia="en-US"/>
        </w:rPr>
        <w:t xml:space="preserve">ongoing </w:t>
      </w:r>
      <w:r w:rsidRPr="00B32633">
        <w:rPr>
          <w:rFonts w:ascii="Calibri" w:eastAsiaTheme="minorHAnsi" w:hAnsi="Calibri" w:cs="Calibri"/>
          <w:color w:val="000000"/>
          <w:sz w:val="22"/>
          <w:szCs w:val="22"/>
          <w:lang w:eastAsia="en-US"/>
        </w:rPr>
        <w:t>COVID-19 pandemic, i</w:t>
      </w:r>
      <w:r w:rsidR="001A050E" w:rsidRPr="00B32633">
        <w:rPr>
          <w:rFonts w:ascii="Calibri" w:eastAsiaTheme="minorHAnsi" w:hAnsi="Calibri" w:cs="Calibri"/>
          <w:color w:val="000000"/>
          <w:sz w:val="22"/>
          <w:szCs w:val="22"/>
          <w:lang w:eastAsia="en-US"/>
        </w:rPr>
        <w:t>t is important to reiterate that the Family Court of Australia and Federal Circuit Court of Australia (the Courts) are essential service providers, and the Courts remain open</w:t>
      </w:r>
      <w:r w:rsidR="00B32633" w:rsidRPr="00B32633">
        <w:rPr>
          <w:rFonts w:ascii="Calibri" w:eastAsiaTheme="minorHAnsi" w:hAnsi="Calibri" w:cs="Calibri"/>
          <w:color w:val="000000"/>
          <w:sz w:val="22"/>
          <w:szCs w:val="22"/>
          <w:lang w:eastAsia="en-US"/>
        </w:rPr>
        <w:t xml:space="preserve">. </w:t>
      </w:r>
    </w:p>
    <w:p w14:paraId="61B920D1" w14:textId="466F7044" w:rsidR="00AD0C78" w:rsidRPr="00B32633" w:rsidRDefault="00AD0C78" w:rsidP="00AC6522">
      <w:pPr>
        <w:autoSpaceDE w:val="0"/>
        <w:autoSpaceDN w:val="0"/>
        <w:adjustRightInd w:val="0"/>
        <w:spacing w:after="240" w:line="276" w:lineRule="auto"/>
        <w:rPr>
          <w:rFonts w:asciiTheme="minorHAnsi" w:hAnsiTheme="minorHAnsi" w:cstheme="minorHAnsi"/>
          <w:color w:val="000000"/>
          <w:sz w:val="22"/>
          <w:szCs w:val="22"/>
        </w:rPr>
      </w:pPr>
      <w:r w:rsidRPr="00B32633">
        <w:rPr>
          <w:rFonts w:asciiTheme="minorHAnsi" w:hAnsiTheme="minorHAnsi" w:cstheme="minorHAnsi"/>
          <w:color w:val="0F1419"/>
          <w:sz w:val="22"/>
          <w:szCs w:val="22"/>
        </w:rPr>
        <w:t xml:space="preserve">The various state and territory restrictions, including border </w:t>
      </w:r>
      <w:r w:rsidR="00B32633" w:rsidRPr="00B32633">
        <w:rPr>
          <w:rFonts w:asciiTheme="minorHAnsi" w:hAnsiTheme="minorHAnsi" w:cstheme="minorHAnsi"/>
          <w:color w:val="0F1419"/>
          <w:sz w:val="22"/>
          <w:szCs w:val="22"/>
        </w:rPr>
        <w:t>closures</w:t>
      </w:r>
      <w:r w:rsidRPr="00B32633">
        <w:rPr>
          <w:rFonts w:asciiTheme="minorHAnsi" w:hAnsiTheme="minorHAnsi" w:cstheme="minorHAnsi"/>
          <w:color w:val="0F1419"/>
          <w:sz w:val="22"/>
          <w:szCs w:val="22"/>
        </w:rPr>
        <w:t>, may impact parenting or other family law orders</w:t>
      </w:r>
      <w:r w:rsidR="00B32633" w:rsidRPr="00B32633">
        <w:rPr>
          <w:rFonts w:asciiTheme="minorHAnsi" w:hAnsiTheme="minorHAnsi" w:cstheme="minorHAnsi"/>
          <w:color w:val="0F1419"/>
          <w:sz w:val="22"/>
          <w:szCs w:val="22"/>
        </w:rPr>
        <w:t xml:space="preserve">, or may </w:t>
      </w:r>
      <w:r w:rsidR="007571B4">
        <w:rPr>
          <w:rFonts w:asciiTheme="minorHAnsi" w:hAnsiTheme="minorHAnsi" w:cstheme="minorHAnsi"/>
          <w:color w:val="0F1419"/>
          <w:sz w:val="22"/>
          <w:szCs w:val="22"/>
        </w:rPr>
        <w:t xml:space="preserve">have </w:t>
      </w:r>
      <w:r w:rsidR="00B32633" w:rsidRPr="00B32633">
        <w:rPr>
          <w:rFonts w:asciiTheme="minorHAnsi" w:hAnsiTheme="minorHAnsi" w:cstheme="minorHAnsi"/>
          <w:color w:val="0F1419"/>
          <w:sz w:val="22"/>
          <w:szCs w:val="22"/>
        </w:rPr>
        <w:t>create</w:t>
      </w:r>
      <w:r w:rsidR="007571B4">
        <w:rPr>
          <w:rFonts w:asciiTheme="minorHAnsi" w:hAnsiTheme="minorHAnsi" w:cstheme="minorHAnsi"/>
          <w:color w:val="0F1419"/>
          <w:sz w:val="22"/>
          <w:szCs w:val="22"/>
        </w:rPr>
        <w:t>d</w:t>
      </w:r>
      <w:r w:rsidR="00B32633" w:rsidRPr="00B32633">
        <w:rPr>
          <w:rFonts w:asciiTheme="minorHAnsi" w:hAnsiTheme="minorHAnsi" w:cstheme="minorHAnsi"/>
          <w:color w:val="0F1419"/>
          <w:sz w:val="22"/>
          <w:szCs w:val="22"/>
        </w:rPr>
        <w:t xml:space="preserve"> new issues of dispute</w:t>
      </w:r>
      <w:r w:rsidRPr="00B32633">
        <w:rPr>
          <w:rFonts w:asciiTheme="minorHAnsi" w:hAnsiTheme="minorHAnsi" w:cstheme="minorHAnsi"/>
          <w:color w:val="0F1419"/>
          <w:sz w:val="22"/>
          <w:szCs w:val="22"/>
        </w:rPr>
        <w:t>. Families that are having difficulties and cannot negotiate a resolution in regard to shared-care arrangements for their children</w:t>
      </w:r>
      <w:r w:rsidR="00B32633" w:rsidRPr="00B32633">
        <w:rPr>
          <w:rFonts w:asciiTheme="minorHAnsi" w:hAnsiTheme="minorHAnsi" w:cstheme="minorHAnsi"/>
          <w:color w:val="0F1419"/>
          <w:sz w:val="22"/>
          <w:szCs w:val="22"/>
        </w:rPr>
        <w:t xml:space="preserve"> for example</w:t>
      </w:r>
      <w:r w:rsidRPr="00B32633">
        <w:rPr>
          <w:rFonts w:asciiTheme="minorHAnsi" w:hAnsiTheme="minorHAnsi" w:cstheme="minorHAnsi"/>
          <w:color w:val="0F1419"/>
          <w:sz w:val="22"/>
          <w:szCs w:val="22"/>
        </w:rPr>
        <w:t xml:space="preserve">, may be eligible for priority hearing through the Courts’ </w:t>
      </w:r>
      <w:hyperlink r:id="rId8" w:history="1">
        <w:r w:rsidRPr="00B32633">
          <w:rPr>
            <w:rStyle w:val="Hyperlink"/>
            <w:rFonts w:asciiTheme="minorHAnsi" w:hAnsiTheme="minorHAnsi" w:cstheme="minorHAnsi"/>
            <w:sz w:val="22"/>
            <w:szCs w:val="22"/>
          </w:rPr>
          <w:t>National COVID-19 List</w:t>
        </w:r>
      </w:hyperlink>
      <w:r w:rsidR="00A03055">
        <w:rPr>
          <w:rFonts w:asciiTheme="minorHAnsi" w:hAnsiTheme="minorHAnsi" w:cstheme="minorHAnsi"/>
          <w:color w:val="0562C1"/>
          <w:sz w:val="22"/>
          <w:szCs w:val="22"/>
        </w:rPr>
        <w:t xml:space="preserve"> </w:t>
      </w:r>
      <w:r w:rsidR="00A03055">
        <w:rPr>
          <w:rFonts w:asciiTheme="minorHAnsi" w:hAnsiTheme="minorHAnsi" w:cstheme="minorHAnsi"/>
          <w:color w:val="000000"/>
          <w:sz w:val="22"/>
          <w:szCs w:val="22"/>
        </w:rPr>
        <w:t>which is</w:t>
      </w:r>
      <w:r w:rsidRPr="00B32633">
        <w:rPr>
          <w:rFonts w:asciiTheme="minorHAnsi" w:hAnsiTheme="minorHAnsi" w:cstheme="minorHAnsi"/>
          <w:color w:val="000000"/>
          <w:sz w:val="22"/>
          <w:szCs w:val="22"/>
        </w:rPr>
        <w:t xml:space="preserve"> dedicated to dealing exclusively with priority family law disputes that have arisen as a direct result of the COVID-19 pandemic. </w:t>
      </w:r>
    </w:p>
    <w:p w14:paraId="534979C2" w14:textId="4271ADB5" w:rsidR="00B32633" w:rsidRPr="00B32633" w:rsidRDefault="00B32633" w:rsidP="00AC6522">
      <w:pPr>
        <w:autoSpaceDE w:val="0"/>
        <w:autoSpaceDN w:val="0"/>
        <w:adjustRightInd w:val="0"/>
        <w:spacing w:after="240" w:line="276" w:lineRule="auto"/>
        <w:rPr>
          <w:rFonts w:ascii="Calibri" w:eastAsiaTheme="minorHAnsi" w:hAnsi="Calibri" w:cs="Calibri"/>
          <w:color w:val="000000"/>
          <w:sz w:val="22"/>
          <w:szCs w:val="22"/>
          <w:lang w:eastAsia="en-US"/>
        </w:rPr>
      </w:pPr>
      <w:r w:rsidRPr="00B32633">
        <w:rPr>
          <w:rFonts w:ascii="Calibri" w:eastAsiaTheme="minorHAnsi" w:hAnsi="Calibri" w:cs="Calibri"/>
          <w:color w:val="000000"/>
          <w:sz w:val="22"/>
          <w:szCs w:val="22"/>
          <w:lang w:eastAsia="en-US"/>
        </w:rPr>
        <w:t xml:space="preserve">Chief Justice Alstergren has previously raised the expectation that during these times, parties should cooperate and ensure that the best interests of the child are addressed by complying with court orders. If strict adherence to parenting orders is not possible, it is imperative that any revised arrangements reflect the spirit of the orders. </w:t>
      </w:r>
    </w:p>
    <w:p w14:paraId="28839CD9" w14:textId="77777777" w:rsidR="00B32633" w:rsidRPr="00B32633" w:rsidRDefault="00B32633" w:rsidP="00AC6522">
      <w:pPr>
        <w:autoSpaceDE w:val="0"/>
        <w:autoSpaceDN w:val="0"/>
        <w:adjustRightInd w:val="0"/>
        <w:spacing w:after="240" w:line="276" w:lineRule="auto"/>
        <w:rPr>
          <w:rFonts w:ascii="Calibri" w:eastAsiaTheme="minorHAnsi" w:hAnsi="Calibri" w:cs="Calibri"/>
          <w:color w:val="000000"/>
          <w:sz w:val="22"/>
          <w:szCs w:val="22"/>
          <w:lang w:eastAsia="en-US"/>
        </w:rPr>
      </w:pPr>
      <w:r w:rsidRPr="00B32633">
        <w:rPr>
          <w:rFonts w:ascii="Calibri" w:eastAsiaTheme="minorHAnsi" w:hAnsi="Calibri" w:cs="Calibri"/>
          <w:color w:val="000000"/>
          <w:sz w:val="22"/>
          <w:szCs w:val="22"/>
          <w:lang w:eastAsia="en-US"/>
        </w:rPr>
        <w:t>“Families can be reassured to know that they are not alone and if they cannot resolve their disputes independently, they should seek help from the many support services that are available, or contact the Courts which are open and here to assist through the National COVID-19 List for example.</w:t>
      </w:r>
    </w:p>
    <w:p w14:paraId="1F0CD352" w14:textId="1DF8B329" w:rsidR="00B32633" w:rsidRPr="00B32633" w:rsidRDefault="00B32633" w:rsidP="00AC6522">
      <w:pPr>
        <w:spacing w:after="240" w:line="276" w:lineRule="auto"/>
        <w:rPr>
          <w:rFonts w:ascii="Calibri" w:eastAsiaTheme="minorHAnsi" w:hAnsi="Calibri" w:cs="Calibri"/>
          <w:color w:val="000000"/>
          <w:sz w:val="22"/>
          <w:szCs w:val="22"/>
          <w:lang w:eastAsia="en-US"/>
        </w:rPr>
      </w:pPr>
      <w:r w:rsidRPr="00B32633">
        <w:rPr>
          <w:rFonts w:ascii="Calibri" w:eastAsiaTheme="minorHAnsi" w:hAnsi="Calibri" w:cs="Calibri"/>
          <w:color w:val="000000"/>
          <w:sz w:val="22"/>
          <w:szCs w:val="22"/>
          <w:lang w:eastAsia="en-US"/>
        </w:rPr>
        <w:t>“The Courts continue to provide access to justice in a timely and responsive wa</w:t>
      </w:r>
      <w:r w:rsidR="00A03055">
        <w:rPr>
          <w:rFonts w:ascii="Calibri" w:eastAsiaTheme="minorHAnsi" w:hAnsi="Calibri" w:cs="Calibri"/>
          <w:color w:val="000000"/>
          <w:sz w:val="22"/>
          <w:szCs w:val="22"/>
          <w:lang w:eastAsia="en-US"/>
        </w:rPr>
        <w:t>y</w:t>
      </w:r>
      <w:r w:rsidRPr="00B32633">
        <w:rPr>
          <w:rFonts w:ascii="Calibri" w:eastAsiaTheme="minorHAnsi" w:hAnsi="Calibri" w:cs="Calibri"/>
          <w:color w:val="000000"/>
          <w:sz w:val="22"/>
          <w:szCs w:val="22"/>
          <w:lang w:eastAsia="en-US"/>
        </w:rPr>
        <w:t xml:space="preserve"> whilst balancing this against the public health directions and necessary restrictions to protect our staff and our community,” Chief Justice Alstergren said. </w:t>
      </w:r>
    </w:p>
    <w:p w14:paraId="42B42666" w14:textId="0A22F93B" w:rsidR="00DC1BCD" w:rsidRPr="00B32633" w:rsidRDefault="00B32633" w:rsidP="00AC6522">
      <w:pPr>
        <w:autoSpaceDE w:val="0"/>
        <w:autoSpaceDN w:val="0"/>
        <w:adjustRightInd w:val="0"/>
        <w:spacing w:after="240" w:line="276" w:lineRule="auto"/>
        <w:rPr>
          <w:sz w:val="22"/>
          <w:szCs w:val="22"/>
        </w:rPr>
      </w:pPr>
      <w:r w:rsidRPr="00B32633">
        <w:rPr>
          <w:rFonts w:ascii="Calibri" w:eastAsiaTheme="minorHAnsi" w:hAnsi="Calibri" w:cs="Calibri"/>
          <w:color w:val="000000"/>
          <w:sz w:val="22"/>
          <w:szCs w:val="22"/>
          <w:lang w:eastAsia="en-US"/>
        </w:rPr>
        <w:t xml:space="preserve">In impacted locations, trials and other hearings are generally </w:t>
      </w:r>
      <w:r w:rsidR="001A050E" w:rsidRPr="00B32633">
        <w:rPr>
          <w:rFonts w:ascii="Calibri" w:eastAsiaTheme="minorHAnsi" w:hAnsi="Calibri" w:cs="Calibri"/>
          <w:color w:val="000000"/>
          <w:sz w:val="22"/>
          <w:szCs w:val="22"/>
          <w:lang w:eastAsia="en-US"/>
        </w:rPr>
        <w:t>conduct</w:t>
      </w:r>
      <w:r w:rsidRPr="00B32633">
        <w:rPr>
          <w:rFonts w:ascii="Calibri" w:eastAsiaTheme="minorHAnsi" w:hAnsi="Calibri" w:cs="Calibri"/>
          <w:color w:val="000000"/>
          <w:sz w:val="22"/>
          <w:szCs w:val="22"/>
          <w:lang w:eastAsia="en-US"/>
        </w:rPr>
        <w:t xml:space="preserve">ed </w:t>
      </w:r>
      <w:r w:rsidR="001A050E" w:rsidRPr="00B32633">
        <w:rPr>
          <w:rFonts w:ascii="Calibri" w:eastAsiaTheme="minorHAnsi" w:hAnsi="Calibri" w:cs="Calibri"/>
          <w:color w:val="000000"/>
          <w:sz w:val="22"/>
          <w:szCs w:val="22"/>
          <w:lang w:eastAsia="en-US"/>
        </w:rPr>
        <w:t>electronically via telephone or Microsoft Teams</w:t>
      </w:r>
      <w:r w:rsidR="00DC1BCD" w:rsidRPr="00B32633">
        <w:rPr>
          <w:rFonts w:ascii="Calibri" w:eastAsiaTheme="minorHAnsi" w:hAnsi="Calibri" w:cs="Calibri"/>
          <w:color w:val="000000"/>
          <w:sz w:val="22"/>
          <w:szCs w:val="22"/>
          <w:lang w:eastAsia="en-US"/>
        </w:rPr>
        <w:t>.</w:t>
      </w:r>
      <w:r w:rsidR="00462610" w:rsidRPr="00B32633">
        <w:rPr>
          <w:rFonts w:ascii="Calibri" w:eastAsiaTheme="minorHAnsi" w:hAnsi="Calibri" w:cs="Calibri"/>
          <w:color w:val="000000"/>
          <w:sz w:val="22"/>
          <w:szCs w:val="22"/>
          <w:lang w:eastAsia="en-US"/>
        </w:rPr>
        <w:t xml:space="preserve"> </w:t>
      </w:r>
      <w:r w:rsidR="00DC1BCD" w:rsidRPr="00B32633">
        <w:rPr>
          <w:rFonts w:ascii="Calibri" w:eastAsiaTheme="minorHAnsi" w:hAnsi="Calibri" w:cs="Calibri"/>
          <w:color w:val="000000"/>
          <w:sz w:val="22"/>
          <w:szCs w:val="22"/>
          <w:lang w:eastAsia="en-US"/>
        </w:rPr>
        <w:t>If matters cannot proceed electronically and must proceed face-to-face, the Courts will ensure that only the minimum necessary participants attend the registry or are present in the courtroom</w:t>
      </w:r>
      <w:r w:rsidR="00462610" w:rsidRPr="00B32633">
        <w:rPr>
          <w:rFonts w:ascii="Calibri" w:eastAsiaTheme="minorHAnsi" w:hAnsi="Calibri" w:cs="Calibri"/>
          <w:color w:val="000000"/>
          <w:sz w:val="22"/>
          <w:szCs w:val="22"/>
          <w:lang w:eastAsia="en-US"/>
        </w:rPr>
        <w:t xml:space="preserve"> and other social distancing and other requirements are adhered to</w:t>
      </w:r>
      <w:r w:rsidR="00462610" w:rsidRPr="00B32633">
        <w:rPr>
          <w:sz w:val="22"/>
          <w:szCs w:val="22"/>
        </w:rPr>
        <w:t>.</w:t>
      </w:r>
    </w:p>
    <w:p w14:paraId="3F1997A2" w14:textId="645DDA8E" w:rsidR="001A050E" w:rsidRPr="00B32633" w:rsidRDefault="001A050E" w:rsidP="00AC6522">
      <w:pPr>
        <w:autoSpaceDE w:val="0"/>
        <w:autoSpaceDN w:val="0"/>
        <w:adjustRightInd w:val="0"/>
        <w:spacing w:after="240" w:line="276" w:lineRule="auto"/>
        <w:rPr>
          <w:rFonts w:ascii="Calibri" w:eastAsiaTheme="minorHAnsi" w:hAnsi="Calibri" w:cs="Calibri"/>
          <w:i/>
          <w:iCs/>
          <w:color w:val="000000"/>
          <w:sz w:val="22"/>
          <w:szCs w:val="22"/>
          <w:lang w:eastAsia="en-US"/>
        </w:rPr>
      </w:pPr>
      <w:r w:rsidRPr="00B32633">
        <w:rPr>
          <w:rFonts w:ascii="Calibri" w:eastAsiaTheme="minorHAnsi" w:hAnsi="Calibri" w:cs="Calibri"/>
          <w:i/>
          <w:iCs/>
          <w:color w:val="000000"/>
          <w:sz w:val="22"/>
          <w:szCs w:val="22"/>
          <w:lang w:eastAsia="en-US"/>
        </w:rPr>
        <w:t xml:space="preserve">The Courts have previously </w:t>
      </w:r>
      <w:r w:rsidR="00F94070">
        <w:rPr>
          <w:rFonts w:ascii="Calibri" w:eastAsiaTheme="minorHAnsi" w:hAnsi="Calibri" w:cs="Calibri"/>
          <w:i/>
          <w:iCs/>
          <w:color w:val="000000"/>
          <w:sz w:val="22"/>
          <w:szCs w:val="22"/>
          <w:lang w:eastAsia="en-US"/>
        </w:rPr>
        <w:t>released</w:t>
      </w:r>
      <w:r w:rsidRPr="00B32633">
        <w:rPr>
          <w:rFonts w:ascii="Calibri" w:eastAsiaTheme="minorHAnsi" w:hAnsi="Calibri" w:cs="Calibri"/>
          <w:i/>
          <w:iCs/>
          <w:color w:val="000000"/>
          <w:sz w:val="22"/>
          <w:szCs w:val="22"/>
          <w:lang w:eastAsia="en-US"/>
        </w:rPr>
        <w:t xml:space="preserve"> information that may be of </w:t>
      </w:r>
      <w:r w:rsidR="00F94070">
        <w:rPr>
          <w:rFonts w:ascii="Calibri" w:eastAsiaTheme="minorHAnsi" w:hAnsi="Calibri" w:cs="Calibri"/>
          <w:i/>
          <w:iCs/>
          <w:color w:val="000000"/>
          <w:sz w:val="22"/>
          <w:szCs w:val="22"/>
          <w:lang w:eastAsia="en-US"/>
        </w:rPr>
        <w:t xml:space="preserve">further </w:t>
      </w:r>
      <w:r w:rsidRPr="00B32633">
        <w:rPr>
          <w:rFonts w:ascii="Calibri" w:eastAsiaTheme="minorHAnsi" w:hAnsi="Calibri" w:cs="Calibri"/>
          <w:i/>
          <w:iCs/>
          <w:color w:val="000000"/>
          <w:sz w:val="22"/>
          <w:szCs w:val="22"/>
          <w:lang w:eastAsia="en-US"/>
        </w:rPr>
        <w:t xml:space="preserve">assistance: </w:t>
      </w:r>
    </w:p>
    <w:p w14:paraId="6DA6EE13" w14:textId="5B2E7457" w:rsidR="001A050E" w:rsidRPr="00B32633" w:rsidRDefault="00AC6522" w:rsidP="00AC6522">
      <w:pPr>
        <w:pStyle w:val="ListParagraph"/>
        <w:numPr>
          <w:ilvl w:val="0"/>
          <w:numId w:val="13"/>
        </w:numPr>
        <w:autoSpaceDE w:val="0"/>
        <w:autoSpaceDN w:val="0"/>
        <w:adjustRightInd w:val="0"/>
        <w:rPr>
          <w:color w:val="000000"/>
        </w:rPr>
      </w:pPr>
      <w:hyperlink r:id="rId9" w:history="1">
        <w:r w:rsidR="001A050E" w:rsidRPr="00601EB4">
          <w:rPr>
            <w:rStyle w:val="Hyperlink"/>
          </w:rPr>
          <w:t>National COVID-19 List</w:t>
        </w:r>
      </w:hyperlink>
      <w:r w:rsidR="001A050E" w:rsidRPr="00B32633">
        <w:rPr>
          <w:color w:val="0562C1"/>
        </w:rPr>
        <w:t xml:space="preserve"> </w:t>
      </w:r>
      <w:r w:rsidR="001A050E" w:rsidRPr="00B32633">
        <w:rPr>
          <w:color w:val="000000"/>
        </w:rPr>
        <w:t xml:space="preserve">– </w:t>
      </w:r>
      <w:r w:rsidR="00601EB4">
        <w:rPr>
          <w:color w:val="000000"/>
        </w:rPr>
        <w:t>Details of the list and examples of issues that may be eligible</w:t>
      </w:r>
      <w:r w:rsidR="001A050E" w:rsidRPr="00B32633">
        <w:rPr>
          <w:color w:val="000000"/>
        </w:rPr>
        <w:t xml:space="preserve">. </w:t>
      </w:r>
    </w:p>
    <w:p w14:paraId="380836D4" w14:textId="6B3486CC" w:rsidR="001A050E" w:rsidRPr="00B32633" w:rsidRDefault="00AC6522" w:rsidP="00AC6522">
      <w:pPr>
        <w:pStyle w:val="ListParagraph"/>
        <w:numPr>
          <w:ilvl w:val="0"/>
          <w:numId w:val="13"/>
        </w:numPr>
        <w:autoSpaceDE w:val="0"/>
        <w:autoSpaceDN w:val="0"/>
        <w:adjustRightInd w:val="0"/>
        <w:rPr>
          <w:color w:val="000000"/>
        </w:rPr>
      </w:pPr>
      <w:hyperlink r:id="rId10" w:history="1">
        <w:r w:rsidR="001A050E" w:rsidRPr="00601EB4">
          <w:rPr>
            <w:rStyle w:val="Hyperlink"/>
          </w:rPr>
          <w:t>Border restrictions and parenting orders</w:t>
        </w:r>
      </w:hyperlink>
      <w:r w:rsidR="001A050E" w:rsidRPr="00B32633">
        <w:rPr>
          <w:color w:val="0562C1"/>
        </w:rPr>
        <w:t xml:space="preserve"> </w:t>
      </w:r>
      <w:r w:rsidR="001A050E" w:rsidRPr="00B32633">
        <w:rPr>
          <w:color w:val="000000"/>
        </w:rPr>
        <w:t xml:space="preserve">– Guidance in relation to border restrictions and shared parenting. </w:t>
      </w:r>
    </w:p>
    <w:p w14:paraId="33FE3BF4" w14:textId="7F965A8A" w:rsidR="00601EB4" w:rsidRDefault="00AC6522" w:rsidP="00AC6522">
      <w:pPr>
        <w:pStyle w:val="ListParagraph"/>
        <w:numPr>
          <w:ilvl w:val="0"/>
          <w:numId w:val="13"/>
        </w:numPr>
        <w:autoSpaceDE w:val="0"/>
        <w:autoSpaceDN w:val="0"/>
        <w:adjustRightInd w:val="0"/>
        <w:rPr>
          <w:color w:val="000000"/>
        </w:rPr>
      </w:pPr>
      <w:hyperlink r:id="rId11" w:history="1">
        <w:r w:rsidR="001A050E" w:rsidRPr="00601EB4">
          <w:rPr>
            <w:rStyle w:val="Hyperlink"/>
          </w:rPr>
          <w:t>Parenting orders</w:t>
        </w:r>
      </w:hyperlink>
      <w:r w:rsidR="001A050E" w:rsidRPr="00B32633">
        <w:rPr>
          <w:color w:val="0562C1"/>
        </w:rPr>
        <w:t xml:space="preserve"> </w:t>
      </w:r>
      <w:r w:rsidR="001A050E" w:rsidRPr="00B32633">
        <w:rPr>
          <w:color w:val="000000"/>
        </w:rPr>
        <w:t>- Statement from Chief Justice, the Hon Will Alstergren</w:t>
      </w:r>
      <w:r w:rsidR="00F94070">
        <w:rPr>
          <w:color w:val="000000"/>
        </w:rPr>
        <w:t>.</w:t>
      </w:r>
    </w:p>
    <w:p w14:paraId="2E2C3A75" w14:textId="49E7D225" w:rsidR="001A050E" w:rsidRPr="00B32633" w:rsidRDefault="00AC6522" w:rsidP="00AC6522">
      <w:pPr>
        <w:pStyle w:val="ListParagraph"/>
        <w:numPr>
          <w:ilvl w:val="0"/>
          <w:numId w:val="13"/>
        </w:numPr>
        <w:autoSpaceDE w:val="0"/>
        <w:autoSpaceDN w:val="0"/>
        <w:adjustRightInd w:val="0"/>
        <w:rPr>
          <w:color w:val="000000"/>
        </w:rPr>
      </w:pPr>
      <w:hyperlink r:id="rId12" w:history="1">
        <w:r w:rsidR="00601EB4" w:rsidRPr="00601EB4">
          <w:rPr>
            <w:rStyle w:val="Hyperlink"/>
          </w:rPr>
          <w:t>Information for parents</w:t>
        </w:r>
      </w:hyperlink>
      <w:r w:rsidR="00601EB4">
        <w:rPr>
          <w:color w:val="0562C1"/>
        </w:rPr>
        <w:t xml:space="preserve"> </w:t>
      </w:r>
      <w:r w:rsidR="00601EB4" w:rsidRPr="00601EB4">
        <w:rPr>
          <w:color w:val="000000"/>
        </w:rPr>
        <w:t>-</w:t>
      </w:r>
      <w:r w:rsidR="00601EB4">
        <w:rPr>
          <w:color w:val="000000"/>
        </w:rPr>
        <w:t xml:space="preserve"> Frequently Asked Questions</w:t>
      </w:r>
      <w:r w:rsidR="00F94070">
        <w:rPr>
          <w:color w:val="000000"/>
        </w:rPr>
        <w:t>.</w:t>
      </w:r>
      <w:r w:rsidR="001A050E" w:rsidRPr="00B32633">
        <w:rPr>
          <w:color w:val="000000"/>
        </w:rPr>
        <w:t xml:space="preserve"> </w:t>
      </w:r>
    </w:p>
    <w:p w14:paraId="2515C753" w14:textId="6D4190F4" w:rsidR="001A050E" w:rsidRPr="00B32633" w:rsidRDefault="001A050E" w:rsidP="00AC6522">
      <w:pPr>
        <w:autoSpaceDE w:val="0"/>
        <w:autoSpaceDN w:val="0"/>
        <w:adjustRightInd w:val="0"/>
        <w:spacing w:line="276" w:lineRule="auto"/>
        <w:rPr>
          <w:rFonts w:ascii="Calibri" w:eastAsiaTheme="minorHAnsi" w:hAnsi="Calibri" w:cs="Calibri"/>
          <w:color w:val="0562C1"/>
          <w:sz w:val="22"/>
          <w:szCs w:val="22"/>
          <w:lang w:eastAsia="en-US"/>
        </w:rPr>
      </w:pPr>
      <w:r w:rsidRPr="00B32633">
        <w:rPr>
          <w:rFonts w:ascii="Calibri" w:eastAsiaTheme="minorHAnsi" w:hAnsi="Calibri" w:cs="Calibri"/>
          <w:i/>
          <w:iCs/>
          <w:color w:val="000000"/>
          <w:sz w:val="22"/>
          <w:szCs w:val="22"/>
          <w:lang w:eastAsia="en-US"/>
        </w:rPr>
        <w:t xml:space="preserve">Further information is available from the </w:t>
      </w:r>
      <w:hyperlink r:id="rId13" w:history="1">
        <w:r w:rsidR="00A03055" w:rsidRPr="00A03055">
          <w:rPr>
            <w:rStyle w:val="Hyperlink"/>
            <w:rFonts w:ascii="Calibri" w:eastAsiaTheme="minorHAnsi" w:hAnsi="Calibri" w:cs="Calibri"/>
            <w:i/>
            <w:iCs/>
            <w:sz w:val="22"/>
            <w:szCs w:val="22"/>
            <w:lang w:eastAsia="en-US"/>
          </w:rPr>
          <w:t>FCoA website</w:t>
        </w:r>
      </w:hyperlink>
      <w:r w:rsidR="00A03055">
        <w:rPr>
          <w:rFonts w:ascii="Calibri" w:eastAsiaTheme="minorHAnsi" w:hAnsi="Calibri" w:cs="Calibri"/>
          <w:i/>
          <w:iCs/>
          <w:color w:val="000000"/>
          <w:sz w:val="22"/>
          <w:szCs w:val="22"/>
          <w:lang w:eastAsia="en-US"/>
        </w:rPr>
        <w:t xml:space="preserve"> and </w:t>
      </w:r>
      <w:hyperlink r:id="rId14" w:history="1">
        <w:r w:rsidR="00A03055" w:rsidRPr="00A03055">
          <w:rPr>
            <w:rStyle w:val="Hyperlink"/>
            <w:rFonts w:ascii="Calibri" w:eastAsiaTheme="minorHAnsi" w:hAnsi="Calibri" w:cs="Calibri"/>
            <w:i/>
            <w:iCs/>
            <w:sz w:val="22"/>
            <w:szCs w:val="22"/>
            <w:lang w:eastAsia="en-US"/>
          </w:rPr>
          <w:t xml:space="preserve">FCC </w:t>
        </w:r>
        <w:r w:rsidRPr="00A03055">
          <w:rPr>
            <w:rStyle w:val="Hyperlink"/>
            <w:rFonts w:ascii="Calibri" w:eastAsiaTheme="minorHAnsi" w:hAnsi="Calibri" w:cs="Calibri"/>
            <w:i/>
            <w:iCs/>
            <w:sz w:val="22"/>
            <w:szCs w:val="22"/>
            <w:lang w:eastAsia="en-US"/>
          </w:rPr>
          <w:t>website</w:t>
        </w:r>
      </w:hyperlink>
      <w:r w:rsidR="00A03055">
        <w:rPr>
          <w:rFonts w:ascii="Calibri" w:eastAsiaTheme="minorHAnsi" w:hAnsi="Calibri" w:cs="Calibri"/>
          <w:i/>
          <w:iCs/>
          <w:color w:val="000000"/>
          <w:sz w:val="22"/>
          <w:szCs w:val="22"/>
          <w:lang w:eastAsia="en-US"/>
        </w:rPr>
        <w:t>.</w:t>
      </w:r>
      <w:r w:rsidRPr="00B32633">
        <w:rPr>
          <w:rFonts w:ascii="Calibri" w:eastAsiaTheme="minorHAnsi" w:hAnsi="Calibri" w:cs="Calibri"/>
          <w:i/>
          <w:iCs/>
          <w:color w:val="000000"/>
          <w:sz w:val="22"/>
          <w:szCs w:val="22"/>
          <w:lang w:eastAsia="en-US"/>
        </w:rPr>
        <w:t xml:space="preserve"> </w:t>
      </w:r>
    </w:p>
    <w:sectPr w:rsidR="001A050E" w:rsidRPr="00B32633" w:rsidSect="009901DC">
      <w:headerReference w:type="even" r:id="rId15"/>
      <w:headerReference w:type="default" r:id="rId16"/>
      <w:footerReference w:type="even" r:id="rId17"/>
      <w:footerReference w:type="default" r:id="rId18"/>
      <w:headerReference w:type="first" r:id="rId19"/>
      <w:footerReference w:type="first" r:id="rId20"/>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DB5F4" w14:textId="77777777" w:rsidR="006E06B1" w:rsidRDefault="006E06B1">
      <w:r>
        <w:separator/>
      </w:r>
    </w:p>
  </w:endnote>
  <w:endnote w:type="continuationSeparator" w:id="0">
    <w:p w14:paraId="028403A1" w14:textId="77777777" w:rsidR="006E06B1" w:rsidRDefault="006E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BD2FF" w14:textId="77777777" w:rsidR="003619E5" w:rsidRDefault="003619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A29D60" w14:textId="77777777" w:rsidR="00BC6BB7" w:rsidRPr="002F31C2" w:rsidRDefault="00BC6BB7" w:rsidP="00BC6BB7">
    <w:pPr>
      <w:pBdr>
        <w:top w:val="single" w:sz="4" w:space="1" w:color="auto"/>
      </w:pBdr>
      <w:rPr>
        <w:rFonts w:ascii="Calibri" w:hAnsi="Calibri" w:cs="Calibri"/>
        <w:iCs/>
        <w:sz w:val="20"/>
        <w:szCs w:val="20"/>
        <w:lang w:eastAsia="en-US"/>
      </w:rPr>
    </w:pPr>
    <w:r w:rsidRPr="002F31C2">
      <w:rPr>
        <w:rFonts w:ascii="Calibri" w:hAnsi="Calibri" w:cs="Calibri"/>
        <w:iCs/>
        <w:sz w:val="20"/>
        <w:szCs w:val="20"/>
        <w:lang w:eastAsia="en-US"/>
      </w:rPr>
      <w:t xml:space="preserve">Media enquiries: Denise Healy </w:t>
    </w:r>
    <w:hyperlink r:id="rId1" w:history="1">
      <w:r w:rsidRPr="002F31C2">
        <w:rPr>
          <w:rStyle w:val="Hyperlink"/>
          <w:rFonts w:ascii="Calibri" w:hAnsi="Calibri" w:cs="Calibri"/>
          <w:iCs/>
          <w:sz w:val="20"/>
          <w:szCs w:val="20"/>
          <w:lang w:eastAsia="en-US"/>
        </w:rPr>
        <w:t>denise.healy@familycourt.gov.au</w:t>
      </w:r>
    </w:hyperlink>
    <w:r w:rsidRPr="002F31C2">
      <w:rPr>
        <w:rFonts w:ascii="Calibri" w:hAnsi="Calibri" w:cs="Calibri"/>
        <w:iCs/>
        <w:sz w:val="20"/>
        <w:szCs w:val="20"/>
        <w:lang w:eastAsia="en-US"/>
      </w:rPr>
      <w:t xml:space="preserve"> or 0409 743 695.</w:t>
    </w:r>
  </w:p>
  <w:p w14:paraId="6E7C664E" w14:textId="77777777" w:rsidR="00D055AD" w:rsidRDefault="00D055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2D9E9" w14:textId="77777777" w:rsidR="003619E5" w:rsidRDefault="003619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3E5F9C" w14:textId="77777777" w:rsidR="006E06B1" w:rsidRDefault="006E06B1">
      <w:r>
        <w:separator/>
      </w:r>
    </w:p>
  </w:footnote>
  <w:footnote w:type="continuationSeparator" w:id="0">
    <w:p w14:paraId="0C0C44CE" w14:textId="77777777" w:rsidR="006E06B1" w:rsidRDefault="006E0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1AB4E" w14:textId="77777777" w:rsidR="003619E5" w:rsidRDefault="003619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735776E7"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1412D0" w14:textId="77777777" w:rsidR="003619E5" w:rsidRDefault="003619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7A0E"/>
      </v:shape>
    </w:pict>
  </w:numPicBullet>
  <w:abstractNum w:abstractNumId="0" w15:restartNumberingAfterBreak="0">
    <w:nsid w:val="0C874EC4"/>
    <w:multiLevelType w:val="hybridMultilevel"/>
    <w:tmpl w:val="FC980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2C8489A"/>
    <w:multiLevelType w:val="hybridMultilevel"/>
    <w:tmpl w:val="F12E03A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 w15:restartNumberingAfterBreak="0">
    <w:nsid w:val="2F8B1708"/>
    <w:multiLevelType w:val="hybridMultilevel"/>
    <w:tmpl w:val="A35219A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3"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2392770"/>
    <w:multiLevelType w:val="multilevel"/>
    <w:tmpl w:val="4CA85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1DA3E3F"/>
    <w:multiLevelType w:val="hybridMultilevel"/>
    <w:tmpl w:val="6BF28CA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6A22A47"/>
    <w:multiLevelType w:val="hybridMultilevel"/>
    <w:tmpl w:val="30A475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6E0C7FEE"/>
    <w:multiLevelType w:val="hybridMultilevel"/>
    <w:tmpl w:val="527E0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52300A6"/>
    <w:multiLevelType w:val="hybridMultilevel"/>
    <w:tmpl w:val="F906031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9C54A6B"/>
    <w:multiLevelType w:val="hybridMultilevel"/>
    <w:tmpl w:val="402E96D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1" w15:restartNumberingAfterBreak="0">
    <w:nsid w:val="7A4205BD"/>
    <w:multiLevelType w:val="hybridMultilevel"/>
    <w:tmpl w:val="A030F1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7C063F1E"/>
    <w:multiLevelType w:val="hybridMultilevel"/>
    <w:tmpl w:val="10CE2994"/>
    <w:lvl w:ilvl="0" w:tplc="90B020B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5"/>
  </w:num>
  <w:num w:numId="4">
    <w:abstractNumId w:val="3"/>
  </w:num>
  <w:num w:numId="5">
    <w:abstractNumId w:val="7"/>
  </w:num>
  <w:num w:numId="6">
    <w:abstractNumId w:val="11"/>
  </w:num>
  <w:num w:numId="7">
    <w:abstractNumId w:val="12"/>
  </w:num>
  <w:num w:numId="8">
    <w:abstractNumId w:val="2"/>
  </w:num>
  <w:num w:numId="9">
    <w:abstractNumId w:val="10"/>
  </w:num>
  <w:num w:numId="10">
    <w:abstractNumId w:val="1"/>
  </w:num>
  <w:num w:numId="11">
    <w:abstractNumId w:val="9"/>
  </w:num>
  <w:num w:numId="12">
    <w:abstractNumId w:val="6"/>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7AA"/>
    <w:rsid w:val="00025663"/>
    <w:rsid w:val="0003201B"/>
    <w:rsid w:val="000451E7"/>
    <w:rsid w:val="0005139C"/>
    <w:rsid w:val="0005311A"/>
    <w:rsid w:val="00063F91"/>
    <w:rsid w:val="00066209"/>
    <w:rsid w:val="00067A83"/>
    <w:rsid w:val="000726AF"/>
    <w:rsid w:val="00073EEE"/>
    <w:rsid w:val="000857BD"/>
    <w:rsid w:val="000917EA"/>
    <w:rsid w:val="00095D9B"/>
    <w:rsid w:val="00097873"/>
    <w:rsid w:val="000A3339"/>
    <w:rsid w:val="000B30F9"/>
    <w:rsid w:val="000B4FDD"/>
    <w:rsid w:val="000D377A"/>
    <w:rsid w:val="000E163D"/>
    <w:rsid w:val="000F6A9F"/>
    <w:rsid w:val="000F704C"/>
    <w:rsid w:val="000F75AA"/>
    <w:rsid w:val="00111321"/>
    <w:rsid w:val="00111B11"/>
    <w:rsid w:val="00115698"/>
    <w:rsid w:val="00115CED"/>
    <w:rsid w:val="00122402"/>
    <w:rsid w:val="00122A30"/>
    <w:rsid w:val="00130DB5"/>
    <w:rsid w:val="00142415"/>
    <w:rsid w:val="001426D1"/>
    <w:rsid w:val="00143E33"/>
    <w:rsid w:val="0015697C"/>
    <w:rsid w:val="00161AFE"/>
    <w:rsid w:val="00161E28"/>
    <w:rsid w:val="00167D4E"/>
    <w:rsid w:val="00184CAC"/>
    <w:rsid w:val="00193EDE"/>
    <w:rsid w:val="0019619D"/>
    <w:rsid w:val="001A004C"/>
    <w:rsid w:val="001A050E"/>
    <w:rsid w:val="001A4EBF"/>
    <w:rsid w:val="001E0B76"/>
    <w:rsid w:val="00201267"/>
    <w:rsid w:val="00210CB4"/>
    <w:rsid w:val="002130F3"/>
    <w:rsid w:val="00264DCF"/>
    <w:rsid w:val="0026629E"/>
    <w:rsid w:val="00272566"/>
    <w:rsid w:val="00282C31"/>
    <w:rsid w:val="00286FB9"/>
    <w:rsid w:val="00287FA8"/>
    <w:rsid w:val="002D0038"/>
    <w:rsid w:val="002E006A"/>
    <w:rsid w:val="002E0207"/>
    <w:rsid w:val="002E0843"/>
    <w:rsid w:val="002E4EC1"/>
    <w:rsid w:val="002E71F9"/>
    <w:rsid w:val="002F5CD8"/>
    <w:rsid w:val="002F73C5"/>
    <w:rsid w:val="003053CE"/>
    <w:rsid w:val="0030689E"/>
    <w:rsid w:val="00317A22"/>
    <w:rsid w:val="00325BC9"/>
    <w:rsid w:val="00326F16"/>
    <w:rsid w:val="003302AF"/>
    <w:rsid w:val="00331792"/>
    <w:rsid w:val="003328DC"/>
    <w:rsid w:val="00340861"/>
    <w:rsid w:val="00353339"/>
    <w:rsid w:val="003619E5"/>
    <w:rsid w:val="00367C23"/>
    <w:rsid w:val="00370039"/>
    <w:rsid w:val="00371B83"/>
    <w:rsid w:val="003760A2"/>
    <w:rsid w:val="00382666"/>
    <w:rsid w:val="00385CD8"/>
    <w:rsid w:val="003871D1"/>
    <w:rsid w:val="00390A78"/>
    <w:rsid w:val="00391908"/>
    <w:rsid w:val="003A0900"/>
    <w:rsid w:val="003A0E0A"/>
    <w:rsid w:val="003A3639"/>
    <w:rsid w:val="003B25E4"/>
    <w:rsid w:val="003C2319"/>
    <w:rsid w:val="003D3209"/>
    <w:rsid w:val="003D58BA"/>
    <w:rsid w:val="003E2517"/>
    <w:rsid w:val="003E7C8A"/>
    <w:rsid w:val="004156B1"/>
    <w:rsid w:val="00424813"/>
    <w:rsid w:val="00430EE0"/>
    <w:rsid w:val="00431149"/>
    <w:rsid w:val="00436F4D"/>
    <w:rsid w:val="00442AA1"/>
    <w:rsid w:val="004517D5"/>
    <w:rsid w:val="0046024F"/>
    <w:rsid w:val="00462610"/>
    <w:rsid w:val="00463D85"/>
    <w:rsid w:val="00465380"/>
    <w:rsid w:val="00467410"/>
    <w:rsid w:val="00474EBE"/>
    <w:rsid w:val="0047773B"/>
    <w:rsid w:val="00483A51"/>
    <w:rsid w:val="004A3948"/>
    <w:rsid w:val="004B6254"/>
    <w:rsid w:val="004D0238"/>
    <w:rsid w:val="004E60EF"/>
    <w:rsid w:val="00502805"/>
    <w:rsid w:val="005037F8"/>
    <w:rsid w:val="005038D9"/>
    <w:rsid w:val="00504A78"/>
    <w:rsid w:val="005061A7"/>
    <w:rsid w:val="00513B94"/>
    <w:rsid w:val="00521785"/>
    <w:rsid w:val="0053144E"/>
    <w:rsid w:val="00534E37"/>
    <w:rsid w:val="00536F07"/>
    <w:rsid w:val="00550375"/>
    <w:rsid w:val="00564E14"/>
    <w:rsid w:val="0057433A"/>
    <w:rsid w:val="00577AD9"/>
    <w:rsid w:val="00587A62"/>
    <w:rsid w:val="00591FB9"/>
    <w:rsid w:val="005A5FC2"/>
    <w:rsid w:val="005B6C08"/>
    <w:rsid w:val="005C5449"/>
    <w:rsid w:val="005C5DA0"/>
    <w:rsid w:val="005D2D86"/>
    <w:rsid w:val="005D550F"/>
    <w:rsid w:val="005D6DB0"/>
    <w:rsid w:val="005E18C8"/>
    <w:rsid w:val="00601EB4"/>
    <w:rsid w:val="00604360"/>
    <w:rsid w:val="00617062"/>
    <w:rsid w:val="006171D4"/>
    <w:rsid w:val="00621925"/>
    <w:rsid w:val="00622617"/>
    <w:rsid w:val="00623AFB"/>
    <w:rsid w:val="00635017"/>
    <w:rsid w:val="00636360"/>
    <w:rsid w:val="00637A1D"/>
    <w:rsid w:val="00640F80"/>
    <w:rsid w:val="00653B9F"/>
    <w:rsid w:val="0066241D"/>
    <w:rsid w:val="00695641"/>
    <w:rsid w:val="006A45AC"/>
    <w:rsid w:val="006B2C22"/>
    <w:rsid w:val="006C25B2"/>
    <w:rsid w:val="006D78FA"/>
    <w:rsid w:val="006E06B1"/>
    <w:rsid w:val="006F0274"/>
    <w:rsid w:val="00704F29"/>
    <w:rsid w:val="0071071D"/>
    <w:rsid w:val="0071225F"/>
    <w:rsid w:val="00712610"/>
    <w:rsid w:val="00722B4F"/>
    <w:rsid w:val="0073112F"/>
    <w:rsid w:val="00732CC8"/>
    <w:rsid w:val="0073585B"/>
    <w:rsid w:val="00736032"/>
    <w:rsid w:val="00744BFE"/>
    <w:rsid w:val="00751196"/>
    <w:rsid w:val="00754653"/>
    <w:rsid w:val="007571B4"/>
    <w:rsid w:val="0076242F"/>
    <w:rsid w:val="007631D6"/>
    <w:rsid w:val="007726AA"/>
    <w:rsid w:val="00793114"/>
    <w:rsid w:val="007A3FA6"/>
    <w:rsid w:val="007A55C6"/>
    <w:rsid w:val="007A5B2D"/>
    <w:rsid w:val="007B0DD0"/>
    <w:rsid w:val="007D13E8"/>
    <w:rsid w:val="007D19D4"/>
    <w:rsid w:val="007D7BC4"/>
    <w:rsid w:val="007F2645"/>
    <w:rsid w:val="007F37AE"/>
    <w:rsid w:val="007F3F05"/>
    <w:rsid w:val="007F75C8"/>
    <w:rsid w:val="00825C4E"/>
    <w:rsid w:val="00834728"/>
    <w:rsid w:val="0083601E"/>
    <w:rsid w:val="00841A83"/>
    <w:rsid w:val="00852A52"/>
    <w:rsid w:val="0086067F"/>
    <w:rsid w:val="00883C54"/>
    <w:rsid w:val="00886FA3"/>
    <w:rsid w:val="00896DE1"/>
    <w:rsid w:val="008A4B6A"/>
    <w:rsid w:val="008A67C9"/>
    <w:rsid w:val="008C1DAE"/>
    <w:rsid w:val="008D0B71"/>
    <w:rsid w:val="008D1D83"/>
    <w:rsid w:val="008D468A"/>
    <w:rsid w:val="008E124D"/>
    <w:rsid w:val="008F4B04"/>
    <w:rsid w:val="008F5305"/>
    <w:rsid w:val="008F638E"/>
    <w:rsid w:val="0090620C"/>
    <w:rsid w:val="0090716E"/>
    <w:rsid w:val="009155F8"/>
    <w:rsid w:val="009276C3"/>
    <w:rsid w:val="00932622"/>
    <w:rsid w:val="00933420"/>
    <w:rsid w:val="0093783A"/>
    <w:rsid w:val="009448B3"/>
    <w:rsid w:val="009526A5"/>
    <w:rsid w:val="00953633"/>
    <w:rsid w:val="00956102"/>
    <w:rsid w:val="00956BB3"/>
    <w:rsid w:val="00956E03"/>
    <w:rsid w:val="00961917"/>
    <w:rsid w:val="00961C4D"/>
    <w:rsid w:val="00965264"/>
    <w:rsid w:val="00974647"/>
    <w:rsid w:val="0098762C"/>
    <w:rsid w:val="009901DC"/>
    <w:rsid w:val="009969E1"/>
    <w:rsid w:val="009A6AA2"/>
    <w:rsid w:val="009C0342"/>
    <w:rsid w:val="009C5FB5"/>
    <w:rsid w:val="009D0CB0"/>
    <w:rsid w:val="009D1733"/>
    <w:rsid w:val="00A00DF2"/>
    <w:rsid w:val="00A03055"/>
    <w:rsid w:val="00A144B5"/>
    <w:rsid w:val="00A15E20"/>
    <w:rsid w:val="00A23E00"/>
    <w:rsid w:val="00A26D12"/>
    <w:rsid w:val="00A45603"/>
    <w:rsid w:val="00A521A3"/>
    <w:rsid w:val="00A53854"/>
    <w:rsid w:val="00A60331"/>
    <w:rsid w:val="00A6068D"/>
    <w:rsid w:val="00A63457"/>
    <w:rsid w:val="00A6566E"/>
    <w:rsid w:val="00A65EB1"/>
    <w:rsid w:val="00A67E79"/>
    <w:rsid w:val="00A7166E"/>
    <w:rsid w:val="00A86BF7"/>
    <w:rsid w:val="00A9531A"/>
    <w:rsid w:val="00AA0874"/>
    <w:rsid w:val="00AA6477"/>
    <w:rsid w:val="00AB0E68"/>
    <w:rsid w:val="00AB4269"/>
    <w:rsid w:val="00AB7BFC"/>
    <w:rsid w:val="00AC1EE2"/>
    <w:rsid w:val="00AC6522"/>
    <w:rsid w:val="00AD00FA"/>
    <w:rsid w:val="00AD024B"/>
    <w:rsid w:val="00AD0B8C"/>
    <w:rsid w:val="00AD0C78"/>
    <w:rsid w:val="00AE2AC6"/>
    <w:rsid w:val="00AE2D7E"/>
    <w:rsid w:val="00AE34E6"/>
    <w:rsid w:val="00AF3C40"/>
    <w:rsid w:val="00AF5C42"/>
    <w:rsid w:val="00B05FEE"/>
    <w:rsid w:val="00B07C37"/>
    <w:rsid w:val="00B1052F"/>
    <w:rsid w:val="00B32633"/>
    <w:rsid w:val="00B44E8C"/>
    <w:rsid w:val="00B52487"/>
    <w:rsid w:val="00B53A35"/>
    <w:rsid w:val="00B54252"/>
    <w:rsid w:val="00B6370B"/>
    <w:rsid w:val="00B73790"/>
    <w:rsid w:val="00B90851"/>
    <w:rsid w:val="00B90C43"/>
    <w:rsid w:val="00B972DB"/>
    <w:rsid w:val="00BA4AC8"/>
    <w:rsid w:val="00BB07C9"/>
    <w:rsid w:val="00BB5D69"/>
    <w:rsid w:val="00BC24B2"/>
    <w:rsid w:val="00BC52AF"/>
    <w:rsid w:val="00BC6BB7"/>
    <w:rsid w:val="00BD1C74"/>
    <w:rsid w:val="00BD1E33"/>
    <w:rsid w:val="00BD36B7"/>
    <w:rsid w:val="00BD3C12"/>
    <w:rsid w:val="00BD4F8D"/>
    <w:rsid w:val="00BD58AD"/>
    <w:rsid w:val="00BE4391"/>
    <w:rsid w:val="00C06603"/>
    <w:rsid w:val="00C16D49"/>
    <w:rsid w:val="00C2713F"/>
    <w:rsid w:val="00C44F66"/>
    <w:rsid w:val="00C51D5E"/>
    <w:rsid w:val="00C532C2"/>
    <w:rsid w:val="00C72435"/>
    <w:rsid w:val="00C74449"/>
    <w:rsid w:val="00C777C1"/>
    <w:rsid w:val="00C77CAC"/>
    <w:rsid w:val="00C82827"/>
    <w:rsid w:val="00C861C9"/>
    <w:rsid w:val="00C97D4D"/>
    <w:rsid w:val="00CA5101"/>
    <w:rsid w:val="00CA52F8"/>
    <w:rsid w:val="00CB31B1"/>
    <w:rsid w:val="00CB4906"/>
    <w:rsid w:val="00CC011C"/>
    <w:rsid w:val="00CC334C"/>
    <w:rsid w:val="00CD5D7F"/>
    <w:rsid w:val="00CE120B"/>
    <w:rsid w:val="00CE15F7"/>
    <w:rsid w:val="00CE3D17"/>
    <w:rsid w:val="00CF0A36"/>
    <w:rsid w:val="00CF1913"/>
    <w:rsid w:val="00CF3812"/>
    <w:rsid w:val="00D04152"/>
    <w:rsid w:val="00D055AD"/>
    <w:rsid w:val="00D12D12"/>
    <w:rsid w:val="00D17BD3"/>
    <w:rsid w:val="00D32B8C"/>
    <w:rsid w:val="00D36651"/>
    <w:rsid w:val="00D5000A"/>
    <w:rsid w:val="00D504A8"/>
    <w:rsid w:val="00D505FA"/>
    <w:rsid w:val="00D62995"/>
    <w:rsid w:val="00D63021"/>
    <w:rsid w:val="00D70D4C"/>
    <w:rsid w:val="00D71FFB"/>
    <w:rsid w:val="00D735E7"/>
    <w:rsid w:val="00D823DB"/>
    <w:rsid w:val="00D92ACC"/>
    <w:rsid w:val="00D94232"/>
    <w:rsid w:val="00DA3D97"/>
    <w:rsid w:val="00DB0D8A"/>
    <w:rsid w:val="00DB3085"/>
    <w:rsid w:val="00DC1195"/>
    <w:rsid w:val="00DC1BCD"/>
    <w:rsid w:val="00DC6D1D"/>
    <w:rsid w:val="00DD6DBF"/>
    <w:rsid w:val="00DE1592"/>
    <w:rsid w:val="00E002A8"/>
    <w:rsid w:val="00E01416"/>
    <w:rsid w:val="00E03716"/>
    <w:rsid w:val="00E073B8"/>
    <w:rsid w:val="00E11EB8"/>
    <w:rsid w:val="00E14336"/>
    <w:rsid w:val="00E21B99"/>
    <w:rsid w:val="00E243B1"/>
    <w:rsid w:val="00E32AD7"/>
    <w:rsid w:val="00E4419B"/>
    <w:rsid w:val="00E47B1B"/>
    <w:rsid w:val="00E56D5A"/>
    <w:rsid w:val="00E70B87"/>
    <w:rsid w:val="00E74D1F"/>
    <w:rsid w:val="00E87EA4"/>
    <w:rsid w:val="00E90E24"/>
    <w:rsid w:val="00E9616F"/>
    <w:rsid w:val="00EA0C9D"/>
    <w:rsid w:val="00EA76AA"/>
    <w:rsid w:val="00EB2A7A"/>
    <w:rsid w:val="00EC5075"/>
    <w:rsid w:val="00EC540F"/>
    <w:rsid w:val="00ED517E"/>
    <w:rsid w:val="00ED6121"/>
    <w:rsid w:val="00ED7B8F"/>
    <w:rsid w:val="00EE7B99"/>
    <w:rsid w:val="00EF15B1"/>
    <w:rsid w:val="00EF3FA9"/>
    <w:rsid w:val="00EF4FBB"/>
    <w:rsid w:val="00EF547B"/>
    <w:rsid w:val="00EF5DEA"/>
    <w:rsid w:val="00F06CE6"/>
    <w:rsid w:val="00F12300"/>
    <w:rsid w:val="00F15819"/>
    <w:rsid w:val="00F24EED"/>
    <w:rsid w:val="00F335B8"/>
    <w:rsid w:val="00F6000B"/>
    <w:rsid w:val="00F64CED"/>
    <w:rsid w:val="00F664C7"/>
    <w:rsid w:val="00F732AC"/>
    <w:rsid w:val="00F90C95"/>
    <w:rsid w:val="00F92F60"/>
    <w:rsid w:val="00F94070"/>
    <w:rsid w:val="00F97641"/>
    <w:rsid w:val="00FA0226"/>
    <w:rsid w:val="00FA6CD2"/>
    <w:rsid w:val="00FA7053"/>
    <w:rsid w:val="00FB0F15"/>
    <w:rsid w:val="00FB422E"/>
    <w:rsid w:val="00FC0FF3"/>
    <w:rsid w:val="00FE23F4"/>
    <w:rsid w:val="00FE31FB"/>
    <w:rsid w:val="00FE576A"/>
    <w:rsid w:val="00FF1F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7A55C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CF38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rsid w:val="00AE34E6"/>
    <w:pPr>
      <w:tabs>
        <w:tab w:val="center" w:pos="4513"/>
        <w:tab w:val="right" w:pos="9026"/>
      </w:tabs>
    </w:pPr>
  </w:style>
  <w:style w:type="character" w:customStyle="1" w:styleId="FooterChar">
    <w:name w:val="Footer Char"/>
    <w:basedOn w:val="DefaultParagraphFont"/>
    <w:link w:val="Footer"/>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semiHidden/>
    <w:rsid w:val="007A55C6"/>
    <w:rPr>
      <w:rFonts w:asciiTheme="majorHAnsi" w:eastAsiaTheme="majorEastAsia" w:hAnsiTheme="majorHAnsi" w:cstheme="majorBidi"/>
      <w:color w:val="2E74B5" w:themeColor="accent1" w:themeShade="BF"/>
      <w:sz w:val="26"/>
      <w:szCs w:val="26"/>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semiHidden/>
    <w:rsid w:val="00CF3812"/>
    <w:rPr>
      <w:rFonts w:asciiTheme="majorHAnsi" w:eastAsiaTheme="majorEastAsia" w:hAnsiTheme="majorHAnsi" w:cstheme="majorBidi"/>
      <w:color w:val="1F4D78" w:themeColor="accent1" w:themeShade="7F"/>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12076192">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 w:id="1984384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deralcircuitcourt.gov.au/wps/wcm/connect/fccweb/about/covid/covid-list/national-covid-list" TargetMode="External"/><Relationship Id="rId13" Type="http://schemas.openxmlformats.org/officeDocument/2006/relationships/hyperlink" Target="http://www.familycourt.gov.au/wps/wcm/connect/fcoaweb/about/covid/"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familycourt.gov.au/wps/wcm/connect/fcoaweb/about/covid/covid-parents/parenting-faq"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deralcircuitcourt.gov.au/wps/wcm/connect/fccweb/about/news/mr260320"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federalcircuitcourt.gov.au/wps/wcm/connect/fccweb/about/news/covid-info-borders"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federalcircuitcourt.gov.au/wps/wcm/connect/fccweb/about/covid/covid-list/national-covid-list" TargetMode="External"/><Relationship Id="rId14" Type="http://schemas.openxmlformats.org/officeDocument/2006/relationships/hyperlink" Target="http://www.federalcircuitcourt.gov.au/wps/wcm/connect/fccweb/about/covid/covid-news-all"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amilycourt.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F17C52-CAB7-46DD-AA1F-6D76F2881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554</Words>
  <Characters>2920</Characters>
  <Application>Microsoft Office Word</Application>
  <DocSecurity>4</DocSecurity>
  <Lines>45</Lines>
  <Paragraphs>27</Paragraphs>
  <ScaleCrop>false</ScaleCrop>
  <HeadingPairs>
    <vt:vector size="2" baseType="variant">
      <vt:variant>
        <vt:lpstr>Title</vt:lpstr>
      </vt:variant>
      <vt:variant>
        <vt:i4>1</vt:i4>
      </vt:variant>
    </vt:vector>
  </HeadingPairs>
  <TitlesOfParts>
    <vt:vector size="1" baseType="lpstr">
      <vt:lpstr>Media Release - The Family Court of Australia and Federal Circuit Court of Australia committed to keeping families safe through the Family Violence Plan</vt:lpstr>
    </vt:vector>
  </TitlesOfParts>
  <Company>Federal Court of Australia</Company>
  <LinksUpToDate>false</LinksUpToDate>
  <CharactersWithSpaces>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 COVID-19 Update: Reminder that family law disputes impacted by the pandemic may be dealt with through the Courts’ COVID-19 List</dc:title>
  <dc:subject/>
  <dc:creator>Family Court of Australia;Federal Circuit Court of Australia</dc:creator>
  <cp:keywords/>
  <dc:description/>
  <cp:lastModifiedBy>Christine Tuff</cp:lastModifiedBy>
  <cp:revision>2</cp:revision>
  <cp:lastPrinted>2021-05-27T06:39:00Z</cp:lastPrinted>
  <dcterms:created xsi:type="dcterms:W3CDTF">2021-08-20T07:10:00Z</dcterms:created>
  <dcterms:modified xsi:type="dcterms:W3CDTF">2021-08-20T07:10:00Z</dcterms:modified>
</cp:coreProperties>
</file>