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23E029BF" w14:textId="7986C8AC" w:rsidR="00AB213B" w:rsidRDefault="00AB213B" w:rsidP="00FE7DAA">
      <w:pPr>
        <w:rPr>
          <w:noProof/>
        </w:rPr>
      </w:pPr>
      <w:r w:rsidRPr="00B74497">
        <w:rPr>
          <w:noProof/>
        </w:rPr>
        <mc:AlternateContent>
          <mc:Choice Requires="wps">
            <w:drawing>
              <wp:anchor distT="0" distB="0" distL="114300" distR="114300" simplePos="0" relativeHeight="251659264" behindDoc="0" locked="0" layoutInCell="0" allowOverlap="1" wp14:anchorId="6B9917E8" wp14:editId="263590AD">
                <wp:simplePos x="0" y="0"/>
                <wp:positionH relativeFrom="margin">
                  <wp:posOffset>3230245</wp:posOffset>
                </wp:positionH>
                <wp:positionV relativeFrom="paragraph">
                  <wp:posOffset>-114300</wp:posOffset>
                </wp:positionV>
                <wp:extent cx="2865755" cy="266065"/>
                <wp:effectExtent l="0" t="0" r="10795" b="1968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5755" cy="266065"/>
                        </a:xfrm>
                        <a:prstGeom prst="rect">
                          <a:avLst/>
                        </a:prstGeom>
                        <a:solidFill>
                          <a:schemeClr val="bg1">
                            <a:lumMod val="85000"/>
                          </a:schemeClr>
                        </a:solidFill>
                        <a:ln w="9525">
                          <a:solidFill>
                            <a:schemeClr val="bg1">
                              <a:lumMod val="85000"/>
                            </a:schemeClr>
                          </a:solidFill>
                          <a:miter lim="800000"/>
                          <a:headEnd/>
                          <a:tailEnd/>
                        </a:ln>
                      </wps:spPr>
                      <wps:txbx>
                        <w:txbxContent>
                          <w:p w14:paraId="5A2D9093" w14:textId="13D84953" w:rsidR="00AB7BFC" w:rsidRPr="001A4EBF" w:rsidRDefault="00A9477C"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13</w:t>
                            </w:r>
                            <w:r w:rsidR="008D3E29">
                              <w:rPr>
                                <w:rFonts w:asciiTheme="minorHAnsi" w:hAnsiTheme="minorHAnsi" w:cstheme="minorHAnsi"/>
                                <w:b/>
                                <w:color w:val="2E74B5" w:themeColor="accent1" w:themeShade="BF"/>
                                <w:sz w:val="22"/>
                                <w:szCs w:val="22"/>
                              </w:rPr>
                              <w:t xml:space="preserve">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wps:txbx>
                      <wps:bodyPr rot="0" vert="horz" wrap="square" lIns="7200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9917E8" id="_x0000_t202" coordsize="21600,21600" o:spt="202" path="m,l,21600r21600,l21600,xe">
                <v:stroke joinstyle="miter"/>
                <v:path gradientshapeok="t" o:connecttype="rect"/>
              </v:shapetype>
              <v:shape id="Text Box 3" o:spid="_x0000_s1026" type="#_x0000_t202" style="position:absolute;margin-left:254.35pt;margin-top:-9pt;width:225.65pt;height:20.9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qIMMwIAAIoEAAAOAAAAZHJzL2Uyb0RvYy54bWy0VNuO2yAQfa/Uf0C8N3aycja14qy22W5V&#10;aXuRdvsBGOMYFRgKJHb69R0gSbftW9W+oAGGM2fmzLC+mbQiB+G8BNPQ+aykRBgOnTS7hn55un+1&#10;osQHZjqmwIiGHoWnN5uXL9ajrcUCBlCdcARBjK9H29AhBFsXheeD0MzPwAqDlz04zQJu3a7oHBsR&#10;XatiUZbLYgTXWQdceI+nd/mSbhJ+3wsePvW9F4GohiK3kFaX1jauxWbN6p1jdpD8RIP9BQvNpMGg&#10;F6g7FhjZO/kHlJbcgYc+zDjoAvpecpFywGzm5W/ZPA7MipQLFsfbS5n8v4PlHw+fHZFdQ68oMUyj&#10;RE9iCuQNTOQqVme0vkanR4tuYcJjVDll6u0D8K+eGNgOzOzErXMwDoJ1yG4eXxbPnmYcH0Ha8QN0&#10;GIbtAySgqXc6lg6LQRAdVTpelIlUOB4uVsvquqoo4Xi3WC7LZZVCsPr82jof3gnQJBoNdah8QmeH&#10;Bx8iG1afXWIwD0p291KptIndJrbKkQPDPml3OUO110g1n62qskzdgjipOaN7Qv0FSRkyNvR1tahy&#10;jf5PFC0DDo2SuqErpJWJsToW/63pUksHJlW2kbAyJzWiAFmKMLXTSd0WuiPq4iAPBw4zGgO475SM&#10;OBgN9d/2zAlK1HuD2l7j2MVJShs03NlozwYzHJ83NFCSzW3IE7e3Tu4GRM/1NXCLPdDLJE9slszk&#10;xBUbPtX3NJxxop7vk9fPL2TzAwAA//8DAFBLAwQUAAYACAAAACEASRWtC+EAAAAKAQAADwAAAGRy&#10;cy9kb3ducmV2LnhtbEyPy07DMBBF90j8gzVIbFBrp4iShkwqBEJiwaYFqV26sZtE9SPYbpr8PcMK&#10;djOaozvnluvRGjboEDvvELK5AKZd7VXnGoSvz7dZDiwm6ZQ03mmESUdYV9dXpSyUv7iNHrapYRTi&#10;YiER2pT6gvNYt9rKOPe9dnQ7+mBlojU0XAV5oXBr+EKIJbeyc/Shlb1+aXV92p4twvDt9+9mysO+&#10;P8nXO76rszh9IN7ejM9PwJIe0x8Mv/qkDhU5HfzZqcgMwoPIHwlFmGU5lSJitRQ0HBAW9yvgVcn/&#10;V6h+AAAA//8DAFBLAQItABQABgAIAAAAIQC2gziS/gAAAOEBAAATAAAAAAAAAAAAAAAAAAAAAABb&#10;Q29udGVudF9UeXBlc10ueG1sUEsBAi0AFAAGAAgAAAAhADj9If/WAAAAlAEAAAsAAAAAAAAAAAAA&#10;AAAALwEAAF9yZWxzLy5yZWxzUEsBAi0AFAAGAAgAAAAhAJQKogwzAgAAigQAAA4AAAAAAAAAAAAA&#10;AAAALgIAAGRycy9lMm9Eb2MueG1sUEsBAi0AFAAGAAgAAAAhAEkVrQvhAAAACgEAAA8AAAAAAAAA&#10;AAAAAAAAjQQAAGRycy9kb3ducmV2LnhtbFBLBQYAAAAABAAEAPMAAACbBQAAAAA=&#10;" o:allowincell="f" fillcolor="#d8d8d8 [2732]" strokecolor="#d8d8d8 [2732]">
                <v:textbox inset="2mm,0,0,0">
                  <w:txbxContent>
                    <w:p w14:paraId="5A2D9093" w14:textId="13D84953" w:rsidR="00AB7BFC" w:rsidRPr="001A4EBF" w:rsidRDefault="00A9477C"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13</w:t>
                      </w:r>
                      <w:r w:rsidR="008D3E29">
                        <w:rPr>
                          <w:rFonts w:asciiTheme="minorHAnsi" w:hAnsiTheme="minorHAnsi" w:cstheme="minorHAnsi"/>
                          <w:b/>
                          <w:color w:val="2E74B5" w:themeColor="accent1" w:themeShade="BF"/>
                          <w:sz w:val="22"/>
                          <w:szCs w:val="22"/>
                        </w:rPr>
                        <w:t xml:space="preserve">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v:textbox>
                <w10:wrap anchorx="margin"/>
              </v:shape>
            </w:pict>
          </mc:Fallback>
        </mc:AlternateContent>
      </w:r>
    </w:p>
    <w:p w14:paraId="3B3A5191" w14:textId="6718ECBC" w:rsidR="00E11EB8" w:rsidRDefault="008D3E29" w:rsidP="00AB213B">
      <w:pPr>
        <w:pStyle w:val="Heading1"/>
        <w:spacing w:after="360" w:line="276" w:lineRule="auto"/>
        <w:rPr>
          <w:noProof/>
          <w:sz w:val="32"/>
          <w:szCs w:val="32"/>
        </w:rPr>
      </w:pPr>
      <w:r>
        <w:rPr>
          <w:noProof/>
          <w:sz w:val="32"/>
          <w:szCs w:val="32"/>
        </w:rPr>
        <w:t>Update to the profession</w:t>
      </w:r>
      <w:r w:rsidR="00A9477C">
        <w:rPr>
          <w:noProof/>
          <w:sz w:val="32"/>
          <w:szCs w:val="32"/>
        </w:rPr>
        <w:t xml:space="preserve"> (No. 3)</w:t>
      </w:r>
      <w:r>
        <w:rPr>
          <w:noProof/>
          <w:sz w:val="32"/>
          <w:szCs w:val="32"/>
        </w:rPr>
        <w:t>: C</w:t>
      </w:r>
      <w:r w:rsidR="00130971" w:rsidRPr="00B74497">
        <w:rPr>
          <w:noProof/>
          <w:sz w:val="32"/>
          <w:szCs w:val="32"/>
        </w:rPr>
        <w:t xml:space="preserve">ommencement of </w:t>
      </w:r>
      <w:r w:rsidR="00A24696" w:rsidRPr="00B74497">
        <w:rPr>
          <w:noProof/>
          <w:sz w:val="32"/>
          <w:szCs w:val="32"/>
        </w:rPr>
        <w:t xml:space="preserve">the </w:t>
      </w:r>
      <w:r w:rsidR="00130971" w:rsidRPr="00B74497">
        <w:rPr>
          <w:noProof/>
          <w:sz w:val="32"/>
          <w:szCs w:val="32"/>
        </w:rPr>
        <w:t xml:space="preserve">new </w:t>
      </w:r>
      <w:r w:rsidR="00A24696" w:rsidRPr="00B74497">
        <w:rPr>
          <w:noProof/>
          <w:sz w:val="32"/>
          <w:szCs w:val="32"/>
        </w:rPr>
        <w:t>Federal Circuit and Family Court of Austra</w:t>
      </w:r>
      <w:r w:rsidR="00B74497" w:rsidRPr="00B74497">
        <w:rPr>
          <w:noProof/>
          <w:sz w:val="32"/>
          <w:szCs w:val="32"/>
        </w:rPr>
        <w:t>l</w:t>
      </w:r>
      <w:r w:rsidR="00A24696" w:rsidRPr="00B74497">
        <w:rPr>
          <w:noProof/>
          <w:sz w:val="32"/>
          <w:szCs w:val="32"/>
        </w:rPr>
        <w:t>ia</w:t>
      </w:r>
    </w:p>
    <w:p w14:paraId="55ABC6BE" w14:textId="6A1E0123" w:rsidR="00AD2A7B" w:rsidRPr="00FC3BC6" w:rsidRDefault="00877360" w:rsidP="00C36BE6">
      <w:pPr>
        <w:spacing w:line="276" w:lineRule="auto"/>
        <w:rPr>
          <w:rFonts w:asciiTheme="minorHAnsi" w:hAnsiTheme="minorHAnsi" w:cstheme="minorHAnsi"/>
        </w:rPr>
      </w:pPr>
      <w:r w:rsidRPr="00FC3BC6">
        <w:rPr>
          <w:rFonts w:asciiTheme="minorHAnsi" w:hAnsiTheme="minorHAnsi" w:cstheme="minorHAnsi"/>
        </w:rPr>
        <w:t xml:space="preserve">In </w:t>
      </w:r>
      <w:r w:rsidR="00AD2A7B" w:rsidRPr="00FC3BC6">
        <w:rPr>
          <w:rFonts w:asciiTheme="minorHAnsi" w:hAnsiTheme="minorHAnsi" w:cstheme="minorHAnsi"/>
        </w:rPr>
        <w:t xml:space="preserve">the </w:t>
      </w:r>
      <w:r w:rsidRPr="00FC3BC6">
        <w:rPr>
          <w:rFonts w:asciiTheme="minorHAnsi" w:hAnsiTheme="minorHAnsi" w:cstheme="minorHAnsi"/>
        </w:rPr>
        <w:t xml:space="preserve">lead up to the </w:t>
      </w:r>
      <w:r w:rsidR="00A64E0D" w:rsidRPr="00FC3BC6">
        <w:rPr>
          <w:rFonts w:asciiTheme="minorHAnsi" w:hAnsiTheme="minorHAnsi" w:cstheme="minorHAnsi"/>
        </w:rPr>
        <w:t xml:space="preserve">commencement of the </w:t>
      </w:r>
      <w:r w:rsidR="00130971" w:rsidRPr="00FC3BC6">
        <w:rPr>
          <w:rFonts w:asciiTheme="minorHAnsi" w:hAnsiTheme="minorHAnsi" w:cstheme="minorHAnsi"/>
        </w:rPr>
        <w:t>Federal Circuit and Family Court of Australia</w:t>
      </w:r>
      <w:r w:rsidR="00A64E0D" w:rsidRPr="00FC3BC6">
        <w:rPr>
          <w:rFonts w:asciiTheme="minorHAnsi" w:hAnsiTheme="minorHAnsi" w:cstheme="minorHAnsi"/>
        </w:rPr>
        <w:t xml:space="preserve"> (FCFCOA)</w:t>
      </w:r>
      <w:r w:rsidR="0002483E" w:rsidRPr="00FC3BC6">
        <w:rPr>
          <w:rFonts w:asciiTheme="minorHAnsi" w:hAnsiTheme="minorHAnsi" w:cstheme="minorHAnsi"/>
        </w:rPr>
        <w:t xml:space="preserve"> </w:t>
      </w:r>
      <w:r w:rsidRPr="00FC3BC6">
        <w:rPr>
          <w:rFonts w:asciiTheme="minorHAnsi" w:hAnsiTheme="minorHAnsi" w:cstheme="minorHAnsi"/>
        </w:rPr>
        <w:t xml:space="preserve">on </w:t>
      </w:r>
      <w:r w:rsidR="0002483E" w:rsidRPr="00FC3BC6">
        <w:rPr>
          <w:rFonts w:asciiTheme="minorHAnsi" w:hAnsiTheme="minorHAnsi" w:cstheme="minorHAnsi"/>
        </w:rPr>
        <w:t>1 September 2021</w:t>
      </w:r>
      <w:r w:rsidRPr="00FC3BC6">
        <w:rPr>
          <w:rFonts w:asciiTheme="minorHAnsi" w:hAnsiTheme="minorHAnsi" w:cstheme="minorHAnsi"/>
        </w:rPr>
        <w:t xml:space="preserve">, the Family Court of Australia </w:t>
      </w:r>
      <w:r w:rsidR="007B1FCC" w:rsidRPr="00FC3BC6">
        <w:rPr>
          <w:rFonts w:asciiTheme="minorHAnsi" w:hAnsiTheme="minorHAnsi" w:cstheme="minorHAnsi"/>
        </w:rPr>
        <w:t xml:space="preserve">(FCoA) </w:t>
      </w:r>
      <w:r w:rsidRPr="00FC3BC6">
        <w:rPr>
          <w:rFonts w:asciiTheme="minorHAnsi" w:hAnsiTheme="minorHAnsi" w:cstheme="minorHAnsi"/>
        </w:rPr>
        <w:t>and Federal Circuit Court of Australia</w:t>
      </w:r>
      <w:r w:rsidR="007B1FCC" w:rsidRPr="00FC3BC6">
        <w:rPr>
          <w:rFonts w:asciiTheme="minorHAnsi" w:hAnsiTheme="minorHAnsi" w:cstheme="minorHAnsi"/>
        </w:rPr>
        <w:t xml:space="preserve"> (FCC)</w:t>
      </w:r>
      <w:r w:rsidRPr="00FC3BC6">
        <w:rPr>
          <w:rFonts w:asciiTheme="minorHAnsi" w:hAnsiTheme="minorHAnsi" w:cstheme="minorHAnsi"/>
        </w:rPr>
        <w:t xml:space="preserve"> have </w:t>
      </w:r>
      <w:r w:rsidR="004504DA" w:rsidRPr="00FC3BC6">
        <w:rPr>
          <w:rFonts w:asciiTheme="minorHAnsi" w:hAnsiTheme="minorHAnsi" w:cstheme="minorHAnsi"/>
        </w:rPr>
        <w:t xml:space="preserve">previously </w:t>
      </w:r>
      <w:r w:rsidRPr="00FC3BC6">
        <w:rPr>
          <w:rFonts w:asciiTheme="minorHAnsi" w:hAnsiTheme="minorHAnsi" w:cstheme="minorHAnsi"/>
        </w:rPr>
        <w:t>released</w:t>
      </w:r>
      <w:r w:rsidR="00513842" w:rsidRPr="00FC3BC6">
        <w:rPr>
          <w:rFonts w:asciiTheme="minorHAnsi" w:hAnsiTheme="minorHAnsi" w:cstheme="minorHAnsi"/>
        </w:rPr>
        <w:t xml:space="preserve"> </w:t>
      </w:r>
      <w:hyperlink r:id="rId8" w:history="1">
        <w:r w:rsidR="00513842" w:rsidRPr="00FC3BC6">
          <w:rPr>
            <w:rStyle w:val="Hyperlink"/>
            <w:rFonts w:asciiTheme="minorHAnsi" w:hAnsiTheme="minorHAnsi" w:cstheme="minorHAnsi"/>
          </w:rPr>
          <w:t>two updates</w:t>
        </w:r>
      </w:hyperlink>
      <w:r w:rsidR="00513842" w:rsidRPr="00FC3BC6">
        <w:rPr>
          <w:rFonts w:asciiTheme="minorHAnsi" w:hAnsiTheme="minorHAnsi" w:cstheme="minorHAnsi"/>
        </w:rPr>
        <w:t xml:space="preserve"> for </w:t>
      </w:r>
      <w:r w:rsidRPr="00FC3BC6">
        <w:rPr>
          <w:rFonts w:asciiTheme="minorHAnsi" w:hAnsiTheme="minorHAnsi" w:cstheme="minorHAnsi"/>
        </w:rPr>
        <w:t>the legal profession and the public to advise them of changes to court operations</w:t>
      </w:r>
      <w:r w:rsidR="0002483E" w:rsidRPr="00FC3BC6">
        <w:rPr>
          <w:rFonts w:asciiTheme="minorHAnsi" w:hAnsiTheme="minorHAnsi" w:cstheme="minorHAnsi"/>
        </w:rPr>
        <w:t>.</w:t>
      </w:r>
      <w:r w:rsidR="00F33378" w:rsidRPr="00FC3BC6">
        <w:rPr>
          <w:rFonts w:asciiTheme="minorHAnsi" w:hAnsiTheme="minorHAnsi" w:cstheme="minorHAnsi"/>
        </w:rPr>
        <w:t xml:space="preserve"> This third</w:t>
      </w:r>
      <w:r w:rsidR="00FF4D3F" w:rsidRPr="00FC3BC6">
        <w:rPr>
          <w:rFonts w:asciiTheme="minorHAnsi" w:hAnsiTheme="minorHAnsi" w:cstheme="minorHAnsi"/>
        </w:rPr>
        <w:t xml:space="preserve"> update provides information on</w:t>
      </w:r>
      <w:r w:rsidR="00AD2A7B" w:rsidRPr="00FC3BC6">
        <w:rPr>
          <w:rFonts w:asciiTheme="minorHAnsi" w:hAnsiTheme="minorHAnsi" w:cstheme="minorHAnsi"/>
        </w:rPr>
        <w:t>:</w:t>
      </w:r>
    </w:p>
    <w:p w14:paraId="22A1A17F" w14:textId="056C8932" w:rsidR="00FC3BC6" w:rsidRDefault="00F33378" w:rsidP="00C36BE6">
      <w:pPr>
        <w:pStyle w:val="ListParagraph"/>
        <w:numPr>
          <w:ilvl w:val="0"/>
          <w:numId w:val="44"/>
        </w:numPr>
        <w:spacing w:before="240"/>
        <w:rPr>
          <w:rFonts w:asciiTheme="minorHAnsi" w:hAnsiTheme="minorHAnsi" w:cstheme="minorHAnsi"/>
          <w:sz w:val="24"/>
          <w:szCs w:val="24"/>
        </w:rPr>
      </w:pPr>
      <w:r w:rsidRPr="00FC3BC6">
        <w:rPr>
          <w:rFonts w:asciiTheme="minorHAnsi" w:hAnsiTheme="minorHAnsi" w:cstheme="minorHAnsi"/>
          <w:sz w:val="24"/>
          <w:szCs w:val="24"/>
        </w:rPr>
        <w:t xml:space="preserve">the </w:t>
      </w:r>
      <w:r w:rsidR="00256489" w:rsidRPr="00FC3BC6">
        <w:rPr>
          <w:rFonts w:asciiTheme="minorHAnsi" w:hAnsiTheme="minorHAnsi" w:cstheme="minorHAnsi"/>
          <w:sz w:val="24"/>
          <w:szCs w:val="24"/>
        </w:rPr>
        <w:t>o</w:t>
      </w:r>
      <w:r w:rsidR="00D77150" w:rsidRPr="00FC3BC6">
        <w:rPr>
          <w:rFonts w:asciiTheme="minorHAnsi" w:hAnsiTheme="minorHAnsi" w:cstheme="minorHAnsi"/>
          <w:sz w:val="24"/>
          <w:szCs w:val="24"/>
        </w:rPr>
        <w:t xml:space="preserve">bjects and </w:t>
      </w:r>
      <w:r w:rsidR="00256489" w:rsidRPr="00FC3BC6">
        <w:rPr>
          <w:rFonts w:asciiTheme="minorHAnsi" w:hAnsiTheme="minorHAnsi" w:cstheme="minorHAnsi"/>
          <w:sz w:val="24"/>
          <w:szCs w:val="24"/>
        </w:rPr>
        <w:t>p</w:t>
      </w:r>
      <w:r w:rsidR="00D77150" w:rsidRPr="00FC3BC6">
        <w:rPr>
          <w:rFonts w:asciiTheme="minorHAnsi" w:hAnsiTheme="minorHAnsi" w:cstheme="minorHAnsi"/>
          <w:sz w:val="24"/>
          <w:szCs w:val="24"/>
        </w:rPr>
        <w:t>urpose of the FCFCOA</w:t>
      </w:r>
      <w:r w:rsidR="00FF4D3F" w:rsidRPr="00FC3BC6">
        <w:rPr>
          <w:rFonts w:asciiTheme="minorHAnsi" w:hAnsiTheme="minorHAnsi" w:cstheme="minorHAnsi"/>
          <w:sz w:val="24"/>
          <w:szCs w:val="24"/>
        </w:rPr>
        <w:t xml:space="preserve"> Act</w:t>
      </w:r>
      <w:r w:rsidR="00256489" w:rsidRPr="00FC3BC6">
        <w:rPr>
          <w:rFonts w:asciiTheme="minorHAnsi" w:hAnsiTheme="minorHAnsi" w:cstheme="minorHAnsi"/>
          <w:sz w:val="24"/>
          <w:szCs w:val="24"/>
        </w:rPr>
        <w:t xml:space="preserve">; </w:t>
      </w:r>
    </w:p>
    <w:p w14:paraId="2FD7F0DF" w14:textId="7F31FA2B" w:rsidR="00225D79" w:rsidRPr="00FC3BC6" w:rsidRDefault="00225D79" w:rsidP="00C36BE6">
      <w:pPr>
        <w:pStyle w:val="ListParagraph"/>
        <w:numPr>
          <w:ilvl w:val="0"/>
          <w:numId w:val="44"/>
        </w:numPr>
        <w:rPr>
          <w:rFonts w:asciiTheme="minorHAnsi" w:hAnsiTheme="minorHAnsi" w:cstheme="minorHAnsi"/>
          <w:sz w:val="24"/>
          <w:szCs w:val="24"/>
        </w:rPr>
      </w:pPr>
      <w:r>
        <w:rPr>
          <w:rFonts w:asciiTheme="minorHAnsi" w:hAnsiTheme="minorHAnsi" w:cstheme="minorHAnsi"/>
          <w:sz w:val="24"/>
          <w:szCs w:val="24"/>
        </w:rPr>
        <w:t>in the family law jurisdiction:</w:t>
      </w:r>
    </w:p>
    <w:p w14:paraId="2F4061DB" w14:textId="2C858319" w:rsidR="00FE7DAA" w:rsidRDefault="00FE7DAA" w:rsidP="00C36BE6">
      <w:pPr>
        <w:pStyle w:val="ListParagraph"/>
        <w:numPr>
          <w:ilvl w:val="1"/>
          <w:numId w:val="44"/>
        </w:numPr>
        <w:rPr>
          <w:rFonts w:asciiTheme="minorHAnsi" w:hAnsiTheme="minorHAnsi" w:cstheme="minorHAnsi"/>
          <w:sz w:val="24"/>
          <w:szCs w:val="24"/>
        </w:rPr>
      </w:pPr>
      <w:r>
        <w:rPr>
          <w:rFonts w:asciiTheme="minorHAnsi" w:hAnsiTheme="minorHAnsi" w:cstheme="minorHAnsi"/>
          <w:sz w:val="24"/>
          <w:szCs w:val="24"/>
        </w:rPr>
        <w:t>the overarching purpose of family law practice and procedure;</w:t>
      </w:r>
    </w:p>
    <w:p w14:paraId="632A02EE" w14:textId="77777777" w:rsidR="00193C43" w:rsidRDefault="00193C43" w:rsidP="00C36BE6">
      <w:pPr>
        <w:pStyle w:val="ListParagraph"/>
        <w:numPr>
          <w:ilvl w:val="1"/>
          <w:numId w:val="44"/>
        </w:numPr>
        <w:rPr>
          <w:rFonts w:asciiTheme="minorHAnsi" w:hAnsiTheme="minorHAnsi" w:cstheme="minorHAnsi"/>
          <w:sz w:val="24"/>
          <w:szCs w:val="24"/>
        </w:rPr>
      </w:pPr>
      <w:r w:rsidRPr="00FC3BC6">
        <w:rPr>
          <w:rFonts w:asciiTheme="minorHAnsi" w:hAnsiTheme="minorHAnsi" w:cstheme="minorHAnsi"/>
          <w:sz w:val="24"/>
          <w:szCs w:val="24"/>
        </w:rPr>
        <w:t xml:space="preserve">pre-action procedures; </w:t>
      </w:r>
    </w:p>
    <w:p w14:paraId="56B78048" w14:textId="4F66A121" w:rsidR="00FC3BC6" w:rsidRPr="00FC3BC6" w:rsidRDefault="00513842" w:rsidP="00C36BE6">
      <w:pPr>
        <w:pStyle w:val="ListParagraph"/>
        <w:numPr>
          <w:ilvl w:val="1"/>
          <w:numId w:val="44"/>
        </w:numPr>
        <w:rPr>
          <w:rFonts w:asciiTheme="minorHAnsi" w:hAnsiTheme="minorHAnsi" w:cstheme="minorHAnsi"/>
          <w:sz w:val="24"/>
          <w:szCs w:val="24"/>
        </w:rPr>
      </w:pPr>
      <w:r w:rsidRPr="00FC3BC6">
        <w:rPr>
          <w:rFonts w:asciiTheme="minorHAnsi" w:hAnsiTheme="minorHAnsi" w:cstheme="minorHAnsi"/>
          <w:sz w:val="24"/>
          <w:szCs w:val="24"/>
        </w:rPr>
        <w:t>d</w:t>
      </w:r>
      <w:r w:rsidR="00ED7930" w:rsidRPr="00FC3BC6">
        <w:rPr>
          <w:rFonts w:asciiTheme="minorHAnsi" w:hAnsiTheme="minorHAnsi" w:cstheme="minorHAnsi"/>
          <w:sz w:val="24"/>
          <w:szCs w:val="24"/>
        </w:rPr>
        <w:t xml:space="preserve">ispute </w:t>
      </w:r>
      <w:r w:rsidRPr="00FC3BC6">
        <w:rPr>
          <w:rFonts w:asciiTheme="minorHAnsi" w:hAnsiTheme="minorHAnsi" w:cstheme="minorHAnsi"/>
          <w:sz w:val="24"/>
          <w:szCs w:val="24"/>
        </w:rPr>
        <w:t>r</w:t>
      </w:r>
      <w:r w:rsidR="00ED7930" w:rsidRPr="00FC3BC6">
        <w:rPr>
          <w:rFonts w:asciiTheme="minorHAnsi" w:hAnsiTheme="minorHAnsi" w:cstheme="minorHAnsi"/>
          <w:sz w:val="24"/>
          <w:szCs w:val="24"/>
        </w:rPr>
        <w:t>esolution</w:t>
      </w:r>
      <w:r w:rsidRPr="00FC3BC6">
        <w:rPr>
          <w:rFonts w:asciiTheme="minorHAnsi" w:hAnsiTheme="minorHAnsi" w:cstheme="minorHAnsi"/>
          <w:sz w:val="24"/>
          <w:szCs w:val="24"/>
        </w:rPr>
        <w:t xml:space="preserve"> in the new case management pathway</w:t>
      </w:r>
      <w:r w:rsidR="00256489" w:rsidRPr="00FC3BC6">
        <w:rPr>
          <w:rFonts w:asciiTheme="minorHAnsi" w:hAnsiTheme="minorHAnsi" w:cstheme="minorHAnsi"/>
          <w:sz w:val="24"/>
          <w:szCs w:val="24"/>
        </w:rPr>
        <w:t xml:space="preserve">; </w:t>
      </w:r>
    </w:p>
    <w:p w14:paraId="648671A2" w14:textId="77777777" w:rsidR="00225D79" w:rsidRDefault="00256489" w:rsidP="00C36BE6">
      <w:pPr>
        <w:pStyle w:val="ListParagraph"/>
        <w:numPr>
          <w:ilvl w:val="1"/>
          <w:numId w:val="44"/>
        </w:numPr>
        <w:rPr>
          <w:rFonts w:asciiTheme="minorHAnsi" w:hAnsiTheme="minorHAnsi" w:cstheme="minorHAnsi"/>
          <w:sz w:val="24"/>
          <w:szCs w:val="24"/>
        </w:rPr>
      </w:pPr>
      <w:r w:rsidRPr="00FC3BC6">
        <w:rPr>
          <w:rFonts w:asciiTheme="minorHAnsi" w:hAnsiTheme="minorHAnsi" w:cstheme="minorHAnsi"/>
          <w:sz w:val="24"/>
          <w:szCs w:val="24"/>
        </w:rPr>
        <w:t>p</w:t>
      </w:r>
      <w:r w:rsidR="004C5CB4" w:rsidRPr="00FC3BC6">
        <w:rPr>
          <w:rFonts w:asciiTheme="minorHAnsi" w:hAnsiTheme="minorHAnsi" w:cstheme="minorHAnsi"/>
          <w:sz w:val="24"/>
          <w:szCs w:val="24"/>
        </w:rPr>
        <w:t>roperty matters</w:t>
      </w:r>
      <w:r w:rsidRPr="00FC3BC6">
        <w:rPr>
          <w:rFonts w:asciiTheme="minorHAnsi" w:hAnsiTheme="minorHAnsi" w:cstheme="minorHAnsi"/>
          <w:sz w:val="24"/>
          <w:szCs w:val="24"/>
        </w:rPr>
        <w:t xml:space="preserve">; </w:t>
      </w:r>
    </w:p>
    <w:p w14:paraId="44BDACF9" w14:textId="52F78650" w:rsidR="00225D79" w:rsidRDefault="00256489" w:rsidP="00C36BE6">
      <w:pPr>
        <w:pStyle w:val="ListParagraph"/>
        <w:numPr>
          <w:ilvl w:val="1"/>
          <w:numId w:val="44"/>
        </w:numPr>
        <w:rPr>
          <w:rFonts w:asciiTheme="minorHAnsi" w:hAnsiTheme="minorHAnsi" w:cstheme="minorHAnsi"/>
          <w:sz w:val="24"/>
          <w:szCs w:val="24"/>
        </w:rPr>
      </w:pPr>
      <w:r w:rsidRPr="00FC3BC6">
        <w:rPr>
          <w:rFonts w:asciiTheme="minorHAnsi" w:hAnsiTheme="minorHAnsi" w:cstheme="minorHAnsi"/>
          <w:sz w:val="24"/>
          <w:szCs w:val="24"/>
        </w:rPr>
        <w:t xml:space="preserve">the </w:t>
      </w:r>
      <w:r w:rsidR="0064018A" w:rsidRPr="00FC3BC6">
        <w:rPr>
          <w:rFonts w:asciiTheme="minorHAnsi" w:hAnsiTheme="minorHAnsi" w:cstheme="minorHAnsi"/>
          <w:sz w:val="24"/>
          <w:szCs w:val="24"/>
        </w:rPr>
        <w:t xml:space="preserve">Lighthouse </w:t>
      </w:r>
      <w:r w:rsidR="007C088F" w:rsidRPr="00FC3BC6">
        <w:rPr>
          <w:rFonts w:asciiTheme="minorHAnsi" w:hAnsiTheme="minorHAnsi" w:cstheme="minorHAnsi"/>
          <w:sz w:val="24"/>
          <w:szCs w:val="24"/>
        </w:rPr>
        <w:t>p</w:t>
      </w:r>
      <w:r w:rsidR="0064018A" w:rsidRPr="00FC3BC6">
        <w:rPr>
          <w:rFonts w:asciiTheme="minorHAnsi" w:hAnsiTheme="minorHAnsi" w:cstheme="minorHAnsi"/>
          <w:sz w:val="24"/>
          <w:szCs w:val="24"/>
        </w:rPr>
        <w:t>roject</w:t>
      </w:r>
      <w:r w:rsidRPr="00FC3BC6">
        <w:rPr>
          <w:rFonts w:asciiTheme="minorHAnsi" w:hAnsiTheme="minorHAnsi" w:cstheme="minorHAnsi"/>
          <w:sz w:val="24"/>
          <w:szCs w:val="24"/>
        </w:rPr>
        <w:t xml:space="preserve">; </w:t>
      </w:r>
    </w:p>
    <w:p w14:paraId="7CE8929C" w14:textId="726FAEBC" w:rsidR="00225D79" w:rsidRPr="00225D79" w:rsidRDefault="00225D79" w:rsidP="00C36BE6">
      <w:pPr>
        <w:pStyle w:val="ListParagraph"/>
        <w:numPr>
          <w:ilvl w:val="0"/>
          <w:numId w:val="44"/>
        </w:numPr>
        <w:rPr>
          <w:rFonts w:asciiTheme="minorHAnsi" w:hAnsiTheme="minorHAnsi" w:cstheme="minorHAnsi"/>
          <w:sz w:val="24"/>
          <w:szCs w:val="24"/>
        </w:rPr>
      </w:pPr>
      <w:r w:rsidRPr="00FC3BC6">
        <w:rPr>
          <w:rFonts w:asciiTheme="minorHAnsi" w:hAnsiTheme="minorHAnsi" w:cstheme="minorHAnsi"/>
          <w:sz w:val="24"/>
          <w:szCs w:val="24"/>
        </w:rPr>
        <w:t xml:space="preserve">the Court’s </w:t>
      </w:r>
      <w:r>
        <w:rPr>
          <w:rFonts w:asciiTheme="minorHAnsi" w:hAnsiTheme="minorHAnsi" w:cstheme="minorHAnsi"/>
          <w:sz w:val="24"/>
          <w:szCs w:val="24"/>
        </w:rPr>
        <w:t xml:space="preserve">migration and </w:t>
      </w:r>
      <w:r w:rsidRPr="00FC3BC6">
        <w:rPr>
          <w:rFonts w:asciiTheme="minorHAnsi" w:hAnsiTheme="minorHAnsi" w:cstheme="minorHAnsi"/>
          <w:sz w:val="24"/>
          <w:szCs w:val="24"/>
        </w:rPr>
        <w:t>general federal law (GFL) jurisdiction</w:t>
      </w:r>
      <w:r>
        <w:rPr>
          <w:rFonts w:asciiTheme="minorHAnsi" w:hAnsiTheme="minorHAnsi" w:cstheme="minorHAnsi"/>
          <w:sz w:val="24"/>
          <w:szCs w:val="24"/>
        </w:rPr>
        <w:t>s</w:t>
      </w:r>
      <w:r w:rsidRPr="00FC3BC6">
        <w:rPr>
          <w:rFonts w:asciiTheme="minorHAnsi" w:hAnsiTheme="minorHAnsi" w:cstheme="minorHAnsi"/>
          <w:sz w:val="24"/>
          <w:szCs w:val="24"/>
        </w:rPr>
        <w:t xml:space="preserve">; </w:t>
      </w:r>
    </w:p>
    <w:p w14:paraId="21AA5BF3" w14:textId="05A2770C" w:rsidR="00B14937" w:rsidRPr="00FC3BC6" w:rsidRDefault="00256489" w:rsidP="00C36BE6">
      <w:pPr>
        <w:pStyle w:val="ListParagraph"/>
        <w:numPr>
          <w:ilvl w:val="0"/>
          <w:numId w:val="44"/>
        </w:numPr>
        <w:rPr>
          <w:rFonts w:asciiTheme="minorHAnsi" w:hAnsiTheme="minorHAnsi" w:cstheme="minorHAnsi"/>
          <w:sz w:val="24"/>
          <w:szCs w:val="24"/>
        </w:rPr>
      </w:pPr>
      <w:r w:rsidRPr="00FC3BC6">
        <w:rPr>
          <w:rFonts w:asciiTheme="minorHAnsi" w:hAnsiTheme="minorHAnsi" w:cstheme="minorHAnsi"/>
          <w:sz w:val="24"/>
          <w:szCs w:val="24"/>
        </w:rPr>
        <w:t xml:space="preserve">and the </w:t>
      </w:r>
      <w:r w:rsidR="00B14937" w:rsidRPr="00FC3BC6">
        <w:rPr>
          <w:rFonts w:asciiTheme="minorHAnsi" w:hAnsiTheme="minorHAnsi" w:cstheme="minorHAnsi"/>
          <w:sz w:val="24"/>
          <w:szCs w:val="24"/>
        </w:rPr>
        <w:t>Com</w:t>
      </w:r>
      <w:r w:rsidRPr="00FC3BC6">
        <w:rPr>
          <w:rFonts w:asciiTheme="minorHAnsi" w:hAnsiTheme="minorHAnsi" w:cstheme="minorHAnsi"/>
          <w:sz w:val="24"/>
          <w:szCs w:val="24"/>
        </w:rPr>
        <w:t>monwealth C</w:t>
      </w:r>
      <w:r w:rsidR="00B14937" w:rsidRPr="00FC3BC6">
        <w:rPr>
          <w:rFonts w:asciiTheme="minorHAnsi" w:hAnsiTheme="minorHAnsi" w:cstheme="minorHAnsi"/>
          <w:sz w:val="24"/>
          <w:szCs w:val="24"/>
        </w:rPr>
        <w:t xml:space="preserve">ourts </w:t>
      </w:r>
      <w:r w:rsidRPr="00FC3BC6">
        <w:rPr>
          <w:rFonts w:asciiTheme="minorHAnsi" w:hAnsiTheme="minorHAnsi" w:cstheme="minorHAnsi"/>
          <w:sz w:val="24"/>
          <w:szCs w:val="24"/>
        </w:rPr>
        <w:t>P</w:t>
      </w:r>
      <w:r w:rsidR="00B14937" w:rsidRPr="00FC3BC6">
        <w:rPr>
          <w:rFonts w:asciiTheme="minorHAnsi" w:hAnsiTheme="minorHAnsi" w:cstheme="minorHAnsi"/>
          <w:sz w:val="24"/>
          <w:szCs w:val="24"/>
        </w:rPr>
        <w:t>ortal</w:t>
      </w:r>
      <w:r w:rsidRPr="00FC3BC6">
        <w:rPr>
          <w:rFonts w:asciiTheme="minorHAnsi" w:hAnsiTheme="minorHAnsi" w:cstheme="minorHAnsi"/>
          <w:sz w:val="24"/>
          <w:szCs w:val="24"/>
        </w:rPr>
        <w:t xml:space="preserve">. </w:t>
      </w:r>
      <w:r w:rsidR="00B14937" w:rsidRPr="00FC3BC6">
        <w:rPr>
          <w:rFonts w:asciiTheme="minorHAnsi" w:hAnsiTheme="minorHAnsi" w:cstheme="minorHAnsi"/>
          <w:sz w:val="24"/>
          <w:szCs w:val="24"/>
        </w:rPr>
        <w:t xml:space="preserve"> </w:t>
      </w:r>
    </w:p>
    <w:p w14:paraId="637DD387" w14:textId="3386172E" w:rsidR="00FE7DAA" w:rsidRPr="00FC3BC6" w:rsidRDefault="00FE7DAA" w:rsidP="00C36BE6">
      <w:pPr>
        <w:spacing w:after="120" w:line="276" w:lineRule="auto"/>
        <w:rPr>
          <w:rFonts w:asciiTheme="minorHAnsi" w:hAnsiTheme="minorHAnsi" w:cstheme="minorHAnsi"/>
        </w:rPr>
      </w:pPr>
      <w:r>
        <w:rPr>
          <w:rFonts w:asciiTheme="minorHAnsi" w:hAnsiTheme="minorHAnsi" w:cstheme="minorHAnsi"/>
        </w:rPr>
        <w:t>The reforms being implemented to the FCoA and FCC are</w:t>
      </w:r>
      <w:r w:rsidRPr="00FC3BC6">
        <w:rPr>
          <w:rFonts w:asciiTheme="minorHAnsi" w:hAnsiTheme="minorHAnsi" w:cstheme="minorHAnsi"/>
        </w:rPr>
        <w:t xml:space="preserve"> built upon the framework provided by the </w:t>
      </w:r>
      <w:r w:rsidRPr="00FC3BC6">
        <w:rPr>
          <w:rFonts w:asciiTheme="minorHAnsi" w:hAnsiTheme="minorHAnsi" w:cstheme="minorHAnsi"/>
          <w:i/>
        </w:rPr>
        <w:t>Federal Circuit and Family Court of Australia Act 2021</w:t>
      </w:r>
      <w:r w:rsidRPr="00FC3BC6">
        <w:rPr>
          <w:rFonts w:asciiTheme="minorHAnsi" w:hAnsiTheme="minorHAnsi" w:cstheme="minorHAnsi"/>
        </w:rPr>
        <w:t>. It is instructive to set out some of the core features that the legislature have enshrined in the Act:</w:t>
      </w:r>
    </w:p>
    <w:p w14:paraId="6D28D402" w14:textId="7C9613E8" w:rsidR="00FE7DAA" w:rsidRPr="00FC3BC6" w:rsidRDefault="00FE7DAA" w:rsidP="00C36BE6">
      <w:pPr>
        <w:spacing w:after="120" w:line="276" w:lineRule="auto"/>
        <w:rPr>
          <w:rFonts w:asciiTheme="minorHAnsi" w:hAnsiTheme="minorHAnsi" w:cstheme="minorHAnsi"/>
        </w:rPr>
      </w:pPr>
      <w:r w:rsidRPr="00FC3BC6">
        <w:rPr>
          <w:rFonts w:asciiTheme="minorHAnsi" w:hAnsiTheme="minorHAnsi" w:cstheme="minorHAnsi"/>
        </w:rPr>
        <w:t xml:space="preserve">The </w:t>
      </w:r>
      <w:r w:rsidRPr="00FE7DAA">
        <w:rPr>
          <w:rFonts w:asciiTheme="minorHAnsi" w:hAnsiTheme="minorHAnsi" w:cstheme="minorHAnsi"/>
          <w:b/>
          <w:i/>
        </w:rPr>
        <w:t>objects</w:t>
      </w:r>
      <w:r w:rsidRPr="00FC3BC6">
        <w:rPr>
          <w:rFonts w:asciiTheme="minorHAnsi" w:hAnsiTheme="minorHAnsi" w:cstheme="minorHAnsi"/>
        </w:rPr>
        <w:t xml:space="preserve"> of the Act </w:t>
      </w:r>
      <w:r>
        <w:rPr>
          <w:rFonts w:asciiTheme="minorHAnsi" w:hAnsiTheme="minorHAnsi" w:cstheme="minorHAnsi"/>
        </w:rPr>
        <w:t>clearly summarise the</w:t>
      </w:r>
      <w:r w:rsidRPr="00FC3BC6">
        <w:rPr>
          <w:rFonts w:asciiTheme="minorHAnsi" w:hAnsiTheme="minorHAnsi" w:cstheme="minorHAnsi"/>
        </w:rPr>
        <w:t xml:space="preserve"> aims of the </w:t>
      </w:r>
      <w:r>
        <w:rPr>
          <w:rFonts w:asciiTheme="minorHAnsi" w:hAnsiTheme="minorHAnsi" w:cstheme="minorHAnsi"/>
        </w:rPr>
        <w:t xml:space="preserve">merged </w:t>
      </w:r>
      <w:r w:rsidRPr="00FC3BC6">
        <w:rPr>
          <w:rFonts w:asciiTheme="minorHAnsi" w:hAnsiTheme="minorHAnsi" w:cstheme="minorHAnsi"/>
        </w:rPr>
        <w:t>court</w:t>
      </w:r>
      <w:r>
        <w:rPr>
          <w:rFonts w:asciiTheme="minorHAnsi" w:hAnsiTheme="minorHAnsi" w:cstheme="minorHAnsi"/>
        </w:rPr>
        <w:t xml:space="preserve"> (s 5 FCFCOA Act)</w:t>
      </w:r>
      <w:r w:rsidRPr="00FC3BC6">
        <w:rPr>
          <w:rFonts w:asciiTheme="minorHAnsi" w:hAnsiTheme="minorHAnsi" w:cstheme="minorHAnsi"/>
        </w:rPr>
        <w:t>:</w:t>
      </w:r>
    </w:p>
    <w:p w14:paraId="525A3521" w14:textId="77777777" w:rsidR="00FE7DAA" w:rsidRPr="00FC3BC6" w:rsidRDefault="00FE7DAA" w:rsidP="00C36BE6">
      <w:pPr>
        <w:pStyle w:val="ListParagraph"/>
        <w:numPr>
          <w:ilvl w:val="0"/>
          <w:numId w:val="26"/>
        </w:numPr>
        <w:spacing w:after="120"/>
        <w:ind w:left="709"/>
        <w:rPr>
          <w:rFonts w:asciiTheme="minorHAnsi" w:hAnsiTheme="minorHAnsi" w:cstheme="minorHAnsi"/>
          <w:sz w:val="24"/>
          <w:szCs w:val="24"/>
        </w:rPr>
      </w:pPr>
      <w:r w:rsidRPr="00FC3BC6">
        <w:rPr>
          <w:rFonts w:asciiTheme="minorHAnsi" w:hAnsiTheme="minorHAnsi" w:cstheme="minorHAnsi"/>
          <w:sz w:val="24"/>
          <w:szCs w:val="24"/>
        </w:rPr>
        <w:t>to ensure that justice is delivered by federal courts effectively and efficiently; and</w:t>
      </w:r>
    </w:p>
    <w:p w14:paraId="69B51C1C" w14:textId="77777777" w:rsidR="00FE7DAA" w:rsidRPr="00FC3BC6" w:rsidRDefault="00FE7DAA" w:rsidP="00C36BE6">
      <w:pPr>
        <w:pStyle w:val="ListParagraph"/>
        <w:numPr>
          <w:ilvl w:val="0"/>
          <w:numId w:val="26"/>
        </w:numPr>
        <w:spacing w:after="120"/>
        <w:ind w:left="709"/>
        <w:rPr>
          <w:rFonts w:asciiTheme="minorHAnsi" w:hAnsiTheme="minorHAnsi" w:cstheme="minorHAnsi"/>
          <w:sz w:val="24"/>
          <w:szCs w:val="24"/>
        </w:rPr>
      </w:pPr>
      <w:r w:rsidRPr="00FC3BC6">
        <w:rPr>
          <w:rFonts w:asciiTheme="minorHAnsi" w:hAnsiTheme="minorHAnsi" w:cstheme="minorHAnsi"/>
          <w:sz w:val="24"/>
          <w:szCs w:val="24"/>
        </w:rPr>
        <w:t>to provide for just outcomes, in particular, in family law or child support proceedings; and</w:t>
      </w:r>
    </w:p>
    <w:p w14:paraId="6404584E" w14:textId="77777777" w:rsidR="00FE7DAA" w:rsidRPr="00FC3BC6" w:rsidRDefault="00FE7DAA" w:rsidP="00C36BE6">
      <w:pPr>
        <w:pStyle w:val="ListParagraph"/>
        <w:numPr>
          <w:ilvl w:val="0"/>
          <w:numId w:val="26"/>
        </w:numPr>
        <w:spacing w:after="120"/>
        <w:ind w:left="709"/>
        <w:rPr>
          <w:rFonts w:asciiTheme="minorHAnsi" w:hAnsiTheme="minorHAnsi" w:cstheme="minorHAnsi"/>
          <w:sz w:val="24"/>
          <w:szCs w:val="24"/>
        </w:rPr>
      </w:pPr>
      <w:r w:rsidRPr="00FC3BC6">
        <w:rPr>
          <w:rFonts w:asciiTheme="minorHAnsi" w:hAnsiTheme="minorHAnsi" w:cstheme="minorHAnsi"/>
          <w:sz w:val="24"/>
          <w:szCs w:val="24"/>
        </w:rPr>
        <w:t>to provide a framework to facilitate cooperation between Division 1 and Division 2 with the aim of ensuring:</w:t>
      </w:r>
    </w:p>
    <w:p w14:paraId="15BC8506" w14:textId="77777777" w:rsidR="00FE7DAA" w:rsidRPr="00FC3BC6" w:rsidRDefault="00FE7DAA" w:rsidP="00C36BE6">
      <w:pPr>
        <w:pStyle w:val="ListParagraph"/>
        <w:numPr>
          <w:ilvl w:val="0"/>
          <w:numId w:val="27"/>
        </w:numPr>
        <w:spacing w:after="120"/>
        <w:ind w:left="1276"/>
        <w:rPr>
          <w:rFonts w:asciiTheme="minorHAnsi" w:hAnsiTheme="minorHAnsi" w:cstheme="minorHAnsi"/>
          <w:sz w:val="24"/>
          <w:szCs w:val="24"/>
        </w:rPr>
      </w:pPr>
      <w:r w:rsidRPr="00FC3BC6">
        <w:rPr>
          <w:rFonts w:asciiTheme="minorHAnsi" w:hAnsiTheme="minorHAnsi" w:cstheme="minorHAnsi"/>
          <w:sz w:val="24"/>
          <w:szCs w:val="24"/>
        </w:rPr>
        <w:t>common rules of court and forms; and</w:t>
      </w:r>
    </w:p>
    <w:p w14:paraId="7C48051A" w14:textId="77777777" w:rsidR="00FE7DAA" w:rsidRPr="00FC3BC6" w:rsidRDefault="00FE7DAA" w:rsidP="00C36BE6">
      <w:pPr>
        <w:pStyle w:val="ListParagraph"/>
        <w:numPr>
          <w:ilvl w:val="0"/>
          <w:numId w:val="27"/>
        </w:numPr>
        <w:spacing w:after="120"/>
        <w:ind w:left="1276"/>
        <w:rPr>
          <w:rFonts w:asciiTheme="minorHAnsi" w:hAnsiTheme="minorHAnsi" w:cstheme="minorHAnsi"/>
          <w:sz w:val="24"/>
          <w:szCs w:val="24"/>
        </w:rPr>
      </w:pPr>
      <w:r w:rsidRPr="00FC3BC6">
        <w:rPr>
          <w:rFonts w:asciiTheme="minorHAnsi" w:hAnsiTheme="minorHAnsi" w:cstheme="minorHAnsi"/>
          <w:sz w:val="24"/>
          <w:szCs w:val="24"/>
        </w:rPr>
        <w:t>common practices and procedures; and</w:t>
      </w:r>
    </w:p>
    <w:p w14:paraId="71F8B30C" w14:textId="77777777" w:rsidR="00FE7DAA" w:rsidRPr="00FC3BC6" w:rsidRDefault="00FE7DAA" w:rsidP="00C36BE6">
      <w:pPr>
        <w:pStyle w:val="ListParagraph"/>
        <w:numPr>
          <w:ilvl w:val="0"/>
          <w:numId w:val="27"/>
        </w:numPr>
        <w:spacing w:after="120"/>
        <w:ind w:left="1276"/>
        <w:rPr>
          <w:rFonts w:asciiTheme="minorHAnsi" w:hAnsiTheme="minorHAnsi" w:cstheme="minorHAnsi"/>
          <w:sz w:val="24"/>
          <w:szCs w:val="24"/>
        </w:rPr>
      </w:pPr>
      <w:r w:rsidRPr="00FC3BC6">
        <w:rPr>
          <w:rFonts w:asciiTheme="minorHAnsi" w:hAnsiTheme="minorHAnsi" w:cstheme="minorHAnsi"/>
          <w:sz w:val="24"/>
          <w:szCs w:val="24"/>
        </w:rPr>
        <w:t>common approaches to case management.</w:t>
      </w:r>
    </w:p>
    <w:p w14:paraId="6CF9D642" w14:textId="77777777" w:rsidR="00FE7DAA" w:rsidRPr="00FC3BC6" w:rsidRDefault="00FE7DAA" w:rsidP="00C36BE6">
      <w:pPr>
        <w:spacing w:after="120" w:line="276" w:lineRule="auto"/>
        <w:rPr>
          <w:rFonts w:asciiTheme="minorHAnsi" w:hAnsiTheme="minorHAnsi" w:cstheme="minorHAnsi"/>
        </w:rPr>
      </w:pPr>
      <w:r w:rsidRPr="00FC3BC6">
        <w:rPr>
          <w:rFonts w:asciiTheme="minorHAnsi" w:hAnsiTheme="minorHAnsi" w:cstheme="minorHAnsi"/>
        </w:rPr>
        <w:t>The focus is clearly on effective and efficient delivery of justice, and achieving common approaches to simplify the court system.</w:t>
      </w:r>
    </w:p>
    <w:p w14:paraId="668FB131" w14:textId="343E535E" w:rsidR="00FE7DAA" w:rsidRPr="00C36BE6" w:rsidRDefault="00FE7DAA" w:rsidP="00C36BE6">
      <w:pPr>
        <w:pStyle w:val="Heading2"/>
      </w:pPr>
      <w:r w:rsidRPr="00C36BE6">
        <w:t>The family law jurisdiction</w:t>
      </w:r>
    </w:p>
    <w:p w14:paraId="1AA5C57F" w14:textId="01BDDC6D" w:rsidR="00FE7DAA" w:rsidRDefault="00FE7DAA" w:rsidP="00C36BE6">
      <w:pPr>
        <w:spacing w:after="120" w:line="276" w:lineRule="auto"/>
        <w:rPr>
          <w:rFonts w:asciiTheme="minorHAnsi" w:hAnsiTheme="minorHAnsi" w:cstheme="minorHAnsi"/>
        </w:rPr>
      </w:pPr>
      <w:r w:rsidRPr="00FC3BC6">
        <w:rPr>
          <w:rFonts w:asciiTheme="minorHAnsi" w:hAnsiTheme="minorHAnsi" w:cstheme="minorHAnsi"/>
        </w:rPr>
        <w:t>The Courts have been working diligently to build a court system that is innovative, truly focuses on the safety of children and vulnerable litigants, and that changes the culture and conversation around family law – learning from the many inquiries, reviews and calls for change that have occurred in the past.</w:t>
      </w:r>
    </w:p>
    <w:p w14:paraId="379D8A91" w14:textId="3377EC02" w:rsidR="007C088F" w:rsidRPr="00FC3BC6" w:rsidRDefault="006C64D7" w:rsidP="00C36BE6">
      <w:pPr>
        <w:spacing w:line="276" w:lineRule="auto"/>
        <w:rPr>
          <w:rFonts w:asciiTheme="minorHAnsi" w:hAnsiTheme="minorHAnsi" w:cstheme="minorHAnsi"/>
        </w:rPr>
      </w:pPr>
      <w:r w:rsidRPr="00FC3BC6">
        <w:rPr>
          <w:rFonts w:asciiTheme="minorHAnsi" w:hAnsiTheme="minorHAnsi" w:cstheme="minorHAnsi"/>
        </w:rPr>
        <w:lastRenderedPageBreak/>
        <w:t>F</w:t>
      </w:r>
      <w:r w:rsidR="007C088F" w:rsidRPr="00FC3BC6">
        <w:rPr>
          <w:rFonts w:asciiTheme="minorHAnsi" w:hAnsiTheme="minorHAnsi" w:cstheme="minorHAnsi"/>
        </w:rPr>
        <w:t xml:space="preserve">rom 1 September we will see a new </w:t>
      </w:r>
      <w:r w:rsidR="004504DA" w:rsidRPr="00FC3BC6">
        <w:rPr>
          <w:rFonts w:asciiTheme="minorHAnsi" w:hAnsiTheme="minorHAnsi" w:cstheme="minorHAnsi"/>
        </w:rPr>
        <w:t xml:space="preserve">structure </w:t>
      </w:r>
      <w:r w:rsidR="007C088F" w:rsidRPr="00FC3BC6">
        <w:rPr>
          <w:rFonts w:asciiTheme="minorHAnsi" w:hAnsiTheme="minorHAnsi" w:cstheme="minorHAnsi"/>
        </w:rPr>
        <w:t>that is innovative, fair and efficient and focuses on risk, responsiveness and resolution, by:  </w:t>
      </w:r>
    </w:p>
    <w:p w14:paraId="31D9A4D5" w14:textId="77777777" w:rsidR="007C088F" w:rsidRPr="00FC3BC6" w:rsidRDefault="007C088F" w:rsidP="00C36BE6">
      <w:pPr>
        <w:pStyle w:val="ListParagraph"/>
        <w:numPr>
          <w:ilvl w:val="0"/>
          <w:numId w:val="18"/>
        </w:numPr>
        <w:spacing w:after="120"/>
        <w:rPr>
          <w:rFonts w:asciiTheme="minorHAnsi" w:eastAsia="Times New Roman" w:hAnsiTheme="minorHAnsi" w:cstheme="minorHAnsi"/>
          <w:sz w:val="24"/>
          <w:szCs w:val="24"/>
          <w:lang w:eastAsia="en-AU"/>
        </w:rPr>
      </w:pPr>
      <w:r w:rsidRPr="00FC3BC6">
        <w:rPr>
          <w:rFonts w:asciiTheme="minorHAnsi" w:eastAsia="Times New Roman" w:hAnsiTheme="minorHAnsi" w:cstheme="minorHAnsi"/>
          <w:sz w:val="24"/>
          <w:szCs w:val="24"/>
          <w:lang w:eastAsia="en-AU"/>
        </w:rPr>
        <w:t>Improving early risk identification and safety of children and vulnerable parties</w:t>
      </w:r>
    </w:p>
    <w:p w14:paraId="05955626" w14:textId="77777777" w:rsidR="007C088F" w:rsidRPr="00FC3BC6" w:rsidRDefault="007C088F" w:rsidP="00C36BE6">
      <w:pPr>
        <w:pStyle w:val="ListParagraph"/>
        <w:numPr>
          <w:ilvl w:val="0"/>
          <w:numId w:val="18"/>
        </w:numPr>
        <w:spacing w:after="120"/>
        <w:rPr>
          <w:rFonts w:asciiTheme="minorHAnsi" w:eastAsia="Times New Roman" w:hAnsiTheme="minorHAnsi" w:cstheme="minorHAnsi"/>
          <w:sz w:val="24"/>
          <w:szCs w:val="24"/>
          <w:lang w:eastAsia="en-AU"/>
        </w:rPr>
      </w:pPr>
      <w:r w:rsidRPr="00FC3BC6">
        <w:rPr>
          <w:rFonts w:asciiTheme="minorHAnsi" w:eastAsia="Times New Roman" w:hAnsiTheme="minorHAnsi" w:cstheme="minorHAnsi"/>
          <w:sz w:val="24"/>
          <w:szCs w:val="24"/>
          <w:lang w:eastAsia="en-AU"/>
        </w:rPr>
        <w:t>Encouraging smarter ways to separate with less acrimony, less cost and more dispute resolution, where it is safe to do so</w:t>
      </w:r>
    </w:p>
    <w:p w14:paraId="4D16B051" w14:textId="77777777" w:rsidR="007C088F" w:rsidRPr="00FC3BC6" w:rsidRDefault="007C088F" w:rsidP="00C36BE6">
      <w:pPr>
        <w:pStyle w:val="ListParagraph"/>
        <w:numPr>
          <w:ilvl w:val="0"/>
          <w:numId w:val="18"/>
        </w:numPr>
        <w:spacing w:after="120"/>
        <w:rPr>
          <w:rFonts w:asciiTheme="minorHAnsi" w:eastAsia="Times New Roman" w:hAnsiTheme="minorHAnsi" w:cstheme="minorHAnsi"/>
          <w:sz w:val="24"/>
          <w:szCs w:val="24"/>
          <w:lang w:eastAsia="en-AU"/>
        </w:rPr>
      </w:pPr>
      <w:r w:rsidRPr="00FC3BC6">
        <w:rPr>
          <w:rFonts w:asciiTheme="minorHAnsi" w:eastAsia="Times New Roman" w:hAnsiTheme="minorHAnsi" w:cstheme="minorHAnsi"/>
          <w:sz w:val="24"/>
          <w:szCs w:val="24"/>
          <w:lang w:eastAsia="en-AU"/>
        </w:rPr>
        <w:t xml:space="preserve">Expecting compliance with court orders </w:t>
      </w:r>
    </w:p>
    <w:p w14:paraId="7A76FC52" w14:textId="77777777" w:rsidR="007C088F" w:rsidRPr="00FC3BC6" w:rsidRDefault="007C088F" w:rsidP="00C36BE6">
      <w:pPr>
        <w:pStyle w:val="ListParagraph"/>
        <w:numPr>
          <w:ilvl w:val="0"/>
          <w:numId w:val="18"/>
        </w:numPr>
        <w:spacing w:after="120"/>
        <w:rPr>
          <w:rFonts w:asciiTheme="minorHAnsi" w:eastAsia="Times New Roman" w:hAnsiTheme="minorHAnsi" w:cstheme="minorHAnsi"/>
          <w:sz w:val="24"/>
          <w:szCs w:val="24"/>
          <w:lang w:eastAsia="en-AU"/>
        </w:rPr>
      </w:pPr>
      <w:r w:rsidRPr="00FC3BC6">
        <w:rPr>
          <w:rFonts w:asciiTheme="minorHAnsi" w:eastAsia="Times New Roman" w:hAnsiTheme="minorHAnsi" w:cstheme="minorHAnsi"/>
          <w:sz w:val="24"/>
          <w:szCs w:val="24"/>
          <w:lang w:eastAsia="en-AU"/>
        </w:rPr>
        <w:t xml:space="preserve">Enhancing national access to justice for vulnerable parties and regional communities through the use of technology, and  </w:t>
      </w:r>
    </w:p>
    <w:p w14:paraId="41BAE161" w14:textId="0FDBF1B9" w:rsidR="007C088F" w:rsidRPr="00FC3BC6" w:rsidRDefault="00FE7DAA" w:rsidP="00C36BE6">
      <w:pPr>
        <w:pStyle w:val="ListParagraph"/>
        <w:numPr>
          <w:ilvl w:val="0"/>
          <w:numId w:val="18"/>
        </w:numPr>
        <w:spacing w:after="120"/>
        <w:rPr>
          <w:rFonts w:asciiTheme="minorHAnsi" w:eastAsia="Times New Roman" w:hAnsiTheme="minorHAnsi" w:cstheme="minorHAnsi"/>
          <w:sz w:val="24"/>
          <w:szCs w:val="24"/>
          <w:lang w:eastAsia="en-AU"/>
        </w:rPr>
      </w:pPr>
      <w:r>
        <w:rPr>
          <w:rFonts w:asciiTheme="minorHAnsi" w:eastAsia="Times New Roman" w:hAnsiTheme="minorHAnsi" w:cstheme="minorHAnsi"/>
          <w:sz w:val="24"/>
          <w:szCs w:val="24"/>
          <w:lang w:eastAsia="en-AU"/>
        </w:rPr>
        <w:t>Aiming to r</w:t>
      </w:r>
      <w:r w:rsidR="007C088F" w:rsidRPr="00FC3BC6">
        <w:rPr>
          <w:rFonts w:asciiTheme="minorHAnsi" w:eastAsia="Times New Roman" w:hAnsiTheme="minorHAnsi" w:cstheme="minorHAnsi"/>
          <w:sz w:val="24"/>
          <w:szCs w:val="24"/>
          <w:lang w:eastAsia="en-AU"/>
        </w:rPr>
        <w:t>esolving up to 90 per cent of cases within</w:t>
      </w:r>
      <w:r>
        <w:rPr>
          <w:rFonts w:asciiTheme="minorHAnsi" w:eastAsia="Times New Roman" w:hAnsiTheme="minorHAnsi" w:cstheme="minorHAnsi"/>
          <w:sz w:val="24"/>
          <w:szCs w:val="24"/>
          <w:lang w:eastAsia="en-AU"/>
        </w:rPr>
        <w:t xml:space="preserve"> 12 months.</w:t>
      </w:r>
    </w:p>
    <w:p w14:paraId="39AFC8AD" w14:textId="2CC0AE0D" w:rsidR="00513842" w:rsidRPr="00FC3BC6" w:rsidRDefault="007C088F" w:rsidP="00C36BE6">
      <w:pPr>
        <w:spacing w:line="276" w:lineRule="auto"/>
        <w:rPr>
          <w:rFonts w:asciiTheme="minorHAnsi" w:hAnsiTheme="minorHAnsi" w:cstheme="minorHAnsi"/>
        </w:rPr>
      </w:pPr>
      <w:r w:rsidRPr="00FC3BC6">
        <w:rPr>
          <w:rFonts w:asciiTheme="minorHAnsi" w:hAnsiTheme="minorHAnsi" w:cstheme="minorHAnsi"/>
        </w:rPr>
        <w:t xml:space="preserve">The </w:t>
      </w:r>
      <w:r w:rsidR="00513842" w:rsidRPr="00FC3BC6">
        <w:rPr>
          <w:rFonts w:asciiTheme="minorHAnsi" w:hAnsiTheme="minorHAnsi" w:cstheme="minorHAnsi"/>
        </w:rPr>
        <w:t xml:space="preserve">legislative changes have enabled the </w:t>
      </w:r>
      <w:r w:rsidRPr="00FC3BC6">
        <w:rPr>
          <w:rFonts w:asciiTheme="minorHAnsi" w:hAnsiTheme="minorHAnsi" w:cstheme="minorHAnsi"/>
        </w:rPr>
        <w:t>Court</w:t>
      </w:r>
      <w:r w:rsidR="00513842" w:rsidRPr="00FC3BC6">
        <w:rPr>
          <w:rFonts w:asciiTheme="minorHAnsi" w:hAnsiTheme="minorHAnsi" w:cstheme="minorHAnsi"/>
        </w:rPr>
        <w:t xml:space="preserve"> </w:t>
      </w:r>
      <w:r w:rsidRPr="00FC3BC6">
        <w:rPr>
          <w:rFonts w:asciiTheme="minorHAnsi" w:hAnsiTheme="minorHAnsi" w:cstheme="minorHAnsi"/>
        </w:rPr>
        <w:t xml:space="preserve">to </w:t>
      </w:r>
      <w:r w:rsidR="00513842" w:rsidRPr="00FC3BC6">
        <w:rPr>
          <w:rFonts w:asciiTheme="minorHAnsi" w:hAnsiTheme="minorHAnsi" w:cstheme="minorHAnsi"/>
        </w:rPr>
        <w:t xml:space="preserve">undertake </w:t>
      </w:r>
      <w:r w:rsidR="00256489" w:rsidRPr="00FC3BC6">
        <w:rPr>
          <w:rFonts w:asciiTheme="minorHAnsi" w:hAnsiTheme="minorHAnsi" w:cstheme="minorHAnsi"/>
        </w:rPr>
        <w:t>major s</w:t>
      </w:r>
      <w:r w:rsidRPr="00FC3BC6">
        <w:rPr>
          <w:rFonts w:asciiTheme="minorHAnsi" w:hAnsiTheme="minorHAnsi" w:cstheme="minorHAnsi"/>
        </w:rPr>
        <w:t>tructural changes</w:t>
      </w:r>
      <w:r w:rsidR="00256489" w:rsidRPr="00FC3BC6">
        <w:rPr>
          <w:rFonts w:asciiTheme="minorHAnsi" w:hAnsiTheme="minorHAnsi" w:cstheme="minorHAnsi"/>
        </w:rPr>
        <w:t xml:space="preserve"> which </w:t>
      </w:r>
      <w:r w:rsidR="00513842" w:rsidRPr="00FC3BC6">
        <w:rPr>
          <w:rFonts w:asciiTheme="minorHAnsi" w:hAnsiTheme="minorHAnsi" w:cstheme="minorHAnsi"/>
        </w:rPr>
        <w:t xml:space="preserve">will </w:t>
      </w:r>
      <w:r w:rsidR="00256489" w:rsidRPr="00FC3BC6">
        <w:rPr>
          <w:rFonts w:asciiTheme="minorHAnsi" w:hAnsiTheme="minorHAnsi" w:cstheme="minorHAnsi"/>
        </w:rPr>
        <w:t>feature:</w:t>
      </w:r>
    </w:p>
    <w:p w14:paraId="64B2FBC2" w14:textId="1A1355F0" w:rsidR="00256489" w:rsidRPr="00FC3BC6" w:rsidRDefault="00256489" w:rsidP="00C36BE6">
      <w:pPr>
        <w:numPr>
          <w:ilvl w:val="0"/>
          <w:numId w:val="40"/>
        </w:numPr>
        <w:spacing w:line="276" w:lineRule="auto"/>
        <w:rPr>
          <w:rFonts w:asciiTheme="minorHAnsi" w:hAnsiTheme="minorHAnsi" w:cstheme="minorHAnsi"/>
        </w:rPr>
      </w:pPr>
      <w:r w:rsidRPr="00FC3BC6">
        <w:rPr>
          <w:rFonts w:asciiTheme="minorHAnsi" w:hAnsiTheme="minorHAnsi" w:cstheme="minorHAnsi"/>
        </w:rPr>
        <w:t>A single point of entry for all family law matters</w:t>
      </w:r>
    </w:p>
    <w:p w14:paraId="41712EDF" w14:textId="77777777" w:rsidR="00256489" w:rsidRPr="00FC3BC6" w:rsidRDefault="00256489" w:rsidP="00C36BE6">
      <w:pPr>
        <w:numPr>
          <w:ilvl w:val="0"/>
          <w:numId w:val="40"/>
        </w:numPr>
        <w:spacing w:line="276" w:lineRule="auto"/>
        <w:rPr>
          <w:rFonts w:asciiTheme="minorHAnsi" w:hAnsiTheme="minorHAnsi" w:cstheme="minorHAnsi"/>
        </w:rPr>
      </w:pPr>
      <w:r w:rsidRPr="00FC3BC6">
        <w:rPr>
          <w:rFonts w:asciiTheme="minorHAnsi" w:hAnsiTheme="minorHAnsi" w:cstheme="minorHAnsi"/>
        </w:rPr>
        <w:t>A new case management pathway</w:t>
      </w:r>
    </w:p>
    <w:p w14:paraId="2E200258" w14:textId="77777777" w:rsidR="00256489" w:rsidRPr="00FC3BC6" w:rsidRDefault="00256489" w:rsidP="003B1877">
      <w:pPr>
        <w:numPr>
          <w:ilvl w:val="0"/>
          <w:numId w:val="40"/>
        </w:numPr>
        <w:spacing w:line="276" w:lineRule="auto"/>
        <w:rPr>
          <w:rFonts w:asciiTheme="minorHAnsi" w:hAnsiTheme="minorHAnsi" w:cstheme="minorHAnsi"/>
        </w:rPr>
      </w:pPr>
      <w:r w:rsidRPr="00FC3BC6">
        <w:rPr>
          <w:rFonts w:asciiTheme="minorHAnsi" w:hAnsiTheme="minorHAnsi" w:cstheme="minorHAnsi"/>
        </w:rPr>
        <w:t>Specialist lists</w:t>
      </w:r>
    </w:p>
    <w:p w14:paraId="1D06C1F0" w14:textId="77777777" w:rsidR="00256489" w:rsidRPr="00FC3BC6" w:rsidRDefault="00256489" w:rsidP="00C36BE6">
      <w:pPr>
        <w:numPr>
          <w:ilvl w:val="0"/>
          <w:numId w:val="40"/>
        </w:numPr>
        <w:spacing w:line="276" w:lineRule="auto"/>
        <w:rPr>
          <w:rFonts w:asciiTheme="minorHAnsi" w:hAnsiTheme="minorHAnsi" w:cstheme="minorHAnsi"/>
        </w:rPr>
      </w:pPr>
      <w:r w:rsidRPr="00FC3BC6">
        <w:rPr>
          <w:rFonts w:asciiTheme="minorHAnsi" w:hAnsiTheme="minorHAnsi" w:cstheme="minorHAnsi"/>
        </w:rPr>
        <w:t>Harmonised family law rules</w:t>
      </w:r>
    </w:p>
    <w:p w14:paraId="274AD11B" w14:textId="77777777" w:rsidR="00256489" w:rsidRPr="00FC3BC6" w:rsidRDefault="00256489" w:rsidP="00C36BE6">
      <w:pPr>
        <w:numPr>
          <w:ilvl w:val="0"/>
          <w:numId w:val="40"/>
        </w:numPr>
        <w:spacing w:line="276" w:lineRule="auto"/>
        <w:rPr>
          <w:rFonts w:asciiTheme="minorHAnsi" w:hAnsiTheme="minorHAnsi" w:cstheme="minorHAnsi"/>
        </w:rPr>
      </w:pPr>
      <w:r w:rsidRPr="00FC3BC6">
        <w:rPr>
          <w:rFonts w:asciiTheme="minorHAnsi" w:hAnsiTheme="minorHAnsi" w:cstheme="minorHAnsi"/>
        </w:rPr>
        <w:t>New family law practice directions</w:t>
      </w:r>
    </w:p>
    <w:p w14:paraId="7C44C622" w14:textId="6C43E84A" w:rsidR="00256489" w:rsidRPr="00FC3BC6" w:rsidRDefault="00256489" w:rsidP="00C36BE6">
      <w:pPr>
        <w:numPr>
          <w:ilvl w:val="0"/>
          <w:numId w:val="40"/>
        </w:numPr>
        <w:spacing w:line="276" w:lineRule="auto"/>
        <w:rPr>
          <w:rFonts w:asciiTheme="minorHAnsi" w:hAnsiTheme="minorHAnsi" w:cstheme="minorHAnsi"/>
        </w:rPr>
      </w:pPr>
      <w:r w:rsidRPr="00FC3BC6">
        <w:rPr>
          <w:rFonts w:asciiTheme="minorHAnsi" w:hAnsiTheme="minorHAnsi" w:cstheme="minorHAnsi"/>
        </w:rPr>
        <w:t>Focus on dispute resolutio</w:t>
      </w:r>
      <w:r w:rsidR="00225D79">
        <w:rPr>
          <w:rFonts w:asciiTheme="minorHAnsi" w:hAnsiTheme="minorHAnsi" w:cstheme="minorHAnsi"/>
        </w:rPr>
        <w:t>n and an increase in internal dispute resolution</w:t>
      </w:r>
      <w:r w:rsidRPr="00FC3BC6">
        <w:rPr>
          <w:rFonts w:asciiTheme="minorHAnsi" w:hAnsiTheme="minorHAnsi" w:cstheme="minorHAnsi"/>
        </w:rPr>
        <w:t xml:space="preserve"> in parenting and financial matters</w:t>
      </w:r>
    </w:p>
    <w:p w14:paraId="7571F192" w14:textId="77777777" w:rsidR="00256489" w:rsidRPr="00FC3BC6" w:rsidRDefault="00256489" w:rsidP="00C36BE6">
      <w:pPr>
        <w:numPr>
          <w:ilvl w:val="0"/>
          <w:numId w:val="40"/>
        </w:numPr>
        <w:spacing w:line="276" w:lineRule="auto"/>
        <w:rPr>
          <w:rFonts w:asciiTheme="minorHAnsi" w:hAnsiTheme="minorHAnsi" w:cstheme="minorHAnsi"/>
        </w:rPr>
      </w:pPr>
      <w:r w:rsidRPr="00FC3BC6">
        <w:rPr>
          <w:rFonts w:asciiTheme="minorHAnsi" w:hAnsiTheme="minorHAnsi" w:cstheme="minorHAnsi"/>
        </w:rPr>
        <w:t>Enhanced and effective child expert reporting process</w:t>
      </w:r>
    </w:p>
    <w:p w14:paraId="2F4D6B8C" w14:textId="08D25D89" w:rsidR="00256489" w:rsidRPr="00FC3BC6" w:rsidRDefault="00256489" w:rsidP="00C36BE6">
      <w:pPr>
        <w:numPr>
          <w:ilvl w:val="0"/>
          <w:numId w:val="40"/>
        </w:numPr>
        <w:spacing w:line="276" w:lineRule="auto"/>
        <w:rPr>
          <w:rFonts w:asciiTheme="minorHAnsi" w:hAnsiTheme="minorHAnsi" w:cstheme="minorHAnsi"/>
        </w:rPr>
      </w:pPr>
      <w:r w:rsidRPr="00FC3BC6">
        <w:rPr>
          <w:rFonts w:asciiTheme="minorHAnsi" w:hAnsiTheme="minorHAnsi" w:cstheme="minorHAnsi"/>
        </w:rPr>
        <w:t>An informative and modernised website</w:t>
      </w:r>
    </w:p>
    <w:p w14:paraId="6E325A4A" w14:textId="2BE7A44A" w:rsidR="0090270E" w:rsidRPr="00C36BE6" w:rsidRDefault="00225D79" w:rsidP="00C36BE6">
      <w:pPr>
        <w:pStyle w:val="ListParagraph"/>
        <w:numPr>
          <w:ilvl w:val="0"/>
          <w:numId w:val="40"/>
        </w:numPr>
        <w:spacing w:after="120"/>
        <w:rPr>
          <w:rFonts w:asciiTheme="minorHAnsi" w:eastAsia="Times New Roman" w:hAnsiTheme="minorHAnsi" w:cstheme="minorHAnsi"/>
          <w:sz w:val="24"/>
          <w:szCs w:val="24"/>
          <w:lang w:eastAsia="en-AU"/>
        </w:rPr>
      </w:pPr>
      <w:r>
        <w:rPr>
          <w:rFonts w:asciiTheme="minorHAnsi" w:eastAsia="Times New Roman" w:hAnsiTheme="minorHAnsi" w:cstheme="minorHAnsi"/>
          <w:sz w:val="24"/>
          <w:szCs w:val="24"/>
          <w:lang w:eastAsia="en-AU"/>
        </w:rPr>
        <w:t>Appellate jurisdiction exercised in Division 1 through a Full Court model rather than an Appeal Division</w:t>
      </w:r>
    </w:p>
    <w:p w14:paraId="3795838F" w14:textId="77777777" w:rsidR="0090270E" w:rsidRPr="0090270E" w:rsidRDefault="0090270E" w:rsidP="00C36BE6">
      <w:pPr>
        <w:pStyle w:val="Heading3"/>
      </w:pPr>
      <w:r w:rsidRPr="0090270E">
        <w:t xml:space="preserve">Leadership </w:t>
      </w:r>
      <w:r w:rsidRPr="00C36BE6">
        <w:t>structure</w:t>
      </w:r>
      <w:r w:rsidRPr="0090270E">
        <w:t xml:space="preserve"> and judiciary</w:t>
      </w:r>
    </w:p>
    <w:p w14:paraId="7DE4C948" w14:textId="77777777" w:rsidR="0090270E" w:rsidRPr="0090270E" w:rsidRDefault="0090270E" w:rsidP="00C36BE6">
      <w:pPr>
        <w:spacing w:after="120"/>
        <w:rPr>
          <w:rFonts w:asciiTheme="minorHAnsi" w:hAnsiTheme="minorHAnsi" w:cstheme="minorHAnsi"/>
        </w:rPr>
      </w:pPr>
      <w:r w:rsidRPr="0090270E">
        <w:rPr>
          <w:rFonts w:asciiTheme="minorHAnsi" w:hAnsiTheme="minorHAnsi" w:cstheme="minorHAnsi"/>
        </w:rPr>
        <w:t xml:space="preserve">The leadership structure includes the Chief Justice and Deputy Chief Justice for Division 1, and in Division 2, one Deputy Chief Judge for Family Law, and one for General Federal Law and Fair Work. </w:t>
      </w:r>
    </w:p>
    <w:p w14:paraId="4D0AC22C" w14:textId="068878A7" w:rsidR="0090270E" w:rsidRPr="0090270E" w:rsidRDefault="0090270E" w:rsidP="00C36BE6">
      <w:pPr>
        <w:spacing w:after="120"/>
        <w:rPr>
          <w:rFonts w:asciiTheme="minorHAnsi" w:hAnsiTheme="minorHAnsi" w:cstheme="minorHAnsi"/>
        </w:rPr>
      </w:pPr>
      <w:r w:rsidRPr="0090270E">
        <w:rPr>
          <w:rFonts w:asciiTheme="minorHAnsi" w:hAnsiTheme="minorHAnsi" w:cstheme="minorHAnsi"/>
        </w:rPr>
        <w:t xml:space="preserve">Specialist family law </w:t>
      </w:r>
      <w:r w:rsidR="00D50A7F">
        <w:rPr>
          <w:rFonts w:asciiTheme="minorHAnsi" w:hAnsiTheme="minorHAnsi" w:cstheme="minorHAnsi"/>
        </w:rPr>
        <w:t>J</w:t>
      </w:r>
      <w:r w:rsidRPr="0090270E">
        <w:rPr>
          <w:rFonts w:asciiTheme="minorHAnsi" w:hAnsiTheme="minorHAnsi" w:cstheme="minorHAnsi"/>
        </w:rPr>
        <w:t xml:space="preserve">udges are already a feature of both the FCoA and FCC. Importantly specialist </w:t>
      </w:r>
      <w:r w:rsidR="00D50A7F">
        <w:rPr>
          <w:rFonts w:asciiTheme="minorHAnsi" w:hAnsiTheme="minorHAnsi" w:cstheme="minorHAnsi"/>
        </w:rPr>
        <w:t>J</w:t>
      </w:r>
      <w:r w:rsidRPr="0090270E">
        <w:rPr>
          <w:rFonts w:asciiTheme="minorHAnsi" w:hAnsiTheme="minorHAnsi" w:cstheme="minorHAnsi"/>
        </w:rPr>
        <w:t xml:space="preserve">udges with expertise in family law will continue to be appointed, with the FCFCOA Act requiring that, by reason of knowledge, skills, experience and aptitude, all </w:t>
      </w:r>
      <w:r w:rsidR="00D50A7F">
        <w:rPr>
          <w:rFonts w:asciiTheme="minorHAnsi" w:hAnsiTheme="minorHAnsi" w:cstheme="minorHAnsi"/>
        </w:rPr>
        <w:t>J</w:t>
      </w:r>
      <w:r w:rsidRPr="0090270E">
        <w:rPr>
          <w:rFonts w:asciiTheme="minorHAnsi" w:hAnsiTheme="minorHAnsi" w:cstheme="minorHAnsi"/>
        </w:rPr>
        <w:t>udges exercising family law jurisdiction must be suitable to deal with family law matters, including matt</w:t>
      </w:r>
      <w:r w:rsidR="00C36BE6">
        <w:rPr>
          <w:rFonts w:asciiTheme="minorHAnsi" w:hAnsiTheme="minorHAnsi" w:cstheme="minorHAnsi"/>
        </w:rPr>
        <w:t>ers involving family violence.</w:t>
      </w:r>
    </w:p>
    <w:p w14:paraId="28EDE5FB" w14:textId="67858E72" w:rsidR="00FE7DAA" w:rsidRPr="00FC3BC6" w:rsidRDefault="00FE7DAA" w:rsidP="00C36BE6">
      <w:pPr>
        <w:pStyle w:val="Heading3"/>
      </w:pPr>
      <w:r w:rsidRPr="00FC3BC6">
        <w:t>The overarching purpose (ss 67,68 and 190, 191)</w:t>
      </w:r>
    </w:p>
    <w:p w14:paraId="499C9AC3" w14:textId="77777777" w:rsidR="00FE7DAA" w:rsidRPr="00FC3BC6" w:rsidRDefault="00FE7DAA" w:rsidP="00FE7DAA">
      <w:pPr>
        <w:spacing w:after="120" w:line="276" w:lineRule="auto"/>
        <w:jc w:val="both"/>
        <w:rPr>
          <w:rFonts w:asciiTheme="minorHAnsi" w:hAnsiTheme="minorHAnsi" w:cstheme="minorHAnsi"/>
        </w:rPr>
      </w:pPr>
      <w:r w:rsidRPr="00FC3BC6">
        <w:rPr>
          <w:rFonts w:asciiTheme="minorHAnsi" w:hAnsiTheme="minorHAnsi" w:cstheme="minorHAnsi"/>
        </w:rPr>
        <w:t>The FCFCOA will have an expansive overarching purpose that is resolution focused, and can carry costs consequences if not complied with.</w:t>
      </w:r>
    </w:p>
    <w:p w14:paraId="17E9F6BF" w14:textId="77777777" w:rsidR="00FE7DAA" w:rsidRPr="00FC3BC6" w:rsidRDefault="00FE7DAA" w:rsidP="00FE7DAA">
      <w:pPr>
        <w:spacing w:after="120" w:line="276" w:lineRule="auto"/>
        <w:jc w:val="both"/>
        <w:rPr>
          <w:rFonts w:asciiTheme="minorHAnsi" w:hAnsiTheme="minorHAnsi" w:cstheme="minorHAnsi"/>
        </w:rPr>
      </w:pPr>
      <w:r w:rsidRPr="00FC3BC6">
        <w:rPr>
          <w:rFonts w:asciiTheme="minorHAnsi" w:hAnsiTheme="minorHAnsi" w:cstheme="minorHAnsi"/>
        </w:rPr>
        <w:t>The overarching purpose of the family law practice and procedure provisions is to facilitate the just resolution of disputes: (a) according to law; and (b) as quickly, inexpensively and efficiently as possible. This includes the following objectives:</w:t>
      </w:r>
    </w:p>
    <w:p w14:paraId="05ABB0F1" w14:textId="77777777" w:rsidR="00FE7DAA" w:rsidRPr="00FC3BC6" w:rsidRDefault="00FE7DAA" w:rsidP="00FE7DAA">
      <w:pPr>
        <w:pStyle w:val="ListParagraph"/>
        <w:numPr>
          <w:ilvl w:val="0"/>
          <w:numId w:val="28"/>
        </w:numPr>
        <w:spacing w:after="120"/>
        <w:jc w:val="both"/>
        <w:rPr>
          <w:rFonts w:asciiTheme="minorHAnsi" w:eastAsia="Times New Roman" w:hAnsiTheme="minorHAnsi" w:cstheme="minorHAnsi"/>
          <w:sz w:val="24"/>
          <w:szCs w:val="24"/>
          <w:lang w:eastAsia="en-AU"/>
        </w:rPr>
      </w:pPr>
      <w:r w:rsidRPr="00FC3BC6">
        <w:rPr>
          <w:rFonts w:asciiTheme="minorHAnsi" w:eastAsia="Times New Roman" w:hAnsiTheme="minorHAnsi" w:cstheme="minorHAnsi"/>
          <w:sz w:val="24"/>
          <w:szCs w:val="24"/>
          <w:lang w:eastAsia="en-AU"/>
        </w:rPr>
        <w:t>the just determination of all proceedings before the FCFCOA;</w:t>
      </w:r>
    </w:p>
    <w:p w14:paraId="26AFBFD4" w14:textId="77777777" w:rsidR="00FE7DAA" w:rsidRPr="00FC3BC6" w:rsidRDefault="00FE7DAA" w:rsidP="003B1877">
      <w:pPr>
        <w:pStyle w:val="ListParagraph"/>
        <w:numPr>
          <w:ilvl w:val="0"/>
          <w:numId w:val="28"/>
        </w:numPr>
        <w:spacing w:after="120"/>
        <w:rPr>
          <w:rFonts w:asciiTheme="minorHAnsi" w:eastAsia="Times New Roman" w:hAnsiTheme="minorHAnsi" w:cstheme="minorHAnsi"/>
          <w:sz w:val="24"/>
          <w:szCs w:val="24"/>
          <w:lang w:eastAsia="en-AU"/>
        </w:rPr>
      </w:pPr>
      <w:r w:rsidRPr="00FC3BC6">
        <w:rPr>
          <w:rFonts w:asciiTheme="minorHAnsi" w:eastAsia="Times New Roman" w:hAnsiTheme="minorHAnsi" w:cstheme="minorHAnsi"/>
          <w:sz w:val="24"/>
          <w:szCs w:val="24"/>
          <w:lang w:eastAsia="en-AU"/>
        </w:rPr>
        <w:t>the efficient use of the judicial and administrative resources available for the purposes of the Court;</w:t>
      </w:r>
    </w:p>
    <w:p w14:paraId="3F5EFD49" w14:textId="77777777" w:rsidR="00FE7DAA" w:rsidRPr="00FC3BC6" w:rsidRDefault="00FE7DAA" w:rsidP="003B1877">
      <w:pPr>
        <w:pStyle w:val="ListParagraph"/>
        <w:numPr>
          <w:ilvl w:val="0"/>
          <w:numId w:val="28"/>
        </w:numPr>
        <w:spacing w:after="120"/>
        <w:rPr>
          <w:rFonts w:asciiTheme="minorHAnsi" w:eastAsia="Times New Roman" w:hAnsiTheme="minorHAnsi" w:cstheme="minorHAnsi"/>
          <w:sz w:val="24"/>
          <w:szCs w:val="24"/>
          <w:lang w:eastAsia="en-AU"/>
        </w:rPr>
      </w:pPr>
      <w:r w:rsidRPr="00FC3BC6">
        <w:rPr>
          <w:rFonts w:asciiTheme="minorHAnsi" w:eastAsia="Times New Roman" w:hAnsiTheme="minorHAnsi" w:cstheme="minorHAnsi"/>
          <w:sz w:val="24"/>
          <w:szCs w:val="24"/>
          <w:lang w:eastAsia="en-AU"/>
        </w:rPr>
        <w:lastRenderedPageBreak/>
        <w:t>the efficient disposal of the Court’s overall caseload;</w:t>
      </w:r>
    </w:p>
    <w:p w14:paraId="3A27A81F" w14:textId="77777777" w:rsidR="00FE7DAA" w:rsidRPr="00FC3BC6" w:rsidRDefault="00FE7DAA" w:rsidP="003B1877">
      <w:pPr>
        <w:pStyle w:val="ListParagraph"/>
        <w:numPr>
          <w:ilvl w:val="0"/>
          <w:numId w:val="28"/>
        </w:numPr>
        <w:spacing w:after="120"/>
        <w:rPr>
          <w:rFonts w:asciiTheme="minorHAnsi" w:eastAsia="Times New Roman" w:hAnsiTheme="minorHAnsi" w:cstheme="minorHAnsi"/>
          <w:sz w:val="24"/>
          <w:szCs w:val="24"/>
          <w:lang w:eastAsia="en-AU"/>
        </w:rPr>
      </w:pPr>
      <w:r w:rsidRPr="00FC3BC6">
        <w:rPr>
          <w:rFonts w:asciiTheme="minorHAnsi" w:eastAsia="Times New Roman" w:hAnsiTheme="minorHAnsi" w:cstheme="minorHAnsi"/>
          <w:sz w:val="24"/>
          <w:szCs w:val="24"/>
          <w:lang w:eastAsia="en-AU"/>
        </w:rPr>
        <w:t>the disposal of all proceedings in a timely manner;</w:t>
      </w:r>
    </w:p>
    <w:p w14:paraId="1E69757F" w14:textId="77777777" w:rsidR="00FE7DAA" w:rsidRPr="00FC3BC6" w:rsidRDefault="00FE7DAA" w:rsidP="003B1877">
      <w:pPr>
        <w:pStyle w:val="ListParagraph"/>
        <w:numPr>
          <w:ilvl w:val="0"/>
          <w:numId w:val="28"/>
        </w:numPr>
        <w:spacing w:after="120"/>
        <w:rPr>
          <w:rFonts w:asciiTheme="minorHAnsi" w:eastAsia="Times New Roman" w:hAnsiTheme="minorHAnsi" w:cstheme="minorHAnsi"/>
          <w:sz w:val="24"/>
          <w:szCs w:val="24"/>
          <w:lang w:eastAsia="en-AU"/>
        </w:rPr>
      </w:pPr>
      <w:r w:rsidRPr="00FC3BC6">
        <w:rPr>
          <w:rFonts w:asciiTheme="minorHAnsi" w:eastAsia="Times New Roman" w:hAnsiTheme="minorHAnsi" w:cstheme="minorHAnsi"/>
          <w:sz w:val="24"/>
          <w:szCs w:val="24"/>
          <w:lang w:eastAsia="en-AU"/>
        </w:rPr>
        <w:t>the resolution of disputes at a cost that is proportionate to the importance and complexity of the matters in dispute.</w:t>
      </w:r>
    </w:p>
    <w:p w14:paraId="4ECD4082" w14:textId="77777777" w:rsidR="00FE7DAA" w:rsidRPr="00FC3BC6" w:rsidRDefault="00FE7DAA" w:rsidP="00C36BE6">
      <w:pPr>
        <w:spacing w:after="120" w:line="276" w:lineRule="auto"/>
        <w:rPr>
          <w:rFonts w:asciiTheme="minorHAnsi" w:hAnsiTheme="minorHAnsi" w:cstheme="minorHAnsi"/>
        </w:rPr>
      </w:pPr>
      <w:r w:rsidRPr="00FC3BC6">
        <w:rPr>
          <w:rFonts w:asciiTheme="minorHAnsi" w:hAnsiTheme="minorHAnsi" w:cstheme="minorHAnsi"/>
        </w:rPr>
        <w:t xml:space="preserve">All practice and procedure, and any powers or duties imposed, are to be carried out in the way that best promotes the overarching purpose. </w:t>
      </w:r>
    </w:p>
    <w:p w14:paraId="73868228" w14:textId="0D194FA4" w:rsidR="00FE7DAA" w:rsidRPr="00FC3BC6" w:rsidRDefault="00FE7DAA" w:rsidP="00C36BE6">
      <w:pPr>
        <w:spacing w:after="120" w:line="276" w:lineRule="auto"/>
        <w:rPr>
          <w:rFonts w:asciiTheme="minorHAnsi" w:hAnsiTheme="minorHAnsi" w:cstheme="minorHAnsi"/>
        </w:rPr>
      </w:pPr>
      <w:r w:rsidRPr="00FC3BC6">
        <w:rPr>
          <w:rFonts w:asciiTheme="minorHAnsi" w:hAnsiTheme="minorHAnsi" w:cstheme="minorHAnsi"/>
        </w:rPr>
        <w:t>Parties have a duty to conduct proceedings in a way consistent with the overarching purpose, and lawyers must assist their clients to comply with that duty. Costs consequences may follow for either the party or their lawyer if they fail to comply with this duty.</w:t>
      </w:r>
    </w:p>
    <w:p w14:paraId="5E685F98" w14:textId="77777777" w:rsidR="0090270E" w:rsidRPr="00FC3BC6" w:rsidRDefault="0090270E" w:rsidP="00C36BE6">
      <w:pPr>
        <w:pStyle w:val="Heading3"/>
      </w:pPr>
      <w:r w:rsidRPr="00FC3BC6">
        <w:t>Pre-action procedures</w:t>
      </w:r>
    </w:p>
    <w:p w14:paraId="6528349D" w14:textId="77AE1550" w:rsidR="0090270E" w:rsidRPr="00FC3BC6" w:rsidRDefault="0090270E" w:rsidP="00C36BE6">
      <w:pPr>
        <w:spacing w:after="120" w:line="276" w:lineRule="auto"/>
        <w:rPr>
          <w:rFonts w:asciiTheme="minorHAnsi" w:hAnsiTheme="minorHAnsi" w:cstheme="minorHAnsi"/>
        </w:rPr>
      </w:pPr>
      <w:r w:rsidRPr="00FC3BC6">
        <w:rPr>
          <w:rFonts w:asciiTheme="minorHAnsi" w:hAnsiTheme="minorHAnsi" w:cstheme="minorHAnsi"/>
        </w:rPr>
        <w:t xml:space="preserve">The pre-action procedures currently contained in Schedule 1 to the Family Law Rules have been retained and enhanced. They apply across both Divisions and will be enforced. Parties should not </w:t>
      </w:r>
      <w:r>
        <w:rPr>
          <w:rFonts w:asciiTheme="minorHAnsi" w:hAnsiTheme="minorHAnsi" w:cstheme="minorHAnsi"/>
        </w:rPr>
        <w:t>file</w:t>
      </w:r>
      <w:r w:rsidRPr="00FC3BC6">
        <w:rPr>
          <w:rFonts w:asciiTheme="minorHAnsi" w:hAnsiTheme="minorHAnsi" w:cstheme="minorHAnsi"/>
        </w:rPr>
        <w:t xml:space="preserve"> proceedings until they have exhausted the pre-action requirements, including engaging in dispute resolution, exchanging documents and correspondence and making a genuine attempt to settle the dispute, with the usual exceptions for genuine urgency or where it is not safe to undertake these steps.</w:t>
      </w:r>
    </w:p>
    <w:p w14:paraId="5277688A" w14:textId="55E3F064" w:rsidR="0090270E" w:rsidRPr="00FC3BC6" w:rsidRDefault="0090270E" w:rsidP="00C36BE6">
      <w:pPr>
        <w:spacing w:after="120" w:line="276" w:lineRule="auto"/>
        <w:rPr>
          <w:rFonts w:asciiTheme="minorHAnsi" w:hAnsiTheme="minorHAnsi" w:cstheme="minorHAnsi"/>
        </w:rPr>
      </w:pPr>
      <w:r w:rsidRPr="00FC3BC6">
        <w:rPr>
          <w:rFonts w:asciiTheme="minorHAnsi" w:hAnsiTheme="minorHAnsi" w:cstheme="minorHAnsi"/>
        </w:rPr>
        <w:t xml:space="preserve">In addition to the requirement to comply with section 60I </w:t>
      </w:r>
      <w:r>
        <w:rPr>
          <w:rFonts w:asciiTheme="minorHAnsi" w:hAnsiTheme="minorHAnsi" w:cstheme="minorHAnsi"/>
        </w:rPr>
        <w:t xml:space="preserve">of the </w:t>
      </w:r>
      <w:r>
        <w:rPr>
          <w:rFonts w:asciiTheme="minorHAnsi" w:hAnsiTheme="minorHAnsi" w:cstheme="minorHAnsi"/>
          <w:i/>
        </w:rPr>
        <w:t xml:space="preserve">Family Law Act </w:t>
      </w:r>
      <w:r w:rsidRPr="00FC3BC6">
        <w:rPr>
          <w:rFonts w:asciiTheme="minorHAnsi" w:hAnsiTheme="minorHAnsi" w:cstheme="minorHAnsi"/>
        </w:rPr>
        <w:t xml:space="preserve">and file a certificate or seek an exemption when parenting orders are sought, both the Applicant and Respondent to </w:t>
      </w:r>
      <w:r>
        <w:rPr>
          <w:rFonts w:asciiTheme="minorHAnsi" w:hAnsiTheme="minorHAnsi" w:cstheme="minorHAnsi"/>
        </w:rPr>
        <w:t xml:space="preserve">an application for final orders </w:t>
      </w:r>
      <w:r w:rsidRPr="00FC3BC6">
        <w:rPr>
          <w:rFonts w:asciiTheme="minorHAnsi" w:hAnsiTheme="minorHAnsi" w:cstheme="minorHAnsi"/>
        </w:rPr>
        <w:t>will be required to file a Genuine Steps Certificate, certifying that they have complied with the pre-action procedures and made a genuine attempt to resolve the dispute.</w:t>
      </w:r>
    </w:p>
    <w:p w14:paraId="2BD6E3B0" w14:textId="12AC7498" w:rsidR="00E72046" w:rsidRPr="00FC3BC6" w:rsidRDefault="00E72046" w:rsidP="00C36BE6">
      <w:pPr>
        <w:pStyle w:val="Heading3"/>
      </w:pPr>
      <w:r w:rsidRPr="00FC3BC6">
        <w:t>D</w:t>
      </w:r>
      <w:r w:rsidR="000175DA" w:rsidRPr="00FC3BC6">
        <w:t xml:space="preserve">ispute </w:t>
      </w:r>
      <w:r w:rsidR="00EB4106" w:rsidRPr="00FC3BC6">
        <w:t>r</w:t>
      </w:r>
      <w:r w:rsidR="000175DA" w:rsidRPr="00FC3BC6">
        <w:t xml:space="preserve">esolution </w:t>
      </w:r>
      <w:r w:rsidRPr="00FC3BC6">
        <w:t>in the new case management pathway</w:t>
      </w:r>
    </w:p>
    <w:p w14:paraId="7FF9099A" w14:textId="35FCCB7D" w:rsidR="006070D9" w:rsidRPr="00FC3BC6" w:rsidRDefault="00EB4106" w:rsidP="00C36BE6">
      <w:pPr>
        <w:spacing w:line="276" w:lineRule="auto"/>
        <w:rPr>
          <w:rFonts w:asciiTheme="minorHAnsi" w:hAnsiTheme="minorHAnsi" w:cstheme="minorHAnsi"/>
        </w:rPr>
      </w:pPr>
      <w:r w:rsidRPr="00FC3BC6">
        <w:rPr>
          <w:rFonts w:asciiTheme="minorHAnsi" w:hAnsiTheme="minorHAnsi" w:cstheme="minorHAnsi"/>
          <w:lang w:eastAsia="en-US"/>
        </w:rPr>
        <w:t xml:space="preserve">The FCFCOA’s new case management pathway, as outlined in the </w:t>
      </w:r>
      <w:hyperlink r:id="rId9" w:history="1">
        <w:r w:rsidRPr="00FC3BC6">
          <w:rPr>
            <w:rStyle w:val="Hyperlink"/>
            <w:rFonts w:asciiTheme="minorHAnsi" w:hAnsiTheme="minorHAnsi" w:cstheme="minorHAnsi"/>
            <w:lang w:eastAsia="en-US"/>
          </w:rPr>
          <w:t>Update to the Profession No. 1</w:t>
        </w:r>
      </w:hyperlink>
      <w:r w:rsidRPr="00FC3BC6">
        <w:rPr>
          <w:rFonts w:asciiTheme="minorHAnsi" w:hAnsiTheme="minorHAnsi" w:cstheme="minorHAnsi"/>
          <w:lang w:eastAsia="en-US"/>
        </w:rPr>
        <w:t xml:space="preserve">, places significant emphasis </w:t>
      </w:r>
      <w:r w:rsidR="00857F5D">
        <w:rPr>
          <w:rFonts w:asciiTheme="minorHAnsi" w:hAnsiTheme="minorHAnsi" w:cstheme="minorHAnsi"/>
          <w:lang w:eastAsia="en-US"/>
        </w:rPr>
        <w:t>on providing dispute resolution</w:t>
      </w:r>
      <w:r w:rsidR="006070D9" w:rsidRPr="00FC3BC6">
        <w:rPr>
          <w:rFonts w:asciiTheme="minorHAnsi" w:hAnsiTheme="minorHAnsi" w:cstheme="minorHAnsi"/>
          <w:lang w:eastAsia="en-US"/>
        </w:rPr>
        <w:t xml:space="preserve"> </w:t>
      </w:r>
      <w:r w:rsidRPr="00FC3BC6">
        <w:rPr>
          <w:rFonts w:asciiTheme="minorHAnsi" w:hAnsiTheme="minorHAnsi" w:cstheme="minorHAnsi"/>
          <w:lang w:eastAsia="en-US"/>
        </w:rPr>
        <w:t>opportunities to litigants to assist them in resolving, or better identifying, th</w:t>
      </w:r>
      <w:r w:rsidR="00737E48">
        <w:rPr>
          <w:rFonts w:asciiTheme="minorHAnsi" w:hAnsiTheme="minorHAnsi" w:cstheme="minorHAnsi"/>
          <w:lang w:eastAsia="en-US"/>
        </w:rPr>
        <w:t xml:space="preserve">e issues in dispute. </w:t>
      </w:r>
      <w:r w:rsidRPr="00FC3BC6">
        <w:rPr>
          <w:rFonts w:asciiTheme="minorHAnsi" w:hAnsiTheme="minorHAnsi" w:cstheme="minorHAnsi"/>
          <w:lang w:eastAsia="en-US"/>
        </w:rPr>
        <w:t>T</w:t>
      </w:r>
      <w:r w:rsidR="00E72046" w:rsidRPr="00FC3BC6">
        <w:rPr>
          <w:rFonts w:asciiTheme="minorHAnsi" w:hAnsiTheme="minorHAnsi" w:cstheme="minorHAnsi"/>
        </w:rPr>
        <w:t xml:space="preserve">he </w:t>
      </w:r>
      <w:r w:rsidRPr="00FC3BC6">
        <w:rPr>
          <w:rFonts w:asciiTheme="minorHAnsi" w:hAnsiTheme="minorHAnsi" w:cstheme="minorHAnsi"/>
        </w:rPr>
        <w:t>C</w:t>
      </w:r>
      <w:r w:rsidR="00E72046" w:rsidRPr="00FC3BC6">
        <w:rPr>
          <w:rFonts w:asciiTheme="minorHAnsi" w:hAnsiTheme="minorHAnsi" w:cstheme="minorHAnsi"/>
        </w:rPr>
        <w:t>ourt’s expectation is that, where it is safe to do so, parties will avail themselves of every opportunity to participate in</w:t>
      </w:r>
      <w:r w:rsidRPr="00FC3BC6">
        <w:rPr>
          <w:rFonts w:asciiTheme="minorHAnsi" w:hAnsiTheme="minorHAnsi" w:cstheme="minorHAnsi"/>
        </w:rPr>
        <w:t xml:space="preserve"> dispute resolution </w:t>
      </w:r>
      <w:r w:rsidR="00E72046" w:rsidRPr="00FC3BC6">
        <w:rPr>
          <w:rFonts w:asciiTheme="minorHAnsi" w:hAnsiTheme="minorHAnsi" w:cstheme="minorHAnsi"/>
        </w:rPr>
        <w:t>– whether that be</w:t>
      </w:r>
      <w:r w:rsidR="00737E48">
        <w:rPr>
          <w:rFonts w:asciiTheme="minorHAnsi" w:hAnsiTheme="minorHAnsi" w:cstheme="minorHAnsi"/>
        </w:rPr>
        <w:t xml:space="preserve"> a</w:t>
      </w:r>
      <w:r w:rsidR="00E72046" w:rsidRPr="00FC3BC6">
        <w:rPr>
          <w:rFonts w:asciiTheme="minorHAnsi" w:hAnsiTheme="minorHAnsi" w:cstheme="minorHAnsi"/>
        </w:rPr>
        <w:t xml:space="preserve"> </w:t>
      </w:r>
      <w:r w:rsidR="00857F5D">
        <w:rPr>
          <w:rFonts w:asciiTheme="minorHAnsi" w:hAnsiTheme="minorHAnsi" w:cstheme="minorHAnsi"/>
        </w:rPr>
        <w:t xml:space="preserve">court-based family dispute resolution </w:t>
      </w:r>
      <w:r w:rsidR="00737E48">
        <w:rPr>
          <w:rFonts w:asciiTheme="minorHAnsi" w:hAnsiTheme="minorHAnsi" w:cstheme="minorHAnsi"/>
        </w:rPr>
        <w:t xml:space="preserve">conference </w:t>
      </w:r>
      <w:r w:rsidR="00857F5D">
        <w:rPr>
          <w:rFonts w:asciiTheme="minorHAnsi" w:hAnsiTheme="minorHAnsi" w:cstheme="minorHAnsi"/>
        </w:rPr>
        <w:t>or conciliation</w:t>
      </w:r>
      <w:r w:rsidR="00737E48">
        <w:rPr>
          <w:rFonts w:asciiTheme="minorHAnsi" w:hAnsiTheme="minorHAnsi" w:cstheme="minorHAnsi"/>
        </w:rPr>
        <w:t xml:space="preserve"> conference</w:t>
      </w:r>
      <w:r w:rsidR="00857F5D">
        <w:rPr>
          <w:rFonts w:asciiTheme="minorHAnsi" w:hAnsiTheme="minorHAnsi" w:cstheme="minorHAnsi"/>
        </w:rPr>
        <w:t xml:space="preserve">, </w:t>
      </w:r>
      <w:r w:rsidR="00E72046" w:rsidRPr="00FC3BC6">
        <w:rPr>
          <w:rFonts w:asciiTheme="minorHAnsi" w:hAnsiTheme="minorHAnsi" w:cstheme="minorHAnsi"/>
        </w:rPr>
        <w:t>privately funded</w:t>
      </w:r>
      <w:r w:rsidR="00857F5D">
        <w:rPr>
          <w:rFonts w:asciiTheme="minorHAnsi" w:hAnsiTheme="minorHAnsi" w:cstheme="minorHAnsi"/>
        </w:rPr>
        <w:t xml:space="preserve"> dispute resolution</w:t>
      </w:r>
      <w:r w:rsidR="006070D9" w:rsidRPr="00FC3BC6">
        <w:rPr>
          <w:rFonts w:asciiTheme="minorHAnsi" w:hAnsiTheme="minorHAnsi" w:cstheme="minorHAnsi"/>
        </w:rPr>
        <w:t>,</w:t>
      </w:r>
      <w:r w:rsidR="00E72046" w:rsidRPr="00FC3BC6">
        <w:rPr>
          <w:rFonts w:asciiTheme="minorHAnsi" w:hAnsiTheme="minorHAnsi" w:cstheme="minorHAnsi"/>
        </w:rPr>
        <w:t xml:space="preserve"> mediation or arbitration</w:t>
      </w:r>
      <w:r w:rsidR="004504DA" w:rsidRPr="00FC3BC6">
        <w:rPr>
          <w:rFonts w:asciiTheme="minorHAnsi" w:hAnsiTheme="minorHAnsi" w:cstheme="minorHAnsi"/>
        </w:rPr>
        <w:t xml:space="preserve"> (in property cases only)</w:t>
      </w:r>
      <w:r w:rsidR="00E72046" w:rsidRPr="00FC3BC6">
        <w:rPr>
          <w:rFonts w:asciiTheme="minorHAnsi" w:hAnsiTheme="minorHAnsi" w:cstheme="minorHAnsi"/>
        </w:rPr>
        <w:t>,</w:t>
      </w:r>
      <w:r w:rsidR="00857F5D">
        <w:rPr>
          <w:rFonts w:asciiTheme="minorHAnsi" w:hAnsiTheme="minorHAnsi" w:cstheme="minorHAnsi"/>
        </w:rPr>
        <w:t xml:space="preserve"> or</w:t>
      </w:r>
      <w:r w:rsidR="00E72046" w:rsidRPr="00FC3BC6">
        <w:rPr>
          <w:rFonts w:asciiTheme="minorHAnsi" w:hAnsiTheme="minorHAnsi" w:cstheme="minorHAnsi"/>
        </w:rPr>
        <w:t xml:space="preserve"> conferences thr</w:t>
      </w:r>
      <w:r w:rsidR="00857F5D">
        <w:rPr>
          <w:rFonts w:asciiTheme="minorHAnsi" w:hAnsiTheme="minorHAnsi" w:cstheme="minorHAnsi"/>
        </w:rPr>
        <w:t>ough the legal aid commissions.</w:t>
      </w:r>
    </w:p>
    <w:p w14:paraId="2F75976F" w14:textId="5E289AFD" w:rsidR="00E72046" w:rsidRPr="00737E48" w:rsidRDefault="006070D9" w:rsidP="00C36BE6">
      <w:pPr>
        <w:pStyle w:val="ListParagraph"/>
        <w:numPr>
          <w:ilvl w:val="0"/>
          <w:numId w:val="46"/>
        </w:numPr>
        <w:spacing w:before="240"/>
        <w:rPr>
          <w:rFonts w:asciiTheme="minorHAnsi" w:hAnsiTheme="minorHAnsi" w:cstheme="minorHAnsi"/>
          <w:sz w:val="24"/>
          <w:szCs w:val="24"/>
        </w:rPr>
      </w:pPr>
      <w:r w:rsidRPr="00737E48">
        <w:rPr>
          <w:rFonts w:asciiTheme="minorHAnsi" w:hAnsiTheme="minorHAnsi" w:cstheme="minorHAnsi"/>
          <w:sz w:val="24"/>
          <w:szCs w:val="24"/>
        </w:rPr>
        <w:t>P</w:t>
      </w:r>
      <w:r w:rsidR="00E72046" w:rsidRPr="00737E48">
        <w:rPr>
          <w:rFonts w:asciiTheme="minorHAnsi" w:hAnsiTheme="minorHAnsi" w:cstheme="minorHAnsi"/>
          <w:sz w:val="24"/>
          <w:szCs w:val="24"/>
        </w:rPr>
        <w:t>arties and practitioners</w:t>
      </w:r>
      <w:r w:rsidR="00857F5D" w:rsidRPr="00737E48">
        <w:rPr>
          <w:rFonts w:asciiTheme="minorHAnsi" w:hAnsiTheme="minorHAnsi" w:cstheme="minorHAnsi"/>
          <w:sz w:val="24"/>
          <w:szCs w:val="24"/>
        </w:rPr>
        <w:t xml:space="preserve"> will be encouraged to identify the best opportunities for dispute resolution, and the </w:t>
      </w:r>
      <w:r w:rsidR="00E72046" w:rsidRPr="00737E48">
        <w:rPr>
          <w:rFonts w:asciiTheme="minorHAnsi" w:hAnsiTheme="minorHAnsi" w:cstheme="minorHAnsi"/>
          <w:sz w:val="24"/>
          <w:szCs w:val="24"/>
        </w:rPr>
        <w:t xml:space="preserve">information </w:t>
      </w:r>
      <w:r w:rsidR="00857F5D" w:rsidRPr="00737E48">
        <w:rPr>
          <w:rFonts w:asciiTheme="minorHAnsi" w:hAnsiTheme="minorHAnsi" w:cstheme="minorHAnsi"/>
          <w:sz w:val="24"/>
          <w:szCs w:val="24"/>
        </w:rPr>
        <w:t xml:space="preserve">and preparation </w:t>
      </w:r>
      <w:r w:rsidR="00E72046" w:rsidRPr="00737E48">
        <w:rPr>
          <w:rFonts w:asciiTheme="minorHAnsi" w:hAnsiTheme="minorHAnsi" w:cstheme="minorHAnsi"/>
          <w:sz w:val="24"/>
          <w:szCs w:val="24"/>
        </w:rPr>
        <w:t xml:space="preserve">needed to </w:t>
      </w:r>
      <w:r w:rsidR="00857F5D" w:rsidRPr="00737E48">
        <w:rPr>
          <w:rFonts w:asciiTheme="minorHAnsi" w:hAnsiTheme="minorHAnsi" w:cstheme="minorHAnsi"/>
          <w:sz w:val="24"/>
          <w:szCs w:val="24"/>
        </w:rPr>
        <w:t>ensure the dispute resolution</w:t>
      </w:r>
      <w:r w:rsidR="00E72046" w:rsidRPr="00737E48">
        <w:rPr>
          <w:rFonts w:asciiTheme="minorHAnsi" w:hAnsiTheme="minorHAnsi" w:cstheme="minorHAnsi"/>
          <w:sz w:val="24"/>
          <w:szCs w:val="24"/>
        </w:rPr>
        <w:t xml:space="preserve"> event </w:t>
      </w:r>
      <w:r w:rsidR="00857F5D" w:rsidRPr="00737E48">
        <w:rPr>
          <w:rFonts w:asciiTheme="minorHAnsi" w:hAnsiTheme="minorHAnsi" w:cstheme="minorHAnsi"/>
          <w:sz w:val="24"/>
          <w:szCs w:val="24"/>
        </w:rPr>
        <w:t>is a success.</w:t>
      </w:r>
      <w:r w:rsidRPr="00737E48">
        <w:rPr>
          <w:rFonts w:asciiTheme="minorHAnsi" w:hAnsiTheme="minorHAnsi" w:cstheme="minorHAnsi"/>
          <w:sz w:val="24"/>
          <w:szCs w:val="24"/>
        </w:rPr>
        <w:t xml:space="preserve"> </w:t>
      </w:r>
    </w:p>
    <w:p w14:paraId="4D3F3DE9" w14:textId="72E52012" w:rsidR="00E72046" w:rsidRPr="00737E48" w:rsidRDefault="00857F5D" w:rsidP="003B1877">
      <w:pPr>
        <w:pStyle w:val="ListParagraph"/>
        <w:numPr>
          <w:ilvl w:val="0"/>
          <w:numId w:val="46"/>
        </w:numPr>
        <w:rPr>
          <w:rFonts w:asciiTheme="minorHAnsi" w:hAnsiTheme="minorHAnsi" w:cstheme="minorHAnsi"/>
          <w:sz w:val="24"/>
          <w:szCs w:val="24"/>
        </w:rPr>
      </w:pPr>
      <w:r w:rsidRPr="00737E48">
        <w:rPr>
          <w:rFonts w:asciiTheme="minorHAnsi" w:hAnsiTheme="minorHAnsi" w:cstheme="minorHAnsi"/>
          <w:sz w:val="24"/>
          <w:szCs w:val="24"/>
        </w:rPr>
        <w:t>Under the new case management pathway, where it is safe to do so, parties</w:t>
      </w:r>
      <w:r w:rsidR="006070D9" w:rsidRPr="00737E48">
        <w:rPr>
          <w:rFonts w:asciiTheme="minorHAnsi" w:hAnsiTheme="minorHAnsi" w:cstheme="minorHAnsi"/>
          <w:sz w:val="24"/>
          <w:szCs w:val="24"/>
        </w:rPr>
        <w:t xml:space="preserve"> will </w:t>
      </w:r>
      <w:r w:rsidRPr="00737E48">
        <w:rPr>
          <w:rFonts w:asciiTheme="minorHAnsi" w:hAnsiTheme="minorHAnsi" w:cstheme="minorHAnsi"/>
          <w:sz w:val="24"/>
          <w:szCs w:val="24"/>
        </w:rPr>
        <w:t>be expected to participate in dispute resolution</w:t>
      </w:r>
      <w:r w:rsidR="00E72046" w:rsidRPr="00737E48">
        <w:rPr>
          <w:rFonts w:asciiTheme="minorHAnsi" w:hAnsiTheme="minorHAnsi" w:cstheme="minorHAnsi"/>
          <w:sz w:val="24"/>
          <w:szCs w:val="24"/>
        </w:rPr>
        <w:t xml:space="preserve"> in both financial and parenting matters within </w:t>
      </w:r>
      <w:r w:rsidRPr="00737E48">
        <w:rPr>
          <w:rFonts w:asciiTheme="minorHAnsi" w:hAnsiTheme="minorHAnsi" w:cstheme="minorHAnsi"/>
          <w:sz w:val="24"/>
          <w:szCs w:val="24"/>
        </w:rPr>
        <w:t>5-</w:t>
      </w:r>
      <w:r w:rsidR="00E72046" w:rsidRPr="00737E48">
        <w:rPr>
          <w:rFonts w:asciiTheme="minorHAnsi" w:hAnsiTheme="minorHAnsi" w:cstheme="minorHAnsi"/>
          <w:sz w:val="24"/>
          <w:szCs w:val="24"/>
        </w:rPr>
        <w:t>6 months of the date of filing</w:t>
      </w:r>
      <w:r w:rsidR="006070D9" w:rsidRPr="00737E48">
        <w:rPr>
          <w:rFonts w:asciiTheme="minorHAnsi" w:hAnsiTheme="minorHAnsi" w:cstheme="minorHAnsi"/>
          <w:sz w:val="24"/>
          <w:szCs w:val="24"/>
        </w:rPr>
        <w:t>.</w:t>
      </w:r>
    </w:p>
    <w:p w14:paraId="2551D0F9" w14:textId="77777777" w:rsidR="00857F5D" w:rsidRPr="00737E48" w:rsidRDefault="00857F5D" w:rsidP="003B1877">
      <w:pPr>
        <w:pStyle w:val="ListParagraph"/>
        <w:numPr>
          <w:ilvl w:val="0"/>
          <w:numId w:val="46"/>
        </w:numPr>
        <w:rPr>
          <w:rFonts w:asciiTheme="minorHAnsi" w:hAnsiTheme="minorHAnsi" w:cstheme="minorHAnsi"/>
          <w:sz w:val="24"/>
          <w:szCs w:val="24"/>
        </w:rPr>
      </w:pPr>
      <w:r w:rsidRPr="00737E48">
        <w:rPr>
          <w:rFonts w:asciiTheme="minorHAnsi" w:hAnsiTheme="minorHAnsi" w:cstheme="minorHAnsi"/>
          <w:sz w:val="24"/>
          <w:szCs w:val="24"/>
        </w:rPr>
        <w:lastRenderedPageBreak/>
        <w:t>Parties concerned about their safety or capacity to meaningfully negotiate at such conferences will have the opportunity to raise those concerns with a Registrar who will take those issues into account when making orders for and/or conducting those conferences.</w:t>
      </w:r>
    </w:p>
    <w:p w14:paraId="658274FC" w14:textId="77777777" w:rsidR="00857F5D" w:rsidRPr="00737E48" w:rsidRDefault="00857F5D" w:rsidP="003B1877">
      <w:pPr>
        <w:pStyle w:val="ListParagraph"/>
        <w:numPr>
          <w:ilvl w:val="0"/>
          <w:numId w:val="46"/>
        </w:numPr>
        <w:rPr>
          <w:rFonts w:asciiTheme="minorHAnsi" w:hAnsiTheme="minorHAnsi" w:cstheme="minorHAnsi"/>
          <w:sz w:val="24"/>
          <w:szCs w:val="24"/>
        </w:rPr>
      </w:pPr>
      <w:r w:rsidRPr="00737E48">
        <w:rPr>
          <w:rFonts w:asciiTheme="minorHAnsi" w:hAnsiTheme="minorHAnsi" w:cstheme="minorHAnsi"/>
          <w:sz w:val="24"/>
          <w:szCs w:val="24"/>
        </w:rPr>
        <w:t>Parties should take the time to prepare for conferences thoroughly including by bringing proposed minutes of orders but also by identifying in advance areas of agreement and compromises that may be made in the interests of finalising matters.</w:t>
      </w:r>
    </w:p>
    <w:p w14:paraId="6F9492D0" w14:textId="77777777" w:rsidR="00857F5D" w:rsidRPr="00737E48" w:rsidRDefault="00857F5D" w:rsidP="003B1877">
      <w:pPr>
        <w:pStyle w:val="ListParagraph"/>
        <w:numPr>
          <w:ilvl w:val="0"/>
          <w:numId w:val="46"/>
        </w:numPr>
        <w:rPr>
          <w:rFonts w:asciiTheme="minorHAnsi" w:hAnsiTheme="minorHAnsi" w:cstheme="minorHAnsi"/>
          <w:sz w:val="24"/>
          <w:szCs w:val="24"/>
        </w:rPr>
      </w:pPr>
      <w:r w:rsidRPr="00737E48">
        <w:rPr>
          <w:rFonts w:asciiTheme="minorHAnsi" w:hAnsiTheme="minorHAnsi" w:cstheme="minorHAnsi"/>
          <w:sz w:val="24"/>
          <w:szCs w:val="24"/>
        </w:rPr>
        <w:t xml:space="preserve">Parties should come to the conferences fully informed of their legal rights and options as well as the practical and financial realities of proceeding to a contested hearing.  </w:t>
      </w:r>
    </w:p>
    <w:p w14:paraId="64A8507D" w14:textId="10357E32" w:rsidR="00E72046" w:rsidRPr="00C36BE6" w:rsidRDefault="006070D9" w:rsidP="003B1877">
      <w:pPr>
        <w:pStyle w:val="ListParagraph"/>
        <w:numPr>
          <w:ilvl w:val="0"/>
          <w:numId w:val="46"/>
        </w:numPr>
        <w:rPr>
          <w:rFonts w:asciiTheme="minorHAnsi" w:hAnsiTheme="minorHAnsi" w:cstheme="minorHAnsi"/>
          <w:sz w:val="24"/>
          <w:szCs w:val="24"/>
        </w:rPr>
      </w:pPr>
      <w:r w:rsidRPr="00737E48">
        <w:rPr>
          <w:rFonts w:asciiTheme="minorHAnsi" w:hAnsiTheme="minorHAnsi" w:cstheme="minorHAnsi"/>
          <w:sz w:val="24"/>
          <w:szCs w:val="24"/>
        </w:rPr>
        <w:t>P</w:t>
      </w:r>
      <w:r w:rsidR="00E72046" w:rsidRPr="00737E48">
        <w:rPr>
          <w:rFonts w:asciiTheme="minorHAnsi" w:hAnsiTheme="minorHAnsi" w:cstheme="minorHAnsi"/>
          <w:sz w:val="24"/>
          <w:szCs w:val="24"/>
        </w:rPr>
        <w:t xml:space="preserve">arties will be required to use their best endeavours to reach agreement </w:t>
      </w:r>
      <w:r w:rsidR="00857F5D" w:rsidRPr="00737E48">
        <w:rPr>
          <w:rFonts w:asciiTheme="minorHAnsi" w:hAnsiTheme="minorHAnsi" w:cstheme="minorHAnsi"/>
          <w:sz w:val="24"/>
          <w:szCs w:val="24"/>
        </w:rPr>
        <w:t>at all dispute resolution</w:t>
      </w:r>
      <w:r w:rsidR="00E72046" w:rsidRPr="00737E48">
        <w:rPr>
          <w:rFonts w:asciiTheme="minorHAnsi" w:hAnsiTheme="minorHAnsi" w:cstheme="minorHAnsi"/>
          <w:sz w:val="24"/>
          <w:szCs w:val="24"/>
        </w:rPr>
        <w:t xml:space="preserve"> conferences</w:t>
      </w:r>
      <w:r w:rsidRPr="00737E48">
        <w:rPr>
          <w:rFonts w:asciiTheme="minorHAnsi" w:hAnsiTheme="minorHAnsi" w:cstheme="minorHAnsi"/>
          <w:sz w:val="24"/>
          <w:szCs w:val="24"/>
        </w:rPr>
        <w:t>.</w:t>
      </w:r>
    </w:p>
    <w:p w14:paraId="0EDD8C00" w14:textId="264181AA" w:rsidR="004C5CB4" w:rsidRPr="00FC3BC6" w:rsidRDefault="004C5CB4" w:rsidP="003B1877">
      <w:pPr>
        <w:pStyle w:val="Heading3"/>
        <w:jc w:val="left"/>
      </w:pPr>
      <w:r w:rsidRPr="00FC3BC6">
        <w:t xml:space="preserve">Property-only matters </w:t>
      </w:r>
    </w:p>
    <w:p w14:paraId="2DEF0361" w14:textId="064E46FD" w:rsidR="004C5CB4" w:rsidRDefault="00996444" w:rsidP="003B1877">
      <w:pPr>
        <w:spacing w:line="276" w:lineRule="auto"/>
        <w:rPr>
          <w:rFonts w:asciiTheme="minorHAnsi" w:hAnsiTheme="minorHAnsi" w:cstheme="minorHAnsi"/>
        </w:rPr>
      </w:pPr>
      <w:r w:rsidRPr="00FC3BC6">
        <w:rPr>
          <w:rFonts w:asciiTheme="minorHAnsi" w:hAnsiTheme="minorHAnsi" w:cstheme="minorHAnsi"/>
        </w:rPr>
        <w:t xml:space="preserve">The new </w:t>
      </w:r>
      <w:r w:rsidR="00B2417B" w:rsidRPr="00FC3BC6">
        <w:rPr>
          <w:rFonts w:asciiTheme="minorHAnsi" w:hAnsiTheme="minorHAnsi" w:cstheme="minorHAnsi"/>
        </w:rPr>
        <w:t xml:space="preserve">single point of entry </w:t>
      </w:r>
      <w:r w:rsidRPr="00FC3BC6">
        <w:rPr>
          <w:rFonts w:asciiTheme="minorHAnsi" w:hAnsiTheme="minorHAnsi" w:cstheme="minorHAnsi"/>
        </w:rPr>
        <w:t>will require all applications to be filed in Division 2 of the FCFCOA. For property-only applications, they w</w:t>
      </w:r>
      <w:r w:rsidR="004C5CB4" w:rsidRPr="00FC3BC6">
        <w:rPr>
          <w:rFonts w:asciiTheme="minorHAnsi" w:hAnsiTheme="minorHAnsi" w:cstheme="minorHAnsi"/>
        </w:rPr>
        <w:t>ill be separated out into their own first return list, similar to the Discrete Property List, with a general first return list fo</w:t>
      </w:r>
      <w:r w:rsidR="00B2417B" w:rsidRPr="00FC3BC6">
        <w:rPr>
          <w:rFonts w:asciiTheme="minorHAnsi" w:hAnsiTheme="minorHAnsi" w:cstheme="minorHAnsi"/>
        </w:rPr>
        <w:t xml:space="preserve">r all parenting and parenting </w:t>
      </w:r>
      <w:r w:rsidR="0090270E">
        <w:rPr>
          <w:rFonts w:asciiTheme="minorHAnsi" w:hAnsiTheme="minorHAnsi" w:cstheme="minorHAnsi"/>
        </w:rPr>
        <w:t>&amp;</w:t>
      </w:r>
      <w:r w:rsidR="00B2417B" w:rsidRPr="00FC3BC6">
        <w:rPr>
          <w:rFonts w:asciiTheme="minorHAnsi" w:hAnsiTheme="minorHAnsi" w:cstheme="minorHAnsi"/>
        </w:rPr>
        <w:t xml:space="preserve"> </w:t>
      </w:r>
      <w:r w:rsidR="004C5CB4" w:rsidRPr="00FC3BC6">
        <w:rPr>
          <w:rFonts w:asciiTheme="minorHAnsi" w:hAnsiTheme="minorHAnsi" w:cstheme="minorHAnsi"/>
        </w:rPr>
        <w:t xml:space="preserve">property applications, and applications with other orders sought. </w:t>
      </w:r>
    </w:p>
    <w:p w14:paraId="21224C6D" w14:textId="239ECE14" w:rsidR="004504DA" w:rsidRPr="00C36BE6" w:rsidRDefault="0090270E" w:rsidP="003B1877">
      <w:pPr>
        <w:spacing w:before="240" w:line="276" w:lineRule="auto"/>
        <w:rPr>
          <w:rFonts w:asciiTheme="minorHAnsi" w:hAnsiTheme="minorHAnsi" w:cstheme="minorHAnsi"/>
        </w:rPr>
      </w:pPr>
      <w:r>
        <w:rPr>
          <w:rFonts w:asciiTheme="minorHAnsi" w:hAnsiTheme="minorHAnsi" w:cstheme="minorHAnsi"/>
        </w:rPr>
        <w:t xml:space="preserve">For those property matters with asset pools that meet the criteria for the PPP500 Small Claims Property Pilot currently being run in the Adelaide, Brisbane, Parramatta and Melbourne registries, the PPP500 process will continue to apply. </w:t>
      </w:r>
    </w:p>
    <w:p w14:paraId="0F884BFE" w14:textId="10D04636" w:rsidR="0064018A" w:rsidRPr="00C36BE6" w:rsidRDefault="0064018A" w:rsidP="00C36BE6">
      <w:pPr>
        <w:pStyle w:val="Heading3"/>
      </w:pPr>
      <w:r w:rsidRPr="00C36BE6">
        <w:t xml:space="preserve">Lighthouse Project </w:t>
      </w:r>
    </w:p>
    <w:p w14:paraId="36CDEB67" w14:textId="30E10247" w:rsidR="008D4E4E" w:rsidRPr="00FC3BC6" w:rsidRDefault="008A68DA" w:rsidP="003B1877">
      <w:pPr>
        <w:spacing w:after="120" w:line="276" w:lineRule="auto"/>
        <w:ind w:left="28" w:right="170"/>
        <w:rPr>
          <w:rFonts w:asciiTheme="minorHAnsi" w:hAnsiTheme="minorHAnsi" w:cstheme="minorHAnsi"/>
        </w:rPr>
      </w:pPr>
      <w:r w:rsidRPr="00FC3BC6">
        <w:rPr>
          <w:rFonts w:asciiTheme="minorHAnsi" w:hAnsiTheme="minorHAnsi" w:cstheme="minorHAnsi"/>
        </w:rPr>
        <w:t>The comm</w:t>
      </w:r>
      <w:r w:rsidR="008D4E4E" w:rsidRPr="00FC3BC6">
        <w:rPr>
          <w:rFonts w:asciiTheme="minorHAnsi" w:hAnsiTheme="minorHAnsi" w:cstheme="minorHAnsi"/>
        </w:rPr>
        <w:t xml:space="preserve">encement of the FCFCOA will not impact the Court’s </w:t>
      </w:r>
      <w:hyperlink r:id="rId10" w:history="1">
        <w:r w:rsidRPr="00FC3BC6">
          <w:rPr>
            <w:rStyle w:val="Hyperlink"/>
            <w:rFonts w:asciiTheme="minorHAnsi" w:hAnsiTheme="minorHAnsi" w:cstheme="minorHAnsi"/>
          </w:rPr>
          <w:t>Lighthouse Project</w:t>
        </w:r>
      </w:hyperlink>
      <w:r w:rsidRPr="00FC3BC6">
        <w:rPr>
          <w:rFonts w:asciiTheme="minorHAnsi" w:hAnsiTheme="minorHAnsi" w:cstheme="minorHAnsi"/>
        </w:rPr>
        <w:t xml:space="preserve"> which </w:t>
      </w:r>
      <w:r w:rsidR="008D4E4E" w:rsidRPr="00FC3BC6">
        <w:rPr>
          <w:rFonts w:asciiTheme="minorHAnsi" w:hAnsiTheme="minorHAnsi" w:cstheme="minorHAnsi"/>
        </w:rPr>
        <w:t xml:space="preserve">operates </w:t>
      </w:r>
      <w:r w:rsidRPr="00FC3BC6">
        <w:rPr>
          <w:rFonts w:asciiTheme="minorHAnsi" w:hAnsiTheme="minorHAnsi" w:cstheme="minorHAnsi"/>
        </w:rPr>
        <w:t xml:space="preserve">as a pilot in the FCC in Adelaide, Brisbane and </w:t>
      </w:r>
      <w:r w:rsidR="008D4E4E" w:rsidRPr="00FC3BC6">
        <w:rPr>
          <w:rFonts w:asciiTheme="minorHAnsi" w:hAnsiTheme="minorHAnsi" w:cstheme="minorHAnsi"/>
        </w:rPr>
        <w:t>Parrama</w:t>
      </w:r>
      <w:r w:rsidRPr="00FC3BC6">
        <w:rPr>
          <w:rFonts w:asciiTheme="minorHAnsi" w:hAnsiTheme="minorHAnsi" w:cstheme="minorHAnsi"/>
        </w:rPr>
        <w:t>tta.</w:t>
      </w:r>
      <w:r w:rsidR="008D4E4E" w:rsidRPr="00FC3BC6">
        <w:rPr>
          <w:rFonts w:asciiTheme="minorHAnsi" w:hAnsiTheme="minorHAnsi" w:cstheme="minorHAnsi"/>
        </w:rPr>
        <w:t xml:space="preserve"> </w:t>
      </w:r>
      <w:r w:rsidRPr="00FC3BC6">
        <w:rPr>
          <w:rFonts w:asciiTheme="minorHAnsi" w:hAnsiTheme="minorHAnsi" w:cstheme="minorHAnsi"/>
        </w:rPr>
        <w:t xml:space="preserve">The </w:t>
      </w:r>
      <w:r w:rsidR="008D4E4E" w:rsidRPr="00FC3BC6">
        <w:rPr>
          <w:rFonts w:asciiTheme="minorHAnsi" w:hAnsiTheme="minorHAnsi" w:cstheme="minorHAnsi"/>
        </w:rPr>
        <w:t>project provides a highly specialised and sophisticated a</w:t>
      </w:r>
      <w:r w:rsidRPr="00FC3BC6">
        <w:rPr>
          <w:rFonts w:asciiTheme="minorHAnsi" w:hAnsiTheme="minorHAnsi" w:cstheme="minorHAnsi"/>
        </w:rPr>
        <w:t xml:space="preserve">pproach to risk screening that focuses on public health and tailored case management for families involved in the family law system. </w:t>
      </w:r>
    </w:p>
    <w:p w14:paraId="72CCA605" w14:textId="29F6176C" w:rsidR="007B1FCC" w:rsidRPr="00FC3BC6" w:rsidRDefault="0064018A" w:rsidP="003B1877">
      <w:pPr>
        <w:spacing w:after="120" w:line="276" w:lineRule="auto"/>
        <w:ind w:left="28" w:right="170"/>
        <w:rPr>
          <w:rFonts w:asciiTheme="minorHAnsi" w:hAnsiTheme="minorHAnsi" w:cstheme="minorHAnsi"/>
        </w:rPr>
      </w:pPr>
      <w:r w:rsidRPr="00FC3BC6">
        <w:rPr>
          <w:rFonts w:asciiTheme="minorHAnsi" w:hAnsiTheme="minorHAnsi" w:cstheme="minorHAnsi"/>
        </w:rPr>
        <w:t xml:space="preserve">The primary </w:t>
      </w:r>
      <w:r w:rsidR="008D4E4E" w:rsidRPr="00FC3BC6">
        <w:rPr>
          <w:rFonts w:asciiTheme="minorHAnsi" w:hAnsiTheme="minorHAnsi" w:cstheme="minorHAnsi"/>
        </w:rPr>
        <w:t xml:space="preserve">change to be expected, is </w:t>
      </w:r>
      <w:r w:rsidRPr="00FC3BC6">
        <w:rPr>
          <w:rFonts w:asciiTheme="minorHAnsi" w:hAnsiTheme="minorHAnsi" w:cstheme="minorHAnsi"/>
        </w:rPr>
        <w:t xml:space="preserve">that more cases will </w:t>
      </w:r>
      <w:r w:rsidR="008D4E4E" w:rsidRPr="00FC3BC6">
        <w:rPr>
          <w:rFonts w:asciiTheme="minorHAnsi" w:hAnsiTheme="minorHAnsi" w:cstheme="minorHAnsi"/>
        </w:rPr>
        <w:t xml:space="preserve">likely </w:t>
      </w:r>
      <w:r w:rsidRPr="00FC3BC6">
        <w:rPr>
          <w:rFonts w:asciiTheme="minorHAnsi" w:hAnsiTheme="minorHAnsi" w:cstheme="minorHAnsi"/>
        </w:rPr>
        <w:t>be eligible</w:t>
      </w:r>
      <w:r w:rsidR="008D4E4E" w:rsidRPr="00FC3BC6">
        <w:rPr>
          <w:rFonts w:asciiTheme="minorHAnsi" w:hAnsiTheme="minorHAnsi" w:cstheme="minorHAnsi"/>
        </w:rPr>
        <w:t xml:space="preserve"> for inclusion into the Lighthouse p</w:t>
      </w:r>
      <w:r w:rsidR="007B1FCC" w:rsidRPr="00FC3BC6">
        <w:rPr>
          <w:rFonts w:asciiTheme="minorHAnsi" w:hAnsiTheme="minorHAnsi" w:cstheme="minorHAnsi"/>
        </w:rPr>
        <w:t>athway</w:t>
      </w:r>
      <w:r w:rsidR="008D4E4E" w:rsidRPr="00FC3BC6">
        <w:rPr>
          <w:rFonts w:asciiTheme="minorHAnsi" w:hAnsiTheme="minorHAnsi" w:cstheme="minorHAnsi"/>
        </w:rPr>
        <w:t>, as at present</w:t>
      </w:r>
      <w:r w:rsidR="00B2417B" w:rsidRPr="00FC3BC6">
        <w:rPr>
          <w:rFonts w:asciiTheme="minorHAnsi" w:hAnsiTheme="minorHAnsi" w:cstheme="minorHAnsi"/>
        </w:rPr>
        <w:t>,</w:t>
      </w:r>
      <w:r w:rsidR="008D4E4E" w:rsidRPr="00FC3BC6">
        <w:rPr>
          <w:rFonts w:asciiTheme="minorHAnsi" w:hAnsiTheme="minorHAnsi" w:cstheme="minorHAnsi"/>
        </w:rPr>
        <w:t xml:space="preserve"> only </w:t>
      </w:r>
      <w:r w:rsidRPr="00FC3BC6">
        <w:rPr>
          <w:rFonts w:asciiTheme="minorHAnsi" w:hAnsiTheme="minorHAnsi" w:cstheme="minorHAnsi"/>
        </w:rPr>
        <w:t xml:space="preserve">parenting matters filed </w:t>
      </w:r>
      <w:r w:rsidR="008D4E4E" w:rsidRPr="00FC3BC6">
        <w:rPr>
          <w:rFonts w:asciiTheme="minorHAnsi" w:hAnsiTheme="minorHAnsi" w:cstheme="minorHAnsi"/>
        </w:rPr>
        <w:t xml:space="preserve">in the pilot locations of the FCC </w:t>
      </w:r>
      <w:r w:rsidR="007B1FCC" w:rsidRPr="00FC3BC6">
        <w:rPr>
          <w:rFonts w:asciiTheme="minorHAnsi" w:hAnsiTheme="minorHAnsi" w:cstheme="minorHAnsi"/>
        </w:rPr>
        <w:t>are</w:t>
      </w:r>
      <w:r w:rsidR="008D4E4E" w:rsidRPr="00FC3BC6">
        <w:rPr>
          <w:rFonts w:asciiTheme="minorHAnsi" w:hAnsiTheme="minorHAnsi" w:cstheme="minorHAnsi"/>
        </w:rPr>
        <w:t xml:space="preserve"> eligible</w:t>
      </w:r>
      <w:r w:rsidR="007B1FCC" w:rsidRPr="00FC3BC6">
        <w:rPr>
          <w:rFonts w:asciiTheme="minorHAnsi" w:hAnsiTheme="minorHAnsi" w:cstheme="minorHAnsi"/>
        </w:rPr>
        <w:t>, which excludes matters filed in the Family Court</w:t>
      </w:r>
      <w:r w:rsidR="008D4E4E" w:rsidRPr="00FC3BC6">
        <w:rPr>
          <w:rFonts w:asciiTheme="minorHAnsi" w:hAnsiTheme="minorHAnsi" w:cstheme="minorHAnsi"/>
        </w:rPr>
        <w:t xml:space="preserve">. With the commencement of a single point of entry, whereby all family law matters will be filed in Division 2 (currently FCC), </w:t>
      </w:r>
      <w:r w:rsidR="007B1FCC" w:rsidRPr="00FC3BC6">
        <w:rPr>
          <w:rFonts w:asciiTheme="minorHAnsi" w:hAnsiTheme="minorHAnsi" w:cstheme="minorHAnsi"/>
        </w:rPr>
        <w:t xml:space="preserve">all parenting only applications filed in the pilot locations </w:t>
      </w:r>
      <w:r w:rsidRPr="00FC3BC6">
        <w:rPr>
          <w:rFonts w:asciiTheme="minorHAnsi" w:hAnsiTheme="minorHAnsi" w:cstheme="minorHAnsi"/>
        </w:rPr>
        <w:t>will be captured</w:t>
      </w:r>
      <w:r w:rsidR="007B1FCC" w:rsidRPr="00FC3BC6">
        <w:rPr>
          <w:rFonts w:asciiTheme="minorHAnsi" w:hAnsiTheme="minorHAnsi" w:cstheme="minorHAnsi"/>
        </w:rPr>
        <w:t xml:space="preserve">. </w:t>
      </w:r>
    </w:p>
    <w:p w14:paraId="77DF2D1D" w14:textId="4EACF914" w:rsidR="00936161" w:rsidRPr="00FC3BC6" w:rsidRDefault="007B1FCC" w:rsidP="003B1877">
      <w:pPr>
        <w:spacing w:after="120" w:line="276" w:lineRule="auto"/>
        <w:ind w:left="28" w:right="170"/>
        <w:rPr>
          <w:rFonts w:asciiTheme="minorHAnsi" w:hAnsiTheme="minorHAnsi" w:cstheme="minorHAnsi"/>
        </w:rPr>
      </w:pPr>
      <w:r w:rsidRPr="00FC3BC6">
        <w:rPr>
          <w:rFonts w:asciiTheme="minorHAnsi" w:hAnsiTheme="minorHAnsi" w:cstheme="minorHAnsi"/>
        </w:rPr>
        <w:t xml:space="preserve">For more information, the Project team releases monthly </w:t>
      </w:r>
      <w:r w:rsidR="0064018A" w:rsidRPr="00FC3BC6">
        <w:rPr>
          <w:rFonts w:asciiTheme="minorHAnsi" w:hAnsiTheme="minorHAnsi" w:cstheme="minorHAnsi"/>
        </w:rPr>
        <w:t>updates</w:t>
      </w:r>
      <w:r w:rsidRPr="00FC3BC6">
        <w:rPr>
          <w:rFonts w:asciiTheme="minorHAnsi" w:hAnsiTheme="minorHAnsi" w:cstheme="minorHAnsi"/>
        </w:rPr>
        <w:t xml:space="preserve"> which are published on the </w:t>
      </w:r>
      <w:hyperlink r:id="rId11" w:history="1">
        <w:r w:rsidRPr="00FC3BC6">
          <w:rPr>
            <w:rStyle w:val="Hyperlink"/>
            <w:rFonts w:asciiTheme="minorHAnsi" w:hAnsiTheme="minorHAnsi" w:cstheme="minorHAnsi"/>
          </w:rPr>
          <w:t>FCC website</w:t>
        </w:r>
      </w:hyperlink>
      <w:r w:rsidR="0064018A" w:rsidRPr="00FC3BC6">
        <w:rPr>
          <w:rFonts w:asciiTheme="minorHAnsi" w:hAnsiTheme="minorHAnsi" w:cstheme="minorHAnsi"/>
        </w:rPr>
        <w:t>.</w:t>
      </w:r>
    </w:p>
    <w:p w14:paraId="5B25CCAF" w14:textId="77777777" w:rsidR="00C36BE6" w:rsidRDefault="00C36BE6">
      <w:pPr>
        <w:spacing w:after="160" w:line="259" w:lineRule="auto"/>
        <w:rPr>
          <w:rFonts w:asciiTheme="minorHAnsi" w:hAnsiTheme="minorHAnsi" w:cstheme="minorHAnsi"/>
          <w:b/>
          <w:u w:val="single"/>
        </w:rPr>
      </w:pPr>
      <w:r>
        <w:br w:type="page"/>
      </w:r>
    </w:p>
    <w:p w14:paraId="66F8B401" w14:textId="7AFD1BF0" w:rsidR="00857F5D" w:rsidRPr="00C36BE6" w:rsidRDefault="00857F5D" w:rsidP="00C36BE6">
      <w:pPr>
        <w:pStyle w:val="Heading2"/>
      </w:pPr>
      <w:r w:rsidRPr="00C36BE6">
        <w:lastRenderedPageBreak/>
        <w:t>Migration and general federal law jurisdiction</w:t>
      </w:r>
    </w:p>
    <w:p w14:paraId="1F5B8C0A" w14:textId="77777777" w:rsidR="00857F5D" w:rsidRPr="00FC3BC6" w:rsidRDefault="00857F5D" w:rsidP="00C36BE6">
      <w:pPr>
        <w:pStyle w:val="Heading3"/>
      </w:pPr>
      <w:r w:rsidRPr="00FC3BC6">
        <w:t>General Federal Law Rules</w:t>
      </w:r>
      <w:r>
        <w:t xml:space="preserve"> and Practice Directions for Division 2</w:t>
      </w:r>
    </w:p>
    <w:p w14:paraId="161817F4" w14:textId="71AE131C" w:rsidR="00857F5D" w:rsidRDefault="00857F5D" w:rsidP="003B1877">
      <w:pPr>
        <w:spacing w:line="276" w:lineRule="auto"/>
        <w:rPr>
          <w:rFonts w:asciiTheme="minorHAnsi" w:hAnsiTheme="minorHAnsi" w:cstheme="minorHAnsi"/>
        </w:rPr>
      </w:pPr>
      <w:r w:rsidRPr="00FC3BC6">
        <w:rPr>
          <w:rFonts w:asciiTheme="minorHAnsi" w:hAnsiTheme="minorHAnsi" w:cstheme="minorHAnsi"/>
        </w:rPr>
        <w:t xml:space="preserve">The </w:t>
      </w:r>
      <w:r w:rsidRPr="00FC3BC6">
        <w:rPr>
          <w:rFonts w:asciiTheme="minorHAnsi" w:hAnsiTheme="minorHAnsi" w:cstheme="minorHAnsi"/>
          <w:i/>
          <w:iCs/>
        </w:rPr>
        <w:t>Federal Circuit Court Rules 2001</w:t>
      </w:r>
      <w:r w:rsidRPr="00FC3BC6">
        <w:rPr>
          <w:rFonts w:asciiTheme="minorHAnsi" w:hAnsiTheme="minorHAnsi" w:cstheme="minorHAnsi"/>
        </w:rPr>
        <w:t xml:space="preserve"> (FCC Rules) are made pursuant to the </w:t>
      </w:r>
      <w:r w:rsidRPr="00FC3BC6">
        <w:rPr>
          <w:rFonts w:asciiTheme="minorHAnsi" w:hAnsiTheme="minorHAnsi" w:cstheme="minorHAnsi"/>
          <w:i/>
          <w:iCs/>
        </w:rPr>
        <w:t>Federal Circuit Court of Australia Act 1999</w:t>
      </w:r>
      <w:r w:rsidR="003B1877">
        <w:rPr>
          <w:rFonts w:asciiTheme="minorHAnsi" w:hAnsiTheme="minorHAnsi" w:cstheme="minorHAnsi"/>
        </w:rPr>
        <w:t xml:space="preserve"> (Cth). </w:t>
      </w:r>
      <w:r>
        <w:rPr>
          <w:rFonts w:asciiTheme="minorHAnsi" w:hAnsiTheme="minorHAnsi" w:cstheme="minorHAnsi"/>
        </w:rPr>
        <w:t>As t</w:t>
      </w:r>
      <w:r w:rsidRPr="00FC3BC6">
        <w:rPr>
          <w:rFonts w:asciiTheme="minorHAnsi" w:hAnsiTheme="minorHAnsi" w:cstheme="minorHAnsi"/>
        </w:rPr>
        <w:t xml:space="preserve">he </w:t>
      </w:r>
      <w:r w:rsidRPr="00FC3BC6">
        <w:rPr>
          <w:rFonts w:asciiTheme="minorHAnsi" w:hAnsiTheme="minorHAnsi" w:cstheme="minorHAnsi"/>
          <w:i/>
          <w:iCs/>
        </w:rPr>
        <w:t>Federal Circuit and Family Court of Australia (Consequential Amendments and Transitional Provisions) Act 2021</w:t>
      </w:r>
      <w:r w:rsidRPr="00FC3BC6">
        <w:rPr>
          <w:rFonts w:asciiTheme="minorHAnsi" w:hAnsiTheme="minorHAnsi" w:cstheme="minorHAnsi"/>
        </w:rPr>
        <w:t xml:space="preserve"> repeals the </w:t>
      </w:r>
      <w:r w:rsidRPr="00FC3BC6">
        <w:rPr>
          <w:rFonts w:asciiTheme="minorHAnsi" w:hAnsiTheme="minorHAnsi" w:cstheme="minorHAnsi"/>
          <w:i/>
          <w:iCs/>
        </w:rPr>
        <w:t>Federal Circuit Court of Australia Act 1999</w:t>
      </w:r>
      <w:r>
        <w:rPr>
          <w:rFonts w:asciiTheme="minorHAnsi" w:hAnsiTheme="minorHAnsi" w:cstheme="minorHAnsi"/>
          <w:i/>
          <w:iCs/>
        </w:rPr>
        <w:t xml:space="preserve"> </w:t>
      </w:r>
      <w:r>
        <w:rPr>
          <w:rFonts w:asciiTheme="minorHAnsi" w:hAnsiTheme="minorHAnsi" w:cstheme="minorHAnsi"/>
          <w:iCs/>
        </w:rPr>
        <w:t>(Cth)</w:t>
      </w:r>
      <w:r w:rsidRPr="00FC3BC6">
        <w:rPr>
          <w:rFonts w:asciiTheme="minorHAnsi" w:hAnsiTheme="minorHAnsi" w:cstheme="minorHAnsi"/>
        </w:rPr>
        <w:t xml:space="preserve"> </w:t>
      </w:r>
      <w:r>
        <w:rPr>
          <w:rFonts w:asciiTheme="minorHAnsi" w:hAnsiTheme="minorHAnsi" w:cstheme="minorHAnsi"/>
        </w:rPr>
        <w:t>in its entirety, a</w:t>
      </w:r>
      <w:r w:rsidRPr="00FC3BC6">
        <w:rPr>
          <w:rFonts w:asciiTheme="minorHAnsi" w:hAnsiTheme="minorHAnsi" w:cstheme="minorHAnsi"/>
        </w:rPr>
        <w:t xml:space="preserve">ll </w:t>
      </w:r>
      <w:r>
        <w:rPr>
          <w:rFonts w:asciiTheme="minorHAnsi" w:hAnsiTheme="minorHAnsi" w:cstheme="minorHAnsi"/>
        </w:rPr>
        <w:t>rules of court</w:t>
      </w:r>
      <w:r w:rsidRPr="00FC3BC6">
        <w:rPr>
          <w:rFonts w:asciiTheme="minorHAnsi" w:hAnsiTheme="minorHAnsi" w:cstheme="minorHAnsi"/>
        </w:rPr>
        <w:t xml:space="preserve"> made under </w:t>
      </w:r>
      <w:r>
        <w:rPr>
          <w:rFonts w:asciiTheme="minorHAnsi" w:hAnsiTheme="minorHAnsi" w:cstheme="minorHAnsi"/>
        </w:rPr>
        <w:t>that Act</w:t>
      </w:r>
      <w:r w:rsidRPr="00FC3BC6">
        <w:rPr>
          <w:rFonts w:asciiTheme="minorHAnsi" w:hAnsiTheme="minorHAnsi" w:cstheme="minorHAnsi"/>
        </w:rPr>
        <w:t xml:space="preserve"> w</w:t>
      </w:r>
      <w:r w:rsidR="003B1877">
        <w:rPr>
          <w:rFonts w:asciiTheme="minorHAnsi" w:hAnsiTheme="minorHAnsi" w:cstheme="minorHAnsi"/>
        </w:rPr>
        <w:t>ill lapse on 1 September 2021.</w:t>
      </w:r>
    </w:p>
    <w:p w14:paraId="355BA796" w14:textId="77777777" w:rsidR="00857F5D" w:rsidRPr="00FC3BC6" w:rsidRDefault="00857F5D" w:rsidP="003B1877">
      <w:pPr>
        <w:spacing w:before="240" w:line="276" w:lineRule="auto"/>
        <w:rPr>
          <w:rFonts w:asciiTheme="minorHAnsi" w:hAnsiTheme="minorHAnsi" w:cstheme="minorHAnsi"/>
        </w:rPr>
      </w:pPr>
      <w:r>
        <w:rPr>
          <w:rFonts w:asciiTheme="minorHAnsi" w:hAnsiTheme="minorHAnsi" w:cstheme="minorHAnsi"/>
        </w:rPr>
        <w:t xml:space="preserve">Consequently, the </w:t>
      </w:r>
      <w:r w:rsidRPr="00FC3BC6">
        <w:rPr>
          <w:rFonts w:asciiTheme="minorHAnsi" w:hAnsiTheme="minorHAnsi" w:cstheme="minorHAnsi"/>
        </w:rPr>
        <w:t xml:space="preserve">FCC Rules </w:t>
      </w:r>
      <w:r>
        <w:rPr>
          <w:rFonts w:asciiTheme="minorHAnsi" w:hAnsiTheme="minorHAnsi" w:cstheme="minorHAnsi"/>
        </w:rPr>
        <w:t>that relate to</w:t>
      </w:r>
      <w:r w:rsidRPr="00FC3BC6">
        <w:rPr>
          <w:rFonts w:asciiTheme="minorHAnsi" w:hAnsiTheme="minorHAnsi" w:cstheme="minorHAnsi"/>
        </w:rPr>
        <w:t xml:space="preserve"> general federal law proceedings </w:t>
      </w:r>
      <w:r>
        <w:rPr>
          <w:rFonts w:asciiTheme="minorHAnsi" w:hAnsiTheme="minorHAnsi" w:cstheme="minorHAnsi"/>
        </w:rPr>
        <w:t>as well as</w:t>
      </w:r>
      <w:r w:rsidRPr="00FC3BC6">
        <w:rPr>
          <w:rFonts w:asciiTheme="minorHAnsi" w:hAnsiTheme="minorHAnsi" w:cstheme="minorHAnsi"/>
        </w:rPr>
        <w:t xml:space="preserve"> the </w:t>
      </w:r>
      <w:r>
        <w:rPr>
          <w:rFonts w:asciiTheme="minorHAnsi" w:hAnsiTheme="minorHAnsi" w:cstheme="minorHAnsi"/>
        </w:rPr>
        <w:t xml:space="preserve">FCC </w:t>
      </w:r>
      <w:r w:rsidRPr="00FC3BC6">
        <w:rPr>
          <w:rFonts w:asciiTheme="minorHAnsi" w:hAnsiTheme="minorHAnsi" w:cstheme="minorHAnsi"/>
        </w:rPr>
        <w:t>Bankruptcy Rules will be updated and remade.</w:t>
      </w:r>
    </w:p>
    <w:p w14:paraId="59B45F12" w14:textId="4BA1FDB1" w:rsidR="00857F5D" w:rsidRPr="00FC3BC6" w:rsidRDefault="00857F5D" w:rsidP="003B1877">
      <w:pPr>
        <w:spacing w:before="240" w:line="276" w:lineRule="auto"/>
        <w:rPr>
          <w:rFonts w:asciiTheme="minorHAnsi" w:hAnsiTheme="minorHAnsi" w:cstheme="minorHAnsi"/>
        </w:rPr>
      </w:pPr>
      <w:r w:rsidRPr="00FC3BC6">
        <w:rPr>
          <w:rFonts w:asciiTheme="minorHAnsi" w:hAnsiTheme="minorHAnsi" w:cstheme="minorHAnsi"/>
        </w:rPr>
        <w:t xml:space="preserve">It should be noted that there will not be a great deal of difference in the new rules, at this stage for general federal law cases. </w:t>
      </w:r>
    </w:p>
    <w:p w14:paraId="77B02E18" w14:textId="77777777" w:rsidR="00857F5D" w:rsidRPr="00FC3BC6" w:rsidRDefault="00857F5D" w:rsidP="003B1877">
      <w:pPr>
        <w:spacing w:before="240" w:line="276" w:lineRule="auto"/>
        <w:rPr>
          <w:rFonts w:asciiTheme="minorHAnsi" w:hAnsiTheme="minorHAnsi" w:cstheme="minorHAnsi"/>
        </w:rPr>
      </w:pPr>
      <w:r w:rsidRPr="00FC3BC6">
        <w:rPr>
          <w:rFonts w:asciiTheme="minorHAnsi" w:hAnsiTheme="minorHAnsi" w:cstheme="minorHAnsi"/>
        </w:rPr>
        <w:t>The existing GFL Rules have been redrafted only in limited circumstances:</w:t>
      </w:r>
    </w:p>
    <w:p w14:paraId="3CE558E3" w14:textId="77777777" w:rsidR="00857F5D" w:rsidRPr="00857F5D" w:rsidRDefault="00857F5D" w:rsidP="003B1877">
      <w:pPr>
        <w:pStyle w:val="ListParagraph"/>
        <w:numPr>
          <w:ilvl w:val="0"/>
          <w:numId w:val="45"/>
        </w:numPr>
        <w:spacing w:after="120"/>
        <w:rPr>
          <w:rFonts w:asciiTheme="minorHAnsi" w:eastAsia="Times New Roman" w:hAnsiTheme="minorHAnsi" w:cstheme="minorHAnsi"/>
          <w:sz w:val="24"/>
          <w:szCs w:val="24"/>
          <w:lang w:eastAsia="en-AU"/>
        </w:rPr>
      </w:pPr>
      <w:r w:rsidRPr="00857F5D">
        <w:rPr>
          <w:rFonts w:asciiTheme="minorHAnsi" w:eastAsia="Times New Roman" w:hAnsiTheme="minorHAnsi" w:cstheme="minorHAnsi"/>
          <w:sz w:val="24"/>
          <w:szCs w:val="24"/>
          <w:lang w:eastAsia="en-AU"/>
        </w:rPr>
        <w:t xml:space="preserve">to remove references to family law and child support proceedings; </w:t>
      </w:r>
    </w:p>
    <w:p w14:paraId="458FD435" w14:textId="77777777" w:rsidR="00857F5D" w:rsidRPr="00857F5D" w:rsidRDefault="00857F5D" w:rsidP="003B1877">
      <w:pPr>
        <w:pStyle w:val="ListParagraph"/>
        <w:numPr>
          <w:ilvl w:val="0"/>
          <w:numId w:val="45"/>
        </w:numPr>
        <w:spacing w:after="120"/>
        <w:rPr>
          <w:rFonts w:asciiTheme="minorHAnsi" w:eastAsia="Times New Roman" w:hAnsiTheme="minorHAnsi" w:cstheme="minorHAnsi"/>
          <w:sz w:val="24"/>
          <w:szCs w:val="24"/>
          <w:lang w:eastAsia="en-AU"/>
        </w:rPr>
      </w:pPr>
      <w:r w:rsidRPr="00857F5D">
        <w:rPr>
          <w:rFonts w:asciiTheme="minorHAnsi" w:eastAsia="Times New Roman" w:hAnsiTheme="minorHAnsi" w:cstheme="minorHAnsi"/>
          <w:sz w:val="24"/>
          <w:szCs w:val="24"/>
          <w:lang w:eastAsia="en-AU"/>
        </w:rPr>
        <w:t xml:space="preserve">to address the preference for electronic filing and broaden the use of email; </w:t>
      </w:r>
    </w:p>
    <w:p w14:paraId="39CCC3A1" w14:textId="77777777" w:rsidR="00857F5D" w:rsidRPr="00857F5D" w:rsidRDefault="00857F5D" w:rsidP="003B1877">
      <w:pPr>
        <w:pStyle w:val="ListParagraph"/>
        <w:numPr>
          <w:ilvl w:val="0"/>
          <w:numId w:val="45"/>
        </w:numPr>
        <w:spacing w:after="120"/>
        <w:rPr>
          <w:rFonts w:asciiTheme="minorHAnsi" w:eastAsia="Times New Roman" w:hAnsiTheme="minorHAnsi" w:cstheme="minorHAnsi"/>
          <w:sz w:val="24"/>
          <w:szCs w:val="24"/>
          <w:lang w:eastAsia="en-AU"/>
        </w:rPr>
      </w:pPr>
      <w:r w:rsidRPr="00857F5D">
        <w:rPr>
          <w:rFonts w:asciiTheme="minorHAnsi" w:eastAsia="Times New Roman" w:hAnsiTheme="minorHAnsi" w:cstheme="minorHAnsi"/>
          <w:sz w:val="24"/>
          <w:szCs w:val="24"/>
          <w:lang w:eastAsia="en-AU"/>
        </w:rPr>
        <w:t xml:space="preserve">to tidy up obsolete references; and </w:t>
      </w:r>
    </w:p>
    <w:p w14:paraId="7F79D12D" w14:textId="77777777" w:rsidR="00857F5D" w:rsidRPr="00857F5D" w:rsidRDefault="00857F5D" w:rsidP="003B1877">
      <w:pPr>
        <w:pStyle w:val="ListParagraph"/>
        <w:numPr>
          <w:ilvl w:val="0"/>
          <w:numId w:val="45"/>
        </w:numPr>
        <w:spacing w:after="120"/>
        <w:rPr>
          <w:rFonts w:asciiTheme="minorHAnsi" w:eastAsia="Times New Roman" w:hAnsiTheme="minorHAnsi" w:cstheme="minorHAnsi"/>
          <w:sz w:val="24"/>
          <w:szCs w:val="24"/>
          <w:lang w:eastAsia="en-AU"/>
        </w:rPr>
      </w:pPr>
      <w:r w:rsidRPr="00857F5D">
        <w:rPr>
          <w:rFonts w:asciiTheme="minorHAnsi" w:eastAsia="Times New Roman" w:hAnsiTheme="minorHAnsi" w:cstheme="minorHAnsi"/>
          <w:sz w:val="24"/>
          <w:szCs w:val="24"/>
          <w:lang w:eastAsia="en-AU"/>
        </w:rPr>
        <w:t>to make consequential amendments.</w:t>
      </w:r>
    </w:p>
    <w:p w14:paraId="5124180B" w14:textId="3A9921BD" w:rsidR="00857F5D" w:rsidRPr="00FC3BC6" w:rsidRDefault="00857F5D" w:rsidP="003B1877">
      <w:pPr>
        <w:spacing w:before="240" w:line="276" w:lineRule="auto"/>
        <w:rPr>
          <w:rFonts w:asciiTheme="minorHAnsi" w:hAnsiTheme="minorHAnsi" w:cstheme="minorHAnsi"/>
          <w:b/>
          <w:bCs/>
        </w:rPr>
      </w:pPr>
      <w:r w:rsidRPr="00FC3BC6">
        <w:rPr>
          <w:rFonts w:asciiTheme="minorHAnsi" w:hAnsiTheme="minorHAnsi" w:cstheme="minorHAnsi"/>
        </w:rPr>
        <w:t>It is proposed that a more fulsome review and update of the GFL and Bankruptcy Rules be undertaken in the future at a time that will allow for broader consultation.</w:t>
      </w:r>
    </w:p>
    <w:p w14:paraId="5D423168" w14:textId="14112254" w:rsidR="00857F5D" w:rsidRPr="00FC3BC6" w:rsidRDefault="00857F5D" w:rsidP="003B1877">
      <w:pPr>
        <w:spacing w:before="240" w:line="276" w:lineRule="auto"/>
        <w:rPr>
          <w:rFonts w:asciiTheme="minorHAnsi" w:hAnsiTheme="minorHAnsi" w:cstheme="minorHAnsi"/>
        </w:rPr>
      </w:pPr>
      <w:r w:rsidRPr="00FC3BC6">
        <w:rPr>
          <w:rFonts w:asciiTheme="minorHAnsi" w:hAnsiTheme="minorHAnsi" w:cstheme="minorHAnsi"/>
        </w:rPr>
        <w:t xml:space="preserve">A cross-reference table comparing the current FCC rules with the new GFL and Bankruptcy rules will also be provided to the profession for 1 September 2021. </w:t>
      </w:r>
    </w:p>
    <w:p w14:paraId="2718D8F2" w14:textId="581812C1" w:rsidR="00857F5D" w:rsidRPr="00FC3BC6" w:rsidRDefault="00857F5D" w:rsidP="003B1877">
      <w:pPr>
        <w:spacing w:before="240" w:after="100" w:afterAutospacing="1" w:line="276" w:lineRule="auto"/>
        <w:rPr>
          <w:rFonts w:asciiTheme="minorHAnsi" w:hAnsiTheme="minorHAnsi" w:cstheme="minorHAnsi"/>
        </w:rPr>
      </w:pPr>
      <w:r w:rsidRPr="00FC3BC6">
        <w:rPr>
          <w:rFonts w:asciiTheme="minorHAnsi" w:hAnsiTheme="minorHAnsi" w:cstheme="minorHAnsi"/>
        </w:rPr>
        <w:t xml:space="preserve">Two general practice directions have been developed for migration proceedings and general federal law proceedings in the FCFCOA, and will be available on the Court’s website from 1 September. </w:t>
      </w:r>
    </w:p>
    <w:p w14:paraId="4FB058D8" w14:textId="76D6C0E4" w:rsidR="00712686" w:rsidRPr="00FC3BC6" w:rsidRDefault="00B2417B" w:rsidP="00C36BE6">
      <w:pPr>
        <w:pStyle w:val="Heading3"/>
      </w:pPr>
      <w:r w:rsidRPr="00FC3BC6">
        <w:t>eL</w:t>
      </w:r>
      <w:r w:rsidR="00712686" w:rsidRPr="00FC3BC6">
        <w:t>odgment</w:t>
      </w:r>
      <w:r w:rsidRPr="00FC3BC6">
        <w:t xml:space="preserve"> of General Federal L</w:t>
      </w:r>
      <w:r w:rsidR="007E2824" w:rsidRPr="00FC3BC6">
        <w:t>aw matters</w:t>
      </w:r>
    </w:p>
    <w:p w14:paraId="2F1133E4" w14:textId="207D6BA9" w:rsidR="00712686" w:rsidRPr="00FC3BC6" w:rsidRDefault="00B2417B" w:rsidP="003B1877">
      <w:pPr>
        <w:spacing w:line="276" w:lineRule="auto"/>
        <w:rPr>
          <w:rFonts w:asciiTheme="minorHAnsi" w:hAnsiTheme="minorHAnsi" w:cstheme="minorHAnsi"/>
        </w:rPr>
      </w:pPr>
      <w:r w:rsidRPr="00FC3BC6">
        <w:rPr>
          <w:rFonts w:asciiTheme="minorHAnsi" w:hAnsiTheme="minorHAnsi" w:cstheme="minorHAnsi"/>
        </w:rPr>
        <w:t>eL</w:t>
      </w:r>
      <w:r w:rsidR="00712686" w:rsidRPr="00FC3BC6">
        <w:rPr>
          <w:rFonts w:asciiTheme="minorHAnsi" w:hAnsiTheme="minorHAnsi" w:cstheme="minorHAnsi"/>
        </w:rPr>
        <w:t>odgment and eCourtroom will continue to be used in general federal law and migration matters in Divi</w:t>
      </w:r>
      <w:r w:rsidR="007E2824" w:rsidRPr="00FC3BC6">
        <w:rPr>
          <w:rFonts w:asciiTheme="minorHAnsi" w:hAnsiTheme="minorHAnsi" w:cstheme="minorHAnsi"/>
        </w:rPr>
        <w:t>sion</w:t>
      </w:r>
      <w:r w:rsidR="00712686" w:rsidRPr="00FC3BC6">
        <w:rPr>
          <w:rFonts w:asciiTheme="minorHAnsi" w:hAnsiTheme="minorHAnsi" w:cstheme="minorHAnsi"/>
        </w:rPr>
        <w:t xml:space="preserve"> 2 of the new FCFCOA. There will be some changes made on 1 September 2021 to adjust the applications for the new court name. In addition:</w:t>
      </w:r>
    </w:p>
    <w:p w14:paraId="42006D2C" w14:textId="78C2BEB0" w:rsidR="00712686" w:rsidRPr="00FC3BC6" w:rsidRDefault="00712686" w:rsidP="003B1877">
      <w:pPr>
        <w:pStyle w:val="ListParagraph"/>
        <w:numPr>
          <w:ilvl w:val="0"/>
          <w:numId w:val="42"/>
        </w:numPr>
        <w:spacing w:before="240" w:after="0"/>
        <w:rPr>
          <w:rFonts w:asciiTheme="minorHAnsi" w:eastAsia="Times New Roman" w:hAnsiTheme="minorHAnsi" w:cstheme="minorHAnsi"/>
          <w:sz w:val="24"/>
          <w:szCs w:val="24"/>
          <w:lang w:eastAsia="en-AU"/>
        </w:rPr>
      </w:pPr>
      <w:r w:rsidRPr="00FC3BC6">
        <w:rPr>
          <w:rFonts w:asciiTheme="minorHAnsi" w:eastAsia="Times New Roman" w:hAnsiTheme="minorHAnsi" w:cstheme="minorHAnsi"/>
          <w:sz w:val="24"/>
          <w:szCs w:val="24"/>
          <w:lang w:eastAsia="en-AU"/>
        </w:rPr>
        <w:t>All saved eLodgment templates will be deleted on 30 August 2021. New templates can be created from 1 September 2021.</w:t>
      </w:r>
    </w:p>
    <w:p w14:paraId="2569056E" w14:textId="77777777" w:rsidR="00712686" w:rsidRPr="00FC3BC6" w:rsidRDefault="00712686" w:rsidP="003B1877">
      <w:pPr>
        <w:pStyle w:val="ListParagraph"/>
        <w:numPr>
          <w:ilvl w:val="0"/>
          <w:numId w:val="42"/>
        </w:numPr>
        <w:spacing w:after="0"/>
        <w:rPr>
          <w:rFonts w:asciiTheme="minorHAnsi" w:eastAsia="Times New Roman" w:hAnsiTheme="minorHAnsi" w:cstheme="minorHAnsi"/>
          <w:sz w:val="24"/>
          <w:szCs w:val="24"/>
          <w:lang w:eastAsia="en-AU"/>
        </w:rPr>
      </w:pPr>
      <w:r w:rsidRPr="00FC3BC6">
        <w:rPr>
          <w:rFonts w:asciiTheme="minorHAnsi" w:eastAsia="Times New Roman" w:hAnsiTheme="minorHAnsi" w:cstheme="minorHAnsi"/>
          <w:sz w:val="24"/>
          <w:szCs w:val="24"/>
          <w:lang w:eastAsia="en-AU"/>
        </w:rPr>
        <w:t>Any Incomplete lodgements started or saved will be deleted on 30 August 2021.</w:t>
      </w:r>
    </w:p>
    <w:p w14:paraId="73988882" w14:textId="149E1297" w:rsidR="00193C43" w:rsidRPr="00C36BE6" w:rsidRDefault="00712686" w:rsidP="003B1877">
      <w:pPr>
        <w:pStyle w:val="ListParagraph"/>
        <w:numPr>
          <w:ilvl w:val="0"/>
          <w:numId w:val="42"/>
        </w:numPr>
        <w:spacing w:after="0"/>
        <w:rPr>
          <w:rFonts w:asciiTheme="minorHAnsi" w:hAnsiTheme="minorHAnsi" w:cstheme="minorHAnsi"/>
        </w:rPr>
      </w:pPr>
      <w:r w:rsidRPr="00C36BE6">
        <w:rPr>
          <w:rFonts w:asciiTheme="minorHAnsi" w:eastAsia="Times New Roman" w:hAnsiTheme="minorHAnsi" w:cstheme="minorHAnsi"/>
          <w:sz w:val="24"/>
          <w:szCs w:val="24"/>
          <w:lang w:eastAsia="en-AU"/>
        </w:rPr>
        <w:t>Any credit cards for FCC files lodgments will need to be re-saved for FCFCOA files lodgments that attract a fee.</w:t>
      </w:r>
    </w:p>
    <w:p w14:paraId="72C6D1C3" w14:textId="77777777" w:rsidR="005412A6" w:rsidRDefault="005412A6">
      <w:pPr>
        <w:spacing w:after="160" w:line="259" w:lineRule="auto"/>
        <w:rPr>
          <w:rFonts w:asciiTheme="minorHAnsi" w:hAnsiTheme="minorHAnsi" w:cstheme="minorHAnsi"/>
          <w:b/>
          <w:u w:val="single"/>
        </w:rPr>
      </w:pPr>
      <w:r>
        <w:br w:type="page"/>
      </w:r>
    </w:p>
    <w:p w14:paraId="3F1ECCE1" w14:textId="2D961C42" w:rsidR="00193C43" w:rsidRPr="00193C43" w:rsidRDefault="00193C43" w:rsidP="005412A6">
      <w:pPr>
        <w:pStyle w:val="Heading2"/>
      </w:pPr>
      <w:r w:rsidRPr="00193C43">
        <w:lastRenderedPageBreak/>
        <w:t xml:space="preserve">Commonwealth Courts Portal (CCP) </w:t>
      </w:r>
    </w:p>
    <w:p w14:paraId="6360E3D1" w14:textId="203ECE4E" w:rsidR="00193C43" w:rsidRPr="00193C43" w:rsidRDefault="00193C43" w:rsidP="003B1877">
      <w:pPr>
        <w:spacing w:line="276" w:lineRule="auto"/>
        <w:rPr>
          <w:rFonts w:asciiTheme="minorHAnsi" w:hAnsiTheme="minorHAnsi" w:cstheme="minorHAnsi"/>
        </w:rPr>
      </w:pPr>
      <w:r w:rsidRPr="00193C43">
        <w:rPr>
          <w:rFonts w:asciiTheme="minorHAnsi" w:hAnsiTheme="minorHAnsi" w:cstheme="minorHAnsi"/>
        </w:rPr>
        <w:t>The commencement of the FCFCOA will result in a single point of entry for all applications filed from 1 September 2021, so when starting a new application via the CCP from 1 September, the user will no longer be required to select a court (FCoA or FCC).</w:t>
      </w:r>
    </w:p>
    <w:p w14:paraId="76CAADA5" w14:textId="72F718A5" w:rsidR="00193C43" w:rsidRPr="00193C43" w:rsidRDefault="00193C43" w:rsidP="003B1877">
      <w:pPr>
        <w:spacing w:before="240" w:line="276" w:lineRule="auto"/>
        <w:rPr>
          <w:rFonts w:asciiTheme="minorHAnsi" w:hAnsiTheme="minorHAnsi" w:cstheme="minorHAnsi"/>
        </w:rPr>
      </w:pPr>
      <w:r w:rsidRPr="00193C43">
        <w:rPr>
          <w:rFonts w:asciiTheme="minorHAnsi" w:hAnsiTheme="minorHAnsi" w:cstheme="minorHAnsi"/>
        </w:rPr>
        <w:t>The Court will have a suite of new forms which will be published on the Court’s website, but it is important for practitioners to note that there will be a 90 day grace period allowing the use of old forms, but after this period the old forms will not be accepted.</w:t>
      </w:r>
    </w:p>
    <w:p w14:paraId="22E3EB2D" w14:textId="67E9445B" w:rsidR="00193C43" w:rsidRPr="00FC3BC6" w:rsidRDefault="00193C43" w:rsidP="003B1877">
      <w:pPr>
        <w:spacing w:before="240" w:line="276" w:lineRule="auto"/>
        <w:rPr>
          <w:rFonts w:asciiTheme="minorHAnsi" w:hAnsiTheme="minorHAnsi" w:cstheme="minorHAnsi"/>
        </w:rPr>
      </w:pPr>
      <w:r w:rsidRPr="00193C43">
        <w:rPr>
          <w:rFonts w:asciiTheme="minorHAnsi" w:hAnsiTheme="minorHAnsi" w:cstheme="minorHAnsi"/>
        </w:rPr>
        <w:t>All partly completed applications not submitted by 31 August 2021 will be deleted.</w:t>
      </w:r>
    </w:p>
    <w:p w14:paraId="5FA8811A" w14:textId="1B31CEC6" w:rsidR="00996444" w:rsidRPr="00FC3BC6" w:rsidRDefault="00996444" w:rsidP="005412A6">
      <w:pPr>
        <w:pStyle w:val="Heading2"/>
        <w:rPr>
          <w:rFonts w:eastAsia="Calibri"/>
        </w:rPr>
      </w:pPr>
      <w:r w:rsidRPr="00FC3BC6">
        <w:rPr>
          <w:rFonts w:eastAsia="Calibri"/>
        </w:rPr>
        <w:t>Furth</w:t>
      </w:r>
      <w:r w:rsidR="00DF4CDB" w:rsidRPr="00FC3BC6">
        <w:rPr>
          <w:rFonts w:eastAsia="Calibri"/>
        </w:rPr>
        <w:t>e</w:t>
      </w:r>
      <w:r w:rsidRPr="00FC3BC6">
        <w:rPr>
          <w:rFonts w:eastAsia="Calibri"/>
        </w:rPr>
        <w:t>r information</w:t>
      </w:r>
    </w:p>
    <w:p w14:paraId="6B05C2BC" w14:textId="1061F7F3" w:rsidR="00996444" w:rsidRPr="00FC3BC6" w:rsidRDefault="00996444" w:rsidP="003B1877">
      <w:pPr>
        <w:spacing w:line="276" w:lineRule="auto"/>
        <w:rPr>
          <w:rFonts w:asciiTheme="minorHAnsi" w:hAnsiTheme="minorHAnsi" w:cstheme="minorHAnsi"/>
        </w:rPr>
      </w:pPr>
      <w:r w:rsidRPr="00FC3BC6">
        <w:rPr>
          <w:rFonts w:asciiTheme="minorHAnsi" w:hAnsiTheme="minorHAnsi" w:cstheme="minorHAnsi"/>
        </w:rPr>
        <w:t>P</w:t>
      </w:r>
      <w:r w:rsidR="00B2641A" w:rsidRPr="00FC3BC6">
        <w:rPr>
          <w:rFonts w:asciiTheme="minorHAnsi" w:hAnsiTheme="minorHAnsi" w:cstheme="minorHAnsi"/>
        </w:rPr>
        <w:t>ractitioners are encouraged to</w:t>
      </w:r>
      <w:r w:rsidRPr="00FC3BC6">
        <w:rPr>
          <w:rFonts w:asciiTheme="minorHAnsi" w:hAnsiTheme="minorHAnsi" w:cstheme="minorHAnsi"/>
        </w:rPr>
        <w:t xml:space="preserve"> review previous updates which can be accessed from the Media Releases section of the </w:t>
      </w:r>
      <w:hyperlink r:id="rId12" w:history="1">
        <w:r w:rsidRPr="00FC3BC6">
          <w:rPr>
            <w:rStyle w:val="Hyperlink"/>
            <w:rFonts w:asciiTheme="minorHAnsi" w:hAnsiTheme="minorHAnsi" w:cstheme="minorHAnsi"/>
          </w:rPr>
          <w:t>FCoA website</w:t>
        </w:r>
      </w:hyperlink>
      <w:r w:rsidRPr="00FC3BC6">
        <w:rPr>
          <w:rFonts w:asciiTheme="minorHAnsi" w:hAnsiTheme="minorHAnsi" w:cstheme="minorHAnsi"/>
        </w:rPr>
        <w:t xml:space="preserve"> and </w:t>
      </w:r>
      <w:hyperlink r:id="rId13" w:history="1">
        <w:r w:rsidRPr="00FC3BC6">
          <w:rPr>
            <w:rStyle w:val="Hyperlink"/>
            <w:rFonts w:asciiTheme="minorHAnsi" w:hAnsiTheme="minorHAnsi" w:cstheme="minorHAnsi"/>
          </w:rPr>
          <w:t>FCC website</w:t>
        </w:r>
      </w:hyperlink>
      <w:r w:rsidRPr="00FC3BC6">
        <w:rPr>
          <w:rFonts w:asciiTheme="minorHAnsi" w:hAnsiTheme="minorHAnsi" w:cstheme="minorHAnsi"/>
        </w:rPr>
        <w:t>. Topics covered in previous updates include information on r</w:t>
      </w:r>
      <w:r w:rsidR="00B14937" w:rsidRPr="00FC3BC6">
        <w:rPr>
          <w:rFonts w:asciiTheme="minorHAnsi" w:hAnsiTheme="minorHAnsi" w:cstheme="minorHAnsi"/>
        </w:rPr>
        <w:t>ules and forms</w:t>
      </w:r>
      <w:r w:rsidRPr="00FC3BC6">
        <w:rPr>
          <w:rFonts w:asciiTheme="minorHAnsi" w:hAnsiTheme="minorHAnsi" w:cstheme="minorHAnsi"/>
        </w:rPr>
        <w:t>, new case management pathway, changes to child dispute services and the role of Registrars.</w:t>
      </w:r>
    </w:p>
    <w:p w14:paraId="0E451CE8" w14:textId="337ABB0E" w:rsidR="00D50A7F" w:rsidRPr="00C36BE6" w:rsidRDefault="00F57C02" w:rsidP="003B1877">
      <w:pPr>
        <w:spacing w:before="240" w:line="276" w:lineRule="auto"/>
        <w:rPr>
          <w:rFonts w:asciiTheme="minorHAnsi" w:hAnsiTheme="minorHAnsi" w:cstheme="minorHAnsi"/>
        </w:rPr>
      </w:pPr>
      <w:r w:rsidRPr="00FC3BC6">
        <w:rPr>
          <w:rFonts w:asciiTheme="minorHAnsi" w:hAnsiTheme="minorHAnsi" w:cstheme="minorHAnsi"/>
        </w:rPr>
        <w:t>P</w:t>
      </w:r>
      <w:r w:rsidR="00996444" w:rsidRPr="00FC3BC6">
        <w:rPr>
          <w:rFonts w:asciiTheme="minorHAnsi" w:hAnsiTheme="minorHAnsi" w:cstheme="minorHAnsi"/>
        </w:rPr>
        <w:t xml:space="preserve">ractitioners </w:t>
      </w:r>
      <w:r w:rsidRPr="00FC3BC6">
        <w:rPr>
          <w:rFonts w:asciiTheme="minorHAnsi" w:hAnsiTheme="minorHAnsi" w:cstheme="minorHAnsi"/>
        </w:rPr>
        <w:t xml:space="preserve">and the public </w:t>
      </w:r>
      <w:r w:rsidR="00996444" w:rsidRPr="00FC3BC6">
        <w:rPr>
          <w:rFonts w:asciiTheme="minorHAnsi" w:hAnsiTheme="minorHAnsi" w:cstheme="minorHAnsi"/>
        </w:rPr>
        <w:t xml:space="preserve">can subscribe </w:t>
      </w:r>
      <w:r w:rsidRPr="00FC3BC6">
        <w:rPr>
          <w:rFonts w:asciiTheme="minorHAnsi" w:hAnsiTheme="minorHAnsi" w:cstheme="minorHAnsi"/>
        </w:rPr>
        <w:t xml:space="preserve">to receive updates from the Courts </w:t>
      </w:r>
      <w:r w:rsidR="00996444" w:rsidRPr="00FC3BC6">
        <w:rPr>
          <w:rFonts w:asciiTheme="minorHAnsi" w:hAnsiTheme="minorHAnsi" w:cstheme="minorHAnsi"/>
        </w:rPr>
        <w:t xml:space="preserve">via the </w:t>
      </w:r>
      <w:hyperlink r:id="rId14" w:history="1">
        <w:r w:rsidR="00996444" w:rsidRPr="00FC3BC6">
          <w:rPr>
            <w:rStyle w:val="Hyperlink"/>
            <w:rFonts w:asciiTheme="minorHAnsi" w:hAnsiTheme="minorHAnsi" w:cstheme="minorHAnsi"/>
          </w:rPr>
          <w:t>FCoA website</w:t>
        </w:r>
      </w:hyperlink>
      <w:r w:rsidRPr="00FC3BC6">
        <w:rPr>
          <w:rFonts w:asciiTheme="minorHAnsi" w:hAnsiTheme="minorHAnsi" w:cstheme="minorHAnsi"/>
        </w:rPr>
        <w:t xml:space="preserve"> or </w:t>
      </w:r>
      <w:hyperlink r:id="rId15" w:history="1">
        <w:r w:rsidRPr="00FC3BC6">
          <w:rPr>
            <w:rStyle w:val="Hyperlink"/>
            <w:rFonts w:asciiTheme="minorHAnsi" w:hAnsiTheme="minorHAnsi" w:cstheme="minorHAnsi"/>
          </w:rPr>
          <w:t>FCC website</w:t>
        </w:r>
      </w:hyperlink>
      <w:r w:rsidRPr="00FC3BC6">
        <w:rPr>
          <w:rFonts w:asciiTheme="minorHAnsi" w:hAnsiTheme="minorHAnsi" w:cstheme="minorHAnsi"/>
        </w:rPr>
        <w:t>.</w:t>
      </w:r>
      <w:r w:rsidR="00996444" w:rsidRPr="00FC3BC6">
        <w:rPr>
          <w:rFonts w:asciiTheme="minorHAnsi" w:hAnsiTheme="minorHAnsi" w:cstheme="minorHAnsi"/>
        </w:rPr>
        <w:t xml:space="preserve"> </w:t>
      </w:r>
    </w:p>
    <w:p w14:paraId="3C162D42" w14:textId="77777777" w:rsidR="005004B1" w:rsidRDefault="007743D6" w:rsidP="00C36BE6">
      <w:pPr>
        <w:spacing w:before="720" w:line="276" w:lineRule="auto"/>
        <w:jc w:val="both"/>
        <w:rPr>
          <w:rFonts w:asciiTheme="minorHAnsi" w:hAnsiTheme="minorHAnsi" w:cstheme="minorHAnsi"/>
          <w:bCs/>
          <w:lang w:eastAsia="zh-CN"/>
        </w:rPr>
      </w:pPr>
      <w:bookmarkStart w:id="1" w:name="_MailAutoSig"/>
      <w:r w:rsidRPr="00FC3BC6">
        <w:rPr>
          <w:rFonts w:asciiTheme="minorHAnsi" w:hAnsiTheme="minorHAnsi" w:cstheme="minorHAnsi"/>
          <w:bCs/>
          <w:lang w:eastAsia="zh-CN"/>
        </w:rPr>
        <w:t>-ends-</w:t>
      </w:r>
    </w:p>
    <w:bookmarkEnd w:id="1"/>
    <w:p w14:paraId="5C783EC9" w14:textId="6CE1F2BD" w:rsidR="00D50A7F" w:rsidRPr="003B1877" w:rsidRDefault="00D50A7F" w:rsidP="003B1877">
      <w:pPr>
        <w:pBdr>
          <w:top w:val="single" w:sz="4" w:space="1" w:color="auto"/>
        </w:pBdr>
        <w:spacing w:before="5400"/>
        <w:rPr>
          <w:rFonts w:ascii="Calibri" w:hAnsi="Calibri" w:cs="Calibri"/>
          <w:iCs/>
          <w:sz w:val="20"/>
          <w:szCs w:val="20"/>
          <w:lang w:eastAsia="en-US"/>
        </w:rPr>
      </w:pPr>
      <w:r w:rsidRPr="002F31C2">
        <w:rPr>
          <w:rFonts w:ascii="Calibri" w:hAnsi="Calibri" w:cs="Calibri"/>
          <w:iCs/>
          <w:sz w:val="20"/>
          <w:szCs w:val="20"/>
          <w:lang w:eastAsia="en-US"/>
        </w:rPr>
        <w:t xml:space="preserve">Media enquiries: Denise Healy </w:t>
      </w:r>
      <w:hyperlink r:id="rId16" w:history="1">
        <w:r w:rsidRPr="002F31C2">
          <w:rPr>
            <w:rStyle w:val="Hyperlink"/>
            <w:rFonts w:ascii="Calibri" w:hAnsi="Calibri" w:cs="Calibri"/>
            <w:iCs/>
            <w:sz w:val="20"/>
            <w:szCs w:val="20"/>
            <w:lang w:eastAsia="en-US"/>
          </w:rPr>
          <w:t>denise.healy@familycourt.gov.au</w:t>
        </w:r>
      </w:hyperlink>
      <w:r w:rsidRPr="002F31C2">
        <w:rPr>
          <w:rFonts w:ascii="Calibri" w:hAnsi="Calibri" w:cs="Calibri"/>
          <w:iCs/>
          <w:sz w:val="20"/>
          <w:szCs w:val="20"/>
          <w:lang w:eastAsia="en-US"/>
        </w:rPr>
        <w:t xml:space="preserve"> or 0409 743 695.</w:t>
      </w:r>
    </w:p>
    <w:sectPr w:rsidR="00D50A7F" w:rsidRPr="003B1877" w:rsidSect="009901DC">
      <w:headerReference w:type="default" r:id="rId17"/>
      <w:footerReference w:type="default" r:id="rId18"/>
      <w:pgSz w:w="11906" w:h="16838"/>
      <w:pgMar w:top="1134" w:right="1133"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3DB5F4" w14:textId="77777777" w:rsidR="006E06B1" w:rsidRDefault="006E06B1">
      <w:r>
        <w:separator/>
      </w:r>
    </w:p>
  </w:endnote>
  <w:endnote w:type="continuationSeparator" w:id="0">
    <w:p w14:paraId="028403A1" w14:textId="77777777" w:rsidR="006E06B1" w:rsidRDefault="006E0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Light">
    <w:panose1 w:val="00000000000000000000"/>
    <w:charset w:val="00"/>
    <w:family w:val="swiss"/>
    <w:notTrueType/>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hAnsiTheme="minorHAnsi" w:cstheme="minorHAnsi"/>
        <w:sz w:val="16"/>
        <w:szCs w:val="16"/>
      </w:rPr>
      <w:id w:val="-1475902656"/>
      <w:docPartObj>
        <w:docPartGallery w:val="Page Numbers (Bottom of Page)"/>
        <w:docPartUnique/>
      </w:docPartObj>
    </w:sdtPr>
    <w:sdtEndPr>
      <w:rPr>
        <w:color w:val="7F7F7F" w:themeColor="background1" w:themeShade="7F"/>
        <w:spacing w:val="60"/>
      </w:rPr>
    </w:sdtEndPr>
    <w:sdtContent>
      <w:p w14:paraId="6E7C664E" w14:textId="52F663B5" w:rsidR="00D055AD" w:rsidRPr="003B1877" w:rsidRDefault="006853FE" w:rsidP="003B1877">
        <w:pPr>
          <w:pStyle w:val="Footer"/>
          <w:pBdr>
            <w:top w:val="single" w:sz="4" w:space="1" w:color="D9D9D9" w:themeColor="background1" w:themeShade="D9"/>
          </w:pBdr>
          <w:jc w:val="right"/>
          <w:rPr>
            <w:rFonts w:asciiTheme="minorHAnsi" w:hAnsiTheme="minorHAnsi" w:cstheme="minorHAnsi"/>
            <w:b/>
            <w:bCs/>
            <w:sz w:val="16"/>
            <w:szCs w:val="16"/>
          </w:rPr>
        </w:pPr>
        <w:r w:rsidRPr="003B1877">
          <w:rPr>
            <w:rFonts w:asciiTheme="minorHAnsi" w:hAnsiTheme="minorHAnsi" w:cstheme="minorHAnsi"/>
            <w:sz w:val="16"/>
            <w:szCs w:val="16"/>
          </w:rPr>
          <w:fldChar w:fldCharType="begin"/>
        </w:r>
        <w:r w:rsidRPr="003B1877">
          <w:rPr>
            <w:rFonts w:asciiTheme="minorHAnsi" w:hAnsiTheme="minorHAnsi" w:cstheme="minorHAnsi"/>
            <w:sz w:val="16"/>
            <w:szCs w:val="16"/>
          </w:rPr>
          <w:instrText xml:space="preserve"> PAGE   \* MERGEFORMAT </w:instrText>
        </w:r>
        <w:r w:rsidRPr="003B1877">
          <w:rPr>
            <w:rFonts w:asciiTheme="minorHAnsi" w:hAnsiTheme="minorHAnsi" w:cstheme="minorHAnsi"/>
            <w:sz w:val="16"/>
            <w:szCs w:val="16"/>
          </w:rPr>
          <w:fldChar w:fldCharType="separate"/>
        </w:r>
        <w:r w:rsidR="00BA2896" w:rsidRPr="00BA2896">
          <w:rPr>
            <w:rFonts w:asciiTheme="minorHAnsi" w:hAnsiTheme="minorHAnsi" w:cstheme="minorHAnsi"/>
            <w:b/>
            <w:bCs/>
            <w:noProof/>
            <w:sz w:val="16"/>
            <w:szCs w:val="16"/>
          </w:rPr>
          <w:t>2</w:t>
        </w:r>
        <w:r w:rsidRPr="003B1877">
          <w:rPr>
            <w:rFonts w:asciiTheme="minorHAnsi" w:hAnsiTheme="minorHAnsi" w:cstheme="minorHAnsi"/>
            <w:b/>
            <w:bCs/>
            <w:noProof/>
            <w:sz w:val="16"/>
            <w:szCs w:val="16"/>
          </w:rPr>
          <w:fldChar w:fldCharType="end"/>
        </w:r>
        <w:r w:rsidRPr="003B1877">
          <w:rPr>
            <w:rFonts w:asciiTheme="minorHAnsi" w:hAnsiTheme="minorHAnsi" w:cstheme="minorHAnsi"/>
            <w:b/>
            <w:bCs/>
            <w:sz w:val="16"/>
            <w:szCs w:val="16"/>
          </w:rPr>
          <w:t xml:space="preserve"> | </w:t>
        </w:r>
        <w:r w:rsidRPr="003B1877">
          <w:rPr>
            <w:rFonts w:asciiTheme="minorHAnsi" w:hAnsiTheme="minorHAnsi" w:cstheme="minorHAnsi"/>
            <w:color w:val="7F7F7F" w:themeColor="background1" w:themeShade="7F"/>
            <w:spacing w:val="60"/>
            <w:sz w:val="16"/>
            <w:szCs w:val="16"/>
          </w:rPr>
          <w:t>Page</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3E5F9C" w14:textId="77777777" w:rsidR="006E06B1" w:rsidRDefault="006E06B1">
      <w:r>
        <w:separator/>
      </w:r>
    </w:p>
  </w:footnote>
  <w:footnote w:type="continuationSeparator" w:id="0">
    <w:p w14:paraId="0C0C44CE" w14:textId="77777777" w:rsidR="006E06B1" w:rsidRDefault="006E06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35419C" w14:textId="02BDBCD5" w:rsidR="00037ADB" w:rsidRDefault="00AE34E6" w:rsidP="008E0DA5">
    <w:pPr>
      <w:pStyle w:val="Footer"/>
    </w:pPr>
    <w:r w:rsidRPr="00AB7BFC">
      <w:rPr>
        <w:b/>
        <w:noProof/>
      </w:rPr>
      <w:drawing>
        <wp:inline distT="0" distB="0" distL="0" distR="0" wp14:anchorId="21B29893" wp14:editId="5B93F25A">
          <wp:extent cx="4007005" cy="61460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oA_FCC_LONG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056208" cy="622154"/>
                  </a:xfrm>
                  <a:prstGeom prst="rect">
                    <a:avLst/>
                  </a:prstGeom>
                </pic:spPr>
              </pic:pic>
            </a:graphicData>
          </a:graphic>
        </wp:inline>
      </w:drawing>
    </w:r>
  </w:p>
  <w:p w14:paraId="3F22D06E" w14:textId="77777777" w:rsidR="00643FCF" w:rsidRPr="00643FCF" w:rsidRDefault="00AE34E6" w:rsidP="007F5F48">
    <w:pPr>
      <w:keepNext/>
      <w:spacing w:before="80"/>
      <w:outlineLvl w:val="0"/>
      <w:rPr>
        <w:rFonts w:ascii="Arial" w:hAnsi="Arial" w:cs="Arial"/>
        <w:sz w:val="20"/>
        <w:lang w:eastAsia="en-US"/>
      </w:rPr>
    </w:pPr>
    <w:r>
      <w:rPr>
        <w:noProof/>
      </w:rPr>
      <mc:AlternateContent>
        <mc:Choice Requires="wps">
          <w:drawing>
            <wp:anchor distT="0" distB="0" distL="114300" distR="114300" simplePos="0" relativeHeight="251657216" behindDoc="0" locked="0" layoutInCell="1" allowOverlap="1" wp14:anchorId="55C55450" wp14:editId="0E40774D">
              <wp:simplePos x="0" y="0"/>
              <wp:positionH relativeFrom="margin">
                <wp:posOffset>727446</wp:posOffset>
              </wp:positionH>
              <wp:positionV relativeFrom="paragraph">
                <wp:posOffset>10160</wp:posOffset>
              </wp:positionV>
              <wp:extent cx="5162400" cy="0"/>
              <wp:effectExtent l="0" t="0" r="1968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62400" cy="0"/>
                      </a:xfrm>
                      <a:prstGeom prst="line">
                        <a:avLst/>
                      </a:prstGeom>
                      <a:noFill/>
                      <a:ln w="24765">
                        <a:solidFill>
                          <a:schemeClr val="bg1">
                            <a:lumMod val="8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B08FA5F" id="Straight Connector 4" o:spid="_x0000_s1026" style="position:absolute;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7.3pt,.8pt" to="463.8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IyOLwIAAFoEAAAOAAAAZHJzL2Uyb0RvYy54bWysVE2P0zAQvSPxHyzfu0lK2u1GTVcoabks&#10;UKnLD3Btp7FwbMt2m1aI/87YaQOFC0JcHH+M37x585zl87mT6MStE1qVOHtIMeKKaibUocRfXjeT&#10;BUbOE8WI1IqX+MIdfl69fbPsTcGnutWScYsARLmiNyVuvTdFkjja8o64B224gsNG2454WNpDwizp&#10;Ab2TyTRN50mvLTNWU+4c7NbDIV5F/Kbh1H9uGsc9kiUGbj6ONo77MCarJSkOlphW0CsN8g8sOiIU&#10;JB2hauIJOlrxB1QnqNVON/6B6i7RTSMojzVANVn6WzW7lhgeawFxnBllcv8Pln46bS0SrMQ5Rop0&#10;0KKdt0QcWo8qrRQIqC3Kg069cQWEV2prQ6X0rHbmRdOvDildtUQdeOT7ejEAkoUbyd2VsHAGsu37&#10;j5pBDDl6HUU7N7YLkCAHOsfeXMbe8LNHFDZn2Xyap9BCejtLSHG7aKzzH7juUJiUWAoVZCMFOb04&#10;H4iQ4hYStpXeCClj66VCfYmn+eN8Fm84LQULpyEuupBX0qITAf/sD1mMkccOChj2FrMUSA0pxvCY&#10;8A7J6qNiMWHLCVtf554IOcyBoFQhJZQLlK+zwUHfntKn9WK9yCf5dL6e5GldT95vqnwy32SPs/pd&#10;XVV19j0wy/KiFYxxFQq4uTnL/84t13c1+HD08yhVco8eSwSyt28kHfsdWjyYZa/ZZWuDNqH1YOAY&#10;fH1s4YX8uo5RP38Jqx8AAAD//wMAUEsDBBQABgAIAAAAIQCBGuLo2QAAAAcBAAAPAAAAZHJzL2Rv&#10;d25yZXYueG1sTI69TsQwEIR7JN7BWiQ6zkl0CiTEOR1IUCEhDho6J978iHgdbF8uvD0LDVQ7oxnN&#10;ftVutZNY0IfRkYJ0k4BAap0ZqVfw9vpwdQMiRE1GT45QwRcG2NXnZ5UujTvRCy6H2AseoVBqBUOM&#10;cyllaAe0OmzcjMRZ57zVka3vpfH6xON2klmS5NLqkfjDoGe8H7D9OBytgqfPtfGdKfZ3748xp6x7&#10;TovtotTlxbq/BRFxjX9l+MFndKiZqXFHMkFM7NNtzlUWfDgvsmsWza+XdSX/89ffAAAA//8DAFBL&#10;AQItABQABgAIAAAAIQC2gziS/gAAAOEBAAATAAAAAAAAAAAAAAAAAAAAAABbQ29udGVudF9UeXBl&#10;c10ueG1sUEsBAi0AFAAGAAgAAAAhADj9If/WAAAAlAEAAAsAAAAAAAAAAAAAAAAALwEAAF9yZWxz&#10;Ly5yZWxzUEsBAi0AFAAGAAgAAAAhAJtojI4vAgAAWgQAAA4AAAAAAAAAAAAAAAAALgIAAGRycy9l&#10;Mm9Eb2MueG1sUEsBAi0AFAAGAAgAAAAhAIEa4ujZAAAABwEAAA8AAAAAAAAAAAAAAAAAiQQAAGRy&#10;cy9kb3ducmV2LnhtbFBLBQYAAAAABAAEAPMAAACPBQAAAAA=&#10;" strokecolor="#d8d8d8 [2732]" strokeweight="1.95pt">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7A0E"/>
      </v:shape>
    </w:pict>
  </w:numPicBullet>
  <w:abstractNum w:abstractNumId="0" w15:restartNumberingAfterBreak="0">
    <w:nsid w:val="054D0BA1"/>
    <w:multiLevelType w:val="hybridMultilevel"/>
    <w:tmpl w:val="9E92EC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A3F3890"/>
    <w:multiLevelType w:val="hybridMultilevel"/>
    <w:tmpl w:val="38600B58"/>
    <w:lvl w:ilvl="0" w:tplc="0C090019">
      <w:start w:val="1"/>
      <w:numFmt w:val="lowerLetter"/>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 w15:restartNumberingAfterBreak="0">
    <w:nsid w:val="105F47E5"/>
    <w:multiLevelType w:val="hybridMultilevel"/>
    <w:tmpl w:val="ABC2ACF6"/>
    <w:lvl w:ilvl="0" w:tplc="128AAD7E">
      <w:start w:val="1"/>
      <w:numFmt w:val="lowerLetter"/>
      <w:lvlText w:val="(%1)"/>
      <w:lvlJc w:val="left"/>
      <w:pPr>
        <w:ind w:left="370" w:hanging="37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10F54342"/>
    <w:multiLevelType w:val="hybridMultilevel"/>
    <w:tmpl w:val="F2EE5ED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11D252E2"/>
    <w:multiLevelType w:val="multilevel"/>
    <w:tmpl w:val="C7D8331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2C8489A"/>
    <w:multiLevelType w:val="hybridMultilevel"/>
    <w:tmpl w:val="F12E03A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6" w15:restartNumberingAfterBreak="0">
    <w:nsid w:val="13D50F04"/>
    <w:multiLevelType w:val="hybridMultilevel"/>
    <w:tmpl w:val="69684060"/>
    <w:lvl w:ilvl="0" w:tplc="0E8A42F2">
      <w:numFmt w:val="bullet"/>
      <w:lvlText w:val=""/>
      <w:lvlJc w:val="left"/>
      <w:pPr>
        <w:ind w:left="532" w:hanging="360"/>
      </w:pPr>
      <w:rPr>
        <w:rFonts w:ascii="Symbol" w:eastAsia="Times New Roman" w:hAnsi="Symbol" w:cs="Times New Roman" w:hint="default"/>
      </w:rPr>
    </w:lvl>
    <w:lvl w:ilvl="1" w:tplc="0C090003" w:tentative="1">
      <w:start w:val="1"/>
      <w:numFmt w:val="bullet"/>
      <w:lvlText w:val="o"/>
      <w:lvlJc w:val="left"/>
      <w:pPr>
        <w:ind w:left="1252" w:hanging="360"/>
      </w:pPr>
      <w:rPr>
        <w:rFonts w:ascii="Courier New" w:hAnsi="Courier New" w:cs="Courier New" w:hint="default"/>
      </w:rPr>
    </w:lvl>
    <w:lvl w:ilvl="2" w:tplc="0C090005" w:tentative="1">
      <w:start w:val="1"/>
      <w:numFmt w:val="bullet"/>
      <w:lvlText w:val=""/>
      <w:lvlJc w:val="left"/>
      <w:pPr>
        <w:ind w:left="1972" w:hanging="360"/>
      </w:pPr>
      <w:rPr>
        <w:rFonts w:ascii="Wingdings" w:hAnsi="Wingdings" w:hint="default"/>
      </w:rPr>
    </w:lvl>
    <w:lvl w:ilvl="3" w:tplc="0C090001" w:tentative="1">
      <w:start w:val="1"/>
      <w:numFmt w:val="bullet"/>
      <w:lvlText w:val=""/>
      <w:lvlJc w:val="left"/>
      <w:pPr>
        <w:ind w:left="2692" w:hanging="360"/>
      </w:pPr>
      <w:rPr>
        <w:rFonts w:ascii="Symbol" w:hAnsi="Symbol" w:hint="default"/>
      </w:rPr>
    </w:lvl>
    <w:lvl w:ilvl="4" w:tplc="0C090003" w:tentative="1">
      <w:start w:val="1"/>
      <w:numFmt w:val="bullet"/>
      <w:lvlText w:val="o"/>
      <w:lvlJc w:val="left"/>
      <w:pPr>
        <w:ind w:left="3412" w:hanging="360"/>
      </w:pPr>
      <w:rPr>
        <w:rFonts w:ascii="Courier New" w:hAnsi="Courier New" w:cs="Courier New" w:hint="default"/>
      </w:rPr>
    </w:lvl>
    <w:lvl w:ilvl="5" w:tplc="0C090005" w:tentative="1">
      <w:start w:val="1"/>
      <w:numFmt w:val="bullet"/>
      <w:lvlText w:val=""/>
      <w:lvlJc w:val="left"/>
      <w:pPr>
        <w:ind w:left="4132" w:hanging="360"/>
      </w:pPr>
      <w:rPr>
        <w:rFonts w:ascii="Wingdings" w:hAnsi="Wingdings" w:hint="default"/>
      </w:rPr>
    </w:lvl>
    <w:lvl w:ilvl="6" w:tplc="0C090001" w:tentative="1">
      <w:start w:val="1"/>
      <w:numFmt w:val="bullet"/>
      <w:lvlText w:val=""/>
      <w:lvlJc w:val="left"/>
      <w:pPr>
        <w:ind w:left="4852" w:hanging="360"/>
      </w:pPr>
      <w:rPr>
        <w:rFonts w:ascii="Symbol" w:hAnsi="Symbol" w:hint="default"/>
      </w:rPr>
    </w:lvl>
    <w:lvl w:ilvl="7" w:tplc="0C090003" w:tentative="1">
      <w:start w:val="1"/>
      <w:numFmt w:val="bullet"/>
      <w:lvlText w:val="o"/>
      <w:lvlJc w:val="left"/>
      <w:pPr>
        <w:ind w:left="5572" w:hanging="360"/>
      </w:pPr>
      <w:rPr>
        <w:rFonts w:ascii="Courier New" w:hAnsi="Courier New" w:cs="Courier New" w:hint="default"/>
      </w:rPr>
    </w:lvl>
    <w:lvl w:ilvl="8" w:tplc="0C090005" w:tentative="1">
      <w:start w:val="1"/>
      <w:numFmt w:val="bullet"/>
      <w:lvlText w:val=""/>
      <w:lvlJc w:val="left"/>
      <w:pPr>
        <w:ind w:left="6292" w:hanging="360"/>
      </w:pPr>
      <w:rPr>
        <w:rFonts w:ascii="Wingdings" w:hAnsi="Wingdings" w:hint="default"/>
      </w:rPr>
    </w:lvl>
  </w:abstractNum>
  <w:abstractNum w:abstractNumId="7" w15:restartNumberingAfterBreak="0">
    <w:nsid w:val="19922571"/>
    <w:multiLevelType w:val="hybridMultilevel"/>
    <w:tmpl w:val="99F83C96"/>
    <w:lvl w:ilvl="0" w:tplc="CF6CED0C">
      <w:start w:val="1"/>
      <w:numFmt w:val="lowerLetter"/>
      <w:lvlText w:val="(%1)"/>
      <w:lvlJc w:val="left"/>
      <w:pPr>
        <w:ind w:left="720" w:hanging="360"/>
      </w:pPr>
      <w:rPr>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8" w15:restartNumberingAfterBreak="0">
    <w:nsid w:val="23245296"/>
    <w:multiLevelType w:val="hybridMultilevel"/>
    <w:tmpl w:val="6E80935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3A52118"/>
    <w:multiLevelType w:val="hybridMultilevel"/>
    <w:tmpl w:val="E294DD64"/>
    <w:lvl w:ilvl="0" w:tplc="0C09000F">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6BA7581"/>
    <w:multiLevelType w:val="hybridMultilevel"/>
    <w:tmpl w:val="6C60098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DD46AEA"/>
    <w:multiLevelType w:val="hybridMultilevel"/>
    <w:tmpl w:val="3E8271A0"/>
    <w:lvl w:ilvl="0" w:tplc="0C09000F">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F8B1708"/>
    <w:multiLevelType w:val="hybridMultilevel"/>
    <w:tmpl w:val="A35219A2"/>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14" w15:restartNumberingAfterBreak="0">
    <w:nsid w:val="31511D3E"/>
    <w:multiLevelType w:val="hybridMultilevel"/>
    <w:tmpl w:val="17EC08D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400E1F01"/>
    <w:multiLevelType w:val="hybridMultilevel"/>
    <w:tmpl w:val="24A8B3AC"/>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4145328B"/>
    <w:multiLevelType w:val="hybridMultilevel"/>
    <w:tmpl w:val="942CD2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448D208F"/>
    <w:multiLevelType w:val="hybridMultilevel"/>
    <w:tmpl w:val="AE3EF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C91338"/>
    <w:multiLevelType w:val="hybridMultilevel"/>
    <w:tmpl w:val="6C60098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A94627A"/>
    <w:multiLevelType w:val="multilevel"/>
    <w:tmpl w:val="7076E2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B3F7D06"/>
    <w:multiLevelType w:val="hybridMultilevel"/>
    <w:tmpl w:val="3DFC37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4C797F7C"/>
    <w:multiLevelType w:val="hybridMultilevel"/>
    <w:tmpl w:val="37F65D7A"/>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4EA02476"/>
    <w:multiLevelType w:val="hybridMultilevel"/>
    <w:tmpl w:val="04BE366A"/>
    <w:lvl w:ilvl="0" w:tplc="0C090001">
      <w:start w:val="1"/>
      <w:numFmt w:val="bullet"/>
      <w:lvlText w:val=""/>
      <w:lvlJc w:val="left"/>
      <w:pPr>
        <w:ind w:left="770" w:hanging="360"/>
      </w:pPr>
      <w:rPr>
        <w:rFonts w:ascii="Symbol" w:hAnsi="Symbol" w:hint="default"/>
      </w:rPr>
    </w:lvl>
    <w:lvl w:ilvl="1" w:tplc="0C090003">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3" w15:restartNumberingAfterBreak="0">
    <w:nsid w:val="51C35971"/>
    <w:multiLevelType w:val="hybridMultilevel"/>
    <w:tmpl w:val="452E4D34"/>
    <w:lvl w:ilvl="0" w:tplc="75EEC7B6">
      <w:start w:val="1"/>
      <w:numFmt w:val="decimal"/>
      <w:lvlText w:val="%1."/>
      <w:lvlJc w:val="left"/>
      <w:pPr>
        <w:ind w:left="720" w:hanging="360"/>
      </w:pPr>
      <w:rPr>
        <w:rFonts w:hint="default"/>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2392770"/>
    <w:multiLevelType w:val="multilevel"/>
    <w:tmpl w:val="4CA85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36C0C60"/>
    <w:multiLevelType w:val="hybridMultilevel"/>
    <w:tmpl w:val="DEAC0BD8"/>
    <w:lvl w:ilvl="0" w:tplc="A21EEB20">
      <w:start w:val="1"/>
      <w:numFmt w:val="bullet"/>
      <w:lvlText w:val="•"/>
      <w:lvlJc w:val="left"/>
      <w:pPr>
        <w:tabs>
          <w:tab w:val="num" w:pos="720"/>
        </w:tabs>
        <w:ind w:left="720" w:hanging="360"/>
      </w:pPr>
      <w:rPr>
        <w:rFonts w:ascii="Arial" w:hAnsi="Arial" w:cs="Times New Roman" w:hint="default"/>
      </w:rPr>
    </w:lvl>
    <w:lvl w:ilvl="1" w:tplc="D2CED0D6">
      <w:start w:val="558"/>
      <w:numFmt w:val="bullet"/>
      <w:lvlText w:val="•"/>
      <w:lvlJc w:val="left"/>
      <w:pPr>
        <w:tabs>
          <w:tab w:val="num" w:pos="1440"/>
        </w:tabs>
        <w:ind w:left="1440" w:hanging="360"/>
      </w:pPr>
      <w:rPr>
        <w:rFonts w:ascii="Arial" w:hAnsi="Arial" w:cs="Times New Roman" w:hint="default"/>
      </w:rPr>
    </w:lvl>
    <w:lvl w:ilvl="2" w:tplc="5014751C">
      <w:start w:val="1"/>
      <w:numFmt w:val="bullet"/>
      <w:lvlText w:val="•"/>
      <w:lvlJc w:val="left"/>
      <w:pPr>
        <w:tabs>
          <w:tab w:val="num" w:pos="2160"/>
        </w:tabs>
        <w:ind w:left="2160" w:hanging="360"/>
      </w:pPr>
      <w:rPr>
        <w:rFonts w:ascii="Arial" w:hAnsi="Arial" w:cs="Times New Roman" w:hint="default"/>
      </w:rPr>
    </w:lvl>
    <w:lvl w:ilvl="3" w:tplc="3D58D534">
      <w:start w:val="1"/>
      <w:numFmt w:val="bullet"/>
      <w:lvlText w:val="•"/>
      <w:lvlJc w:val="left"/>
      <w:pPr>
        <w:tabs>
          <w:tab w:val="num" w:pos="2880"/>
        </w:tabs>
        <w:ind w:left="2880" w:hanging="360"/>
      </w:pPr>
      <w:rPr>
        <w:rFonts w:ascii="Arial" w:hAnsi="Arial" w:cs="Times New Roman" w:hint="default"/>
      </w:rPr>
    </w:lvl>
    <w:lvl w:ilvl="4" w:tplc="ACC0D1B0">
      <w:start w:val="1"/>
      <w:numFmt w:val="bullet"/>
      <w:lvlText w:val="•"/>
      <w:lvlJc w:val="left"/>
      <w:pPr>
        <w:tabs>
          <w:tab w:val="num" w:pos="3600"/>
        </w:tabs>
        <w:ind w:left="3600" w:hanging="360"/>
      </w:pPr>
      <w:rPr>
        <w:rFonts w:ascii="Arial" w:hAnsi="Arial" w:cs="Times New Roman" w:hint="default"/>
      </w:rPr>
    </w:lvl>
    <w:lvl w:ilvl="5" w:tplc="02FAA194">
      <w:start w:val="1"/>
      <w:numFmt w:val="bullet"/>
      <w:lvlText w:val="•"/>
      <w:lvlJc w:val="left"/>
      <w:pPr>
        <w:tabs>
          <w:tab w:val="num" w:pos="4320"/>
        </w:tabs>
        <w:ind w:left="4320" w:hanging="360"/>
      </w:pPr>
      <w:rPr>
        <w:rFonts w:ascii="Arial" w:hAnsi="Arial" w:cs="Times New Roman" w:hint="default"/>
      </w:rPr>
    </w:lvl>
    <w:lvl w:ilvl="6" w:tplc="4238C64E">
      <w:start w:val="1"/>
      <w:numFmt w:val="bullet"/>
      <w:lvlText w:val="•"/>
      <w:lvlJc w:val="left"/>
      <w:pPr>
        <w:tabs>
          <w:tab w:val="num" w:pos="5040"/>
        </w:tabs>
        <w:ind w:left="5040" w:hanging="360"/>
      </w:pPr>
      <w:rPr>
        <w:rFonts w:ascii="Arial" w:hAnsi="Arial" w:cs="Times New Roman" w:hint="default"/>
      </w:rPr>
    </w:lvl>
    <w:lvl w:ilvl="7" w:tplc="4A12E0D8">
      <w:start w:val="1"/>
      <w:numFmt w:val="bullet"/>
      <w:lvlText w:val="•"/>
      <w:lvlJc w:val="left"/>
      <w:pPr>
        <w:tabs>
          <w:tab w:val="num" w:pos="5760"/>
        </w:tabs>
        <w:ind w:left="5760" w:hanging="360"/>
      </w:pPr>
      <w:rPr>
        <w:rFonts w:ascii="Arial" w:hAnsi="Arial" w:cs="Times New Roman" w:hint="default"/>
      </w:rPr>
    </w:lvl>
    <w:lvl w:ilvl="8" w:tplc="6B9E119A">
      <w:start w:val="1"/>
      <w:numFmt w:val="bullet"/>
      <w:lvlText w:val="•"/>
      <w:lvlJc w:val="left"/>
      <w:pPr>
        <w:tabs>
          <w:tab w:val="num" w:pos="6480"/>
        </w:tabs>
        <w:ind w:left="6480" w:hanging="360"/>
      </w:pPr>
      <w:rPr>
        <w:rFonts w:ascii="Arial" w:hAnsi="Arial" w:cs="Times New Roman" w:hint="default"/>
      </w:rPr>
    </w:lvl>
  </w:abstractNum>
  <w:abstractNum w:abstractNumId="26" w15:restartNumberingAfterBreak="0">
    <w:nsid w:val="588A7B3C"/>
    <w:multiLevelType w:val="hybridMultilevel"/>
    <w:tmpl w:val="262CD2A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7" w15:restartNumberingAfterBreak="0">
    <w:nsid w:val="5E121216"/>
    <w:multiLevelType w:val="hybridMultilevel"/>
    <w:tmpl w:val="37F65D7A"/>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8" w15:restartNumberingAfterBreak="0">
    <w:nsid w:val="5F3F4A49"/>
    <w:multiLevelType w:val="hybridMultilevel"/>
    <w:tmpl w:val="6A247B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61DA3E3F"/>
    <w:multiLevelType w:val="hybridMultilevel"/>
    <w:tmpl w:val="6BF28CA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6300645"/>
    <w:multiLevelType w:val="hybridMultilevel"/>
    <w:tmpl w:val="37F65D7A"/>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66D83EB8"/>
    <w:multiLevelType w:val="multilevel"/>
    <w:tmpl w:val="CB2E23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7335DCD"/>
    <w:multiLevelType w:val="multilevel"/>
    <w:tmpl w:val="8782258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CB40804"/>
    <w:multiLevelType w:val="hybridMultilevel"/>
    <w:tmpl w:val="7A185D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4" w15:restartNumberingAfterBreak="0">
    <w:nsid w:val="6E0C7FEE"/>
    <w:multiLevelType w:val="hybridMultilevel"/>
    <w:tmpl w:val="527E0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ED07391"/>
    <w:multiLevelType w:val="hybridMultilevel"/>
    <w:tmpl w:val="87240FBE"/>
    <w:lvl w:ilvl="0" w:tplc="5F105604">
      <w:start w:val="1"/>
      <w:numFmt w:val="upperLetter"/>
      <w:lvlText w:val="%1."/>
      <w:lvlJc w:val="left"/>
      <w:pPr>
        <w:ind w:left="360" w:hanging="360"/>
      </w:pPr>
      <w:rPr>
        <w:rFonts w:hint="default"/>
        <w:b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752300A6"/>
    <w:multiLevelType w:val="hybridMultilevel"/>
    <w:tmpl w:val="F906031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54A62F1"/>
    <w:multiLevelType w:val="hybridMultilevel"/>
    <w:tmpl w:val="37F65D7A"/>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8" w15:restartNumberingAfterBreak="0">
    <w:nsid w:val="79C54A6B"/>
    <w:multiLevelType w:val="hybridMultilevel"/>
    <w:tmpl w:val="402E96D4"/>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39" w15:restartNumberingAfterBreak="0">
    <w:nsid w:val="7A4205BD"/>
    <w:multiLevelType w:val="hybridMultilevel"/>
    <w:tmpl w:val="A030F1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0" w15:restartNumberingAfterBreak="0">
    <w:nsid w:val="7C063F1E"/>
    <w:multiLevelType w:val="hybridMultilevel"/>
    <w:tmpl w:val="10CE2994"/>
    <w:lvl w:ilvl="0" w:tplc="90B020B4">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1" w15:restartNumberingAfterBreak="0">
    <w:nsid w:val="7E4A312F"/>
    <w:multiLevelType w:val="hybridMultilevel"/>
    <w:tmpl w:val="4726CF62"/>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4"/>
  </w:num>
  <w:num w:numId="2">
    <w:abstractNumId w:val="34"/>
  </w:num>
  <w:num w:numId="3">
    <w:abstractNumId w:val="29"/>
  </w:num>
  <w:num w:numId="4">
    <w:abstractNumId w:val="17"/>
  </w:num>
  <w:num w:numId="5">
    <w:abstractNumId w:val="33"/>
  </w:num>
  <w:num w:numId="6">
    <w:abstractNumId w:val="39"/>
  </w:num>
  <w:num w:numId="7">
    <w:abstractNumId w:val="40"/>
  </w:num>
  <w:num w:numId="8">
    <w:abstractNumId w:val="13"/>
  </w:num>
  <w:num w:numId="9">
    <w:abstractNumId w:val="38"/>
  </w:num>
  <w:num w:numId="10">
    <w:abstractNumId w:val="5"/>
  </w:num>
  <w:num w:numId="11">
    <w:abstractNumId w:val="36"/>
  </w:num>
  <w:num w:numId="12">
    <w:abstractNumId w:val="10"/>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5"/>
  </w:num>
  <w:num w:numId="15">
    <w:abstractNumId w:val="4"/>
  </w:num>
  <w:num w:numId="16">
    <w:abstractNumId w:val="32"/>
  </w:num>
  <w:num w:numId="17">
    <w:abstractNumId w:val="19"/>
  </w:num>
  <w:num w:numId="18">
    <w:abstractNumId w:val="41"/>
  </w:num>
  <w:num w:numId="19">
    <w:abstractNumId w:val="41"/>
  </w:num>
  <w:num w:numId="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num>
  <w:num w:numId="22">
    <w:abstractNumId w:val="28"/>
  </w:num>
  <w:num w:numId="23">
    <w:abstractNumId w:val="26"/>
  </w:num>
  <w:num w:numId="24">
    <w:abstractNumId w:val="1"/>
  </w:num>
  <w:num w:numId="25">
    <w:abstractNumId w:val="21"/>
  </w:num>
  <w:num w:numId="26">
    <w:abstractNumId w:val="2"/>
  </w:num>
  <w:num w:numId="27">
    <w:abstractNumId w:val="15"/>
  </w:num>
  <w:num w:numId="28">
    <w:abstractNumId w:val="11"/>
  </w:num>
  <w:num w:numId="29">
    <w:abstractNumId w:val="16"/>
  </w:num>
  <w:num w:numId="30">
    <w:abstractNumId w:val="8"/>
  </w:num>
  <w:num w:numId="31">
    <w:abstractNumId w:val="23"/>
  </w:num>
  <w:num w:numId="32">
    <w:abstractNumId w:val="12"/>
  </w:num>
  <w:num w:numId="33">
    <w:abstractNumId w:val="30"/>
  </w:num>
  <w:num w:numId="34">
    <w:abstractNumId w:val="27"/>
  </w:num>
  <w:num w:numId="35">
    <w:abstractNumId w:val="3"/>
  </w:num>
  <w:num w:numId="36">
    <w:abstractNumId w:val="3"/>
  </w:num>
  <w:num w:numId="37">
    <w:abstractNumId w:val="37"/>
  </w:num>
  <w:num w:numId="38">
    <w:abstractNumId w:val="9"/>
  </w:num>
  <w:num w:numId="39">
    <w:abstractNumId w:val="20"/>
  </w:num>
  <w:num w:numId="40">
    <w:abstractNumId w:val="25"/>
  </w:num>
  <w:num w:numId="41">
    <w:abstractNumId w:val="6"/>
  </w:num>
  <w:num w:numId="42">
    <w:abstractNumId w:val="28"/>
  </w:num>
  <w:num w:numId="43">
    <w:abstractNumId w:val="31"/>
  </w:num>
  <w:num w:numId="44">
    <w:abstractNumId w:val="22"/>
  </w:num>
  <w:num w:numId="45">
    <w:abstractNumId w:val="18"/>
  </w:num>
  <w:num w:numId="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4E6"/>
    <w:rsid w:val="00002E4A"/>
    <w:rsid w:val="000047AA"/>
    <w:rsid w:val="000175DA"/>
    <w:rsid w:val="00020523"/>
    <w:rsid w:val="0002483E"/>
    <w:rsid w:val="00025663"/>
    <w:rsid w:val="000310AB"/>
    <w:rsid w:val="0003201B"/>
    <w:rsid w:val="00032494"/>
    <w:rsid w:val="000451E7"/>
    <w:rsid w:val="00050023"/>
    <w:rsid w:val="0005139C"/>
    <w:rsid w:val="0005311A"/>
    <w:rsid w:val="00063B72"/>
    <w:rsid w:val="00063F91"/>
    <w:rsid w:val="00066209"/>
    <w:rsid w:val="00067A83"/>
    <w:rsid w:val="000726AF"/>
    <w:rsid w:val="00073EEE"/>
    <w:rsid w:val="00077BC4"/>
    <w:rsid w:val="000857BD"/>
    <w:rsid w:val="000917EA"/>
    <w:rsid w:val="00094A2D"/>
    <w:rsid w:val="00095D9B"/>
    <w:rsid w:val="00097873"/>
    <w:rsid w:val="000A3339"/>
    <w:rsid w:val="000B30F9"/>
    <w:rsid w:val="000B4FDD"/>
    <w:rsid w:val="000B5B20"/>
    <w:rsid w:val="000B7BC8"/>
    <w:rsid w:val="000D2131"/>
    <w:rsid w:val="000D377A"/>
    <w:rsid w:val="000D4A68"/>
    <w:rsid w:val="000D7C15"/>
    <w:rsid w:val="000E163D"/>
    <w:rsid w:val="000F6A9F"/>
    <w:rsid w:val="000F704C"/>
    <w:rsid w:val="000F75AA"/>
    <w:rsid w:val="00111321"/>
    <w:rsid w:val="00111B11"/>
    <w:rsid w:val="00115698"/>
    <w:rsid w:val="00115CED"/>
    <w:rsid w:val="00122402"/>
    <w:rsid w:val="00122A30"/>
    <w:rsid w:val="00130971"/>
    <w:rsid w:val="00130DB5"/>
    <w:rsid w:val="001418A7"/>
    <w:rsid w:val="00142415"/>
    <w:rsid w:val="001426D1"/>
    <w:rsid w:val="00143E33"/>
    <w:rsid w:val="00147DC2"/>
    <w:rsid w:val="00152C4E"/>
    <w:rsid w:val="0015697C"/>
    <w:rsid w:val="0016107E"/>
    <w:rsid w:val="00161AFE"/>
    <w:rsid w:val="00161E28"/>
    <w:rsid w:val="00167D4E"/>
    <w:rsid w:val="001722C0"/>
    <w:rsid w:val="0018277D"/>
    <w:rsid w:val="00184CAC"/>
    <w:rsid w:val="00193C43"/>
    <w:rsid w:val="00193EDE"/>
    <w:rsid w:val="0019619D"/>
    <w:rsid w:val="00197EEE"/>
    <w:rsid w:val="001A004C"/>
    <w:rsid w:val="001A3C7E"/>
    <w:rsid w:val="001A4EBF"/>
    <w:rsid w:val="001B5CD6"/>
    <w:rsid w:val="001C21F7"/>
    <w:rsid w:val="001E0B76"/>
    <w:rsid w:val="001E4C5F"/>
    <w:rsid w:val="00201267"/>
    <w:rsid w:val="00210CB4"/>
    <w:rsid w:val="00211D90"/>
    <w:rsid w:val="002130F3"/>
    <w:rsid w:val="00224B94"/>
    <w:rsid w:val="00225D79"/>
    <w:rsid w:val="002361A6"/>
    <w:rsid w:val="002546A9"/>
    <w:rsid w:val="00256489"/>
    <w:rsid w:val="00264DCF"/>
    <w:rsid w:val="0026629E"/>
    <w:rsid w:val="00272566"/>
    <w:rsid w:val="00275FAF"/>
    <w:rsid w:val="00282C31"/>
    <w:rsid w:val="00286FB9"/>
    <w:rsid w:val="00287FA8"/>
    <w:rsid w:val="002A112A"/>
    <w:rsid w:val="002A1798"/>
    <w:rsid w:val="002D0038"/>
    <w:rsid w:val="002E006A"/>
    <w:rsid w:val="002E0207"/>
    <w:rsid w:val="002E0843"/>
    <w:rsid w:val="002E347D"/>
    <w:rsid w:val="002E4EC1"/>
    <w:rsid w:val="002E71F9"/>
    <w:rsid w:val="002F5CD8"/>
    <w:rsid w:val="002F73C5"/>
    <w:rsid w:val="0030227F"/>
    <w:rsid w:val="003053CE"/>
    <w:rsid w:val="0030689E"/>
    <w:rsid w:val="0031295D"/>
    <w:rsid w:val="00317400"/>
    <w:rsid w:val="00317A22"/>
    <w:rsid w:val="00322E77"/>
    <w:rsid w:val="00326F16"/>
    <w:rsid w:val="003302AF"/>
    <w:rsid w:val="00330BF9"/>
    <w:rsid w:val="00331792"/>
    <w:rsid w:val="003328DC"/>
    <w:rsid w:val="00340861"/>
    <w:rsid w:val="0034498E"/>
    <w:rsid w:val="003461EC"/>
    <w:rsid w:val="00353339"/>
    <w:rsid w:val="00361190"/>
    <w:rsid w:val="003619E5"/>
    <w:rsid w:val="0036627A"/>
    <w:rsid w:val="00367C23"/>
    <w:rsid w:val="00370039"/>
    <w:rsid w:val="00371B83"/>
    <w:rsid w:val="00375533"/>
    <w:rsid w:val="003760A2"/>
    <w:rsid w:val="00382666"/>
    <w:rsid w:val="00385CD8"/>
    <w:rsid w:val="003871D1"/>
    <w:rsid w:val="00390A78"/>
    <w:rsid w:val="00391908"/>
    <w:rsid w:val="003A0900"/>
    <w:rsid w:val="003A0E0A"/>
    <w:rsid w:val="003A3639"/>
    <w:rsid w:val="003B0856"/>
    <w:rsid w:val="003B1877"/>
    <w:rsid w:val="003B25E4"/>
    <w:rsid w:val="003C1CAE"/>
    <w:rsid w:val="003C2319"/>
    <w:rsid w:val="003D3209"/>
    <w:rsid w:val="003D58BA"/>
    <w:rsid w:val="003E24BD"/>
    <w:rsid w:val="003E2517"/>
    <w:rsid w:val="003E4F9E"/>
    <w:rsid w:val="003E7C8A"/>
    <w:rsid w:val="003F0D25"/>
    <w:rsid w:val="003F42CD"/>
    <w:rsid w:val="004053D0"/>
    <w:rsid w:val="00410658"/>
    <w:rsid w:val="004156B1"/>
    <w:rsid w:val="00424813"/>
    <w:rsid w:val="00430EE0"/>
    <w:rsid w:val="00431149"/>
    <w:rsid w:val="00436F4D"/>
    <w:rsid w:val="00437202"/>
    <w:rsid w:val="00442AA1"/>
    <w:rsid w:val="00442D13"/>
    <w:rsid w:val="0044451E"/>
    <w:rsid w:val="004504DA"/>
    <w:rsid w:val="004517D5"/>
    <w:rsid w:val="004543E3"/>
    <w:rsid w:val="0046024F"/>
    <w:rsid w:val="00463D85"/>
    <w:rsid w:val="00465380"/>
    <w:rsid w:val="00467410"/>
    <w:rsid w:val="00474EBE"/>
    <w:rsid w:val="00476E4E"/>
    <w:rsid w:val="0047773B"/>
    <w:rsid w:val="00483A51"/>
    <w:rsid w:val="00486FB3"/>
    <w:rsid w:val="004A3948"/>
    <w:rsid w:val="004A6925"/>
    <w:rsid w:val="004B2770"/>
    <w:rsid w:val="004B6254"/>
    <w:rsid w:val="004C1F2A"/>
    <w:rsid w:val="004C5CB4"/>
    <w:rsid w:val="004D0238"/>
    <w:rsid w:val="004E422F"/>
    <w:rsid w:val="005004B1"/>
    <w:rsid w:val="00502805"/>
    <w:rsid w:val="005037F8"/>
    <w:rsid w:val="005038D9"/>
    <w:rsid w:val="00504A78"/>
    <w:rsid w:val="005061A7"/>
    <w:rsid w:val="00512D5C"/>
    <w:rsid w:val="00513842"/>
    <w:rsid w:val="00513B94"/>
    <w:rsid w:val="00521785"/>
    <w:rsid w:val="00530616"/>
    <w:rsid w:val="00534E37"/>
    <w:rsid w:val="00536F07"/>
    <w:rsid w:val="005412A6"/>
    <w:rsid w:val="00550375"/>
    <w:rsid w:val="00561307"/>
    <w:rsid w:val="00564E14"/>
    <w:rsid w:val="0057433A"/>
    <w:rsid w:val="0057682F"/>
    <w:rsid w:val="00577AD9"/>
    <w:rsid w:val="00580F3C"/>
    <w:rsid w:val="00587A62"/>
    <w:rsid w:val="00591FB9"/>
    <w:rsid w:val="005A4AA1"/>
    <w:rsid w:val="005A5FC2"/>
    <w:rsid w:val="005B6C08"/>
    <w:rsid w:val="005C5449"/>
    <w:rsid w:val="005C5DA0"/>
    <w:rsid w:val="005D2D86"/>
    <w:rsid w:val="005D550F"/>
    <w:rsid w:val="005D6DB0"/>
    <w:rsid w:val="005E18C8"/>
    <w:rsid w:val="005F56CC"/>
    <w:rsid w:val="00604360"/>
    <w:rsid w:val="006070D9"/>
    <w:rsid w:val="00616C3C"/>
    <w:rsid w:val="00617062"/>
    <w:rsid w:val="006171D4"/>
    <w:rsid w:val="0062047D"/>
    <w:rsid w:val="00621925"/>
    <w:rsid w:val="00622617"/>
    <w:rsid w:val="00623AFB"/>
    <w:rsid w:val="00633F2D"/>
    <w:rsid w:val="00635017"/>
    <w:rsid w:val="00636360"/>
    <w:rsid w:val="00636A37"/>
    <w:rsid w:val="00637A1D"/>
    <w:rsid w:val="0064018A"/>
    <w:rsid w:val="00640F80"/>
    <w:rsid w:val="00641869"/>
    <w:rsid w:val="00642005"/>
    <w:rsid w:val="00647436"/>
    <w:rsid w:val="00653B9F"/>
    <w:rsid w:val="0066241D"/>
    <w:rsid w:val="00664B4E"/>
    <w:rsid w:val="00676E73"/>
    <w:rsid w:val="006802E5"/>
    <w:rsid w:val="006853FE"/>
    <w:rsid w:val="00695641"/>
    <w:rsid w:val="006A3527"/>
    <w:rsid w:val="006A45AC"/>
    <w:rsid w:val="006B2C22"/>
    <w:rsid w:val="006C142A"/>
    <w:rsid w:val="006C64D7"/>
    <w:rsid w:val="006D6F85"/>
    <w:rsid w:val="006D78FA"/>
    <w:rsid w:val="006E06B1"/>
    <w:rsid w:val="006E41BF"/>
    <w:rsid w:val="006F0274"/>
    <w:rsid w:val="00704F29"/>
    <w:rsid w:val="0071071D"/>
    <w:rsid w:val="0071225F"/>
    <w:rsid w:val="00712610"/>
    <w:rsid w:val="00712686"/>
    <w:rsid w:val="00713317"/>
    <w:rsid w:val="00722B4F"/>
    <w:rsid w:val="0073112F"/>
    <w:rsid w:val="00732CC8"/>
    <w:rsid w:val="0073585B"/>
    <w:rsid w:val="00736032"/>
    <w:rsid w:val="00737E48"/>
    <w:rsid w:val="00743470"/>
    <w:rsid w:val="00744BFE"/>
    <w:rsid w:val="00751196"/>
    <w:rsid w:val="00754653"/>
    <w:rsid w:val="0075585A"/>
    <w:rsid w:val="0076242F"/>
    <w:rsid w:val="007631D6"/>
    <w:rsid w:val="00765BDC"/>
    <w:rsid w:val="007726AA"/>
    <w:rsid w:val="007743D6"/>
    <w:rsid w:val="00782AFD"/>
    <w:rsid w:val="00790AFA"/>
    <w:rsid w:val="00793114"/>
    <w:rsid w:val="00794041"/>
    <w:rsid w:val="007A138B"/>
    <w:rsid w:val="007A3FA6"/>
    <w:rsid w:val="007A55C6"/>
    <w:rsid w:val="007A5B2D"/>
    <w:rsid w:val="007B0DD0"/>
    <w:rsid w:val="007B1FCC"/>
    <w:rsid w:val="007C088F"/>
    <w:rsid w:val="007C4FF0"/>
    <w:rsid w:val="007C5781"/>
    <w:rsid w:val="007D13E8"/>
    <w:rsid w:val="007D19D4"/>
    <w:rsid w:val="007D7BC4"/>
    <w:rsid w:val="007E2824"/>
    <w:rsid w:val="007E3157"/>
    <w:rsid w:val="007F2645"/>
    <w:rsid w:val="007F2E19"/>
    <w:rsid w:val="007F37AE"/>
    <w:rsid w:val="007F3F05"/>
    <w:rsid w:val="007F730D"/>
    <w:rsid w:val="007F75C8"/>
    <w:rsid w:val="00812D7B"/>
    <w:rsid w:val="0082413C"/>
    <w:rsid w:val="00825C4E"/>
    <w:rsid w:val="00831CC7"/>
    <w:rsid w:val="00833724"/>
    <w:rsid w:val="00834728"/>
    <w:rsid w:val="00835336"/>
    <w:rsid w:val="0083601E"/>
    <w:rsid w:val="008406CC"/>
    <w:rsid w:val="008412FA"/>
    <w:rsid w:val="00841A83"/>
    <w:rsid w:val="00851ECA"/>
    <w:rsid w:val="00852A52"/>
    <w:rsid w:val="00857F5D"/>
    <w:rsid w:val="0086067F"/>
    <w:rsid w:val="00874688"/>
    <w:rsid w:val="00877360"/>
    <w:rsid w:val="00882A88"/>
    <w:rsid w:val="008832E4"/>
    <w:rsid w:val="00883C54"/>
    <w:rsid w:val="00886FA3"/>
    <w:rsid w:val="00893524"/>
    <w:rsid w:val="00896DE1"/>
    <w:rsid w:val="008A4B6A"/>
    <w:rsid w:val="008A67C9"/>
    <w:rsid w:val="008A68DA"/>
    <w:rsid w:val="008B12D7"/>
    <w:rsid w:val="008B2BD2"/>
    <w:rsid w:val="008B434B"/>
    <w:rsid w:val="008C1DAE"/>
    <w:rsid w:val="008D0B71"/>
    <w:rsid w:val="008D1D83"/>
    <w:rsid w:val="008D3E29"/>
    <w:rsid w:val="008D468A"/>
    <w:rsid w:val="008D4E4E"/>
    <w:rsid w:val="008E124D"/>
    <w:rsid w:val="008E52AE"/>
    <w:rsid w:val="008F4B04"/>
    <w:rsid w:val="008F5305"/>
    <w:rsid w:val="008F638E"/>
    <w:rsid w:val="0090270E"/>
    <w:rsid w:val="00903C2A"/>
    <w:rsid w:val="0090620C"/>
    <w:rsid w:val="0090716E"/>
    <w:rsid w:val="009155F8"/>
    <w:rsid w:val="009276C3"/>
    <w:rsid w:val="00932622"/>
    <w:rsid w:val="00933420"/>
    <w:rsid w:val="00936161"/>
    <w:rsid w:val="0093783A"/>
    <w:rsid w:val="009448B3"/>
    <w:rsid w:val="00945993"/>
    <w:rsid w:val="0094652E"/>
    <w:rsid w:val="009526A5"/>
    <w:rsid w:val="00953633"/>
    <w:rsid w:val="00955CAC"/>
    <w:rsid w:val="00956102"/>
    <w:rsid w:val="00956BB3"/>
    <w:rsid w:val="00956E03"/>
    <w:rsid w:val="00961917"/>
    <w:rsid w:val="00961C4D"/>
    <w:rsid w:val="00965264"/>
    <w:rsid w:val="00972A14"/>
    <w:rsid w:val="00974647"/>
    <w:rsid w:val="0098762C"/>
    <w:rsid w:val="009901DC"/>
    <w:rsid w:val="00996444"/>
    <w:rsid w:val="009969E1"/>
    <w:rsid w:val="00996CEA"/>
    <w:rsid w:val="009A6AA2"/>
    <w:rsid w:val="009B6C43"/>
    <w:rsid w:val="009C0342"/>
    <w:rsid w:val="009C0D53"/>
    <w:rsid w:val="009C1FE6"/>
    <w:rsid w:val="009C3162"/>
    <w:rsid w:val="009C5FB5"/>
    <w:rsid w:val="009D0CB0"/>
    <w:rsid w:val="009D1733"/>
    <w:rsid w:val="009D57B9"/>
    <w:rsid w:val="00A00DF2"/>
    <w:rsid w:val="00A125B7"/>
    <w:rsid w:val="00A144B5"/>
    <w:rsid w:val="00A15E20"/>
    <w:rsid w:val="00A2342A"/>
    <w:rsid w:val="00A23E00"/>
    <w:rsid w:val="00A24696"/>
    <w:rsid w:val="00A25ABC"/>
    <w:rsid w:val="00A26491"/>
    <w:rsid w:val="00A26D12"/>
    <w:rsid w:val="00A36D4A"/>
    <w:rsid w:val="00A45603"/>
    <w:rsid w:val="00A521A3"/>
    <w:rsid w:val="00A53854"/>
    <w:rsid w:val="00A60331"/>
    <w:rsid w:val="00A6068D"/>
    <w:rsid w:val="00A64E0D"/>
    <w:rsid w:val="00A6566E"/>
    <w:rsid w:val="00A65EB1"/>
    <w:rsid w:val="00A67E79"/>
    <w:rsid w:val="00A700A7"/>
    <w:rsid w:val="00A7166E"/>
    <w:rsid w:val="00A779B9"/>
    <w:rsid w:val="00A80091"/>
    <w:rsid w:val="00A80DA4"/>
    <w:rsid w:val="00A86BF7"/>
    <w:rsid w:val="00A870C2"/>
    <w:rsid w:val="00A92FC4"/>
    <w:rsid w:val="00A9477C"/>
    <w:rsid w:val="00A9531A"/>
    <w:rsid w:val="00A96F01"/>
    <w:rsid w:val="00AA0874"/>
    <w:rsid w:val="00AA6477"/>
    <w:rsid w:val="00AB0E68"/>
    <w:rsid w:val="00AB213B"/>
    <w:rsid w:val="00AB4269"/>
    <w:rsid w:val="00AB7BFC"/>
    <w:rsid w:val="00AC1EE2"/>
    <w:rsid w:val="00AC2198"/>
    <w:rsid w:val="00AD00FA"/>
    <w:rsid w:val="00AD024B"/>
    <w:rsid w:val="00AD0B8C"/>
    <w:rsid w:val="00AD0D82"/>
    <w:rsid w:val="00AD2A7B"/>
    <w:rsid w:val="00AD4134"/>
    <w:rsid w:val="00AD58F3"/>
    <w:rsid w:val="00AD74A3"/>
    <w:rsid w:val="00AE1DFA"/>
    <w:rsid w:val="00AE2AC6"/>
    <w:rsid w:val="00AE2D7E"/>
    <w:rsid w:val="00AE34E6"/>
    <w:rsid w:val="00AE6317"/>
    <w:rsid w:val="00AF3C40"/>
    <w:rsid w:val="00AF5C42"/>
    <w:rsid w:val="00B02645"/>
    <w:rsid w:val="00B05FEE"/>
    <w:rsid w:val="00B07C37"/>
    <w:rsid w:val="00B1052F"/>
    <w:rsid w:val="00B14937"/>
    <w:rsid w:val="00B2417B"/>
    <w:rsid w:val="00B2423A"/>
    <w:rsid w:val="00B24A19"/>
    <w:rsid w:val="00B2641A"/>
    <w:rsid w:val="00B27746"/>
    <w:rsid w:val="00B43CA3"/>
    <w:rsid w:val="00B44E8C"/>
    <w:rsid w:val="00B52487"/>
    <w:rsid w:val="00B53A35"/>
    <w:rsid w:val="00B54252"/>
    <w:rsid w:val="00B6370B"/>
    <w:rsid w:val="00B63ACD"/>
    <w:rsid w:val="00B71688"/>
    <w:rsid w:val="00B73790"/>
    <w:rsid w:val="00B73CFE"/>
    <w:rsid w:val="00B74497"/>
    <w:rsid w:val="00B90851"/>
    <w:rsid w:val="00B90C43"/>
    <w:rsid w:val="00B972DB"/>
    <w:rsid w:val="00BA2896"/>
    <w:rsid w:val="00BA4AC8"/>
    <w:rsid w:val="00BB07C9"/>
    <w:rsid w:val="00BB5D69"/>
    <w:rsid w:val="00BC24B2"/>
    <w:rsid w:val="00BC52AF"/>
    <w:rsid w:val="00BC6BB7"/>
    <w:rsid w:val="00BD1C74"/>
    <w:rsid w:val="00BD1E33"/>
    <w:rsid w:val="00BD36B7"/>
    <w:rsid w:val="00BD3C12"/>
    <w:rsid w:val="00BD4F8D"/>
    <w:rsid w:val="00BD58AD"/>
    <w:rsid w:val="00BD7B59"/>
    <w:rsid w:val="00BE2B9B"/>
    <w:rsid w:val="00BE4391"/>
    <w:rsid w:val="00C053BE"/>
    <w:rsid w:val="00C06603"/>
    <w:rsid w:val="00C10F66"/>
    <w:rsid w:val="00C15310"/>
    <w:rsid w:val="00C16D49"/>
    <w:rsid w:val="00C2713F"/>
    <w:rsid w:val="00C3397C"/>
    <w:rsid w:val="00C340A5"/>
    <w:rsid w:val="00C36BE6"/>
    <w:rsid w:val="00C37918"/>
    <w:rsid w:val="00C44F66"/>
    <w:rsid w:val="00C51D5E"/>
    <w:rsid w:val="00C532C2"/>
    <w:rsid w:val="00C5459A"/>
    <w:rsid w:val="00C71BD4"/>
    <w:rsid w:val="00C72435"/>
    <w:rsid w:val="00C74449"/>
    <w:rsid w:val="00C777C1"/>
    <w:rsid w:val="00C77CAC"/>
    <w:rsid w:val="00C82827"/>
    <w:rsid w:val="00C861C9"/>
    <w:rsid w:val="00C97D4D"/>
    <w:rsid w:val="00CA5101"/>
    <w:rsid w:val="00CA52F8"/>
    <w:rsid w:val="00CB31B1"/>
    <w:rsid w:val="00CB4906"/>
    <w:rsid w:val="00CC011C"/>
    <w:rsid w:val="00CC0EEE"/>
    <w:rsid w:val="00CC334C"/>
    <w:rsid w:val="00CC77A0"/>
    <w:rsid w:val="00CD5D7F"/>
    <w:rsid w:val="00CE120B"/>
    <w:rsid w:val="00CE15F7"/>
    <w:rsid w:val="00CE3D17"/>
    <w:rsid w:val="00CE7C6C"/>
    <w:rsid w:val="00CF0A36"/>
    <w:rsid w:val="00CF1913"/>
    <w:rsid w:val="00CF3812"/>
    <w:rsid w:val="00CF71E9"/>
    <w:rsid w:val="00D04152"/>
    <w:rsid w:val="00D055AD"/>
    <w:rsid w:val="00D12D12"/>
    <w:rsid w:val="00D17BD3"/>
    <w:rsid w:val="00D211E7"/>
    <w:rsid w:val="00D32B8C"/>
    <w:rsid w:val="00D36651"/>
    <w:rsid w:val="00D45EDF"/>
    <w:rsid w:val="00D471E2"/>
    <w:rsid w:val="00D5000A"/>
    <w:rsid w:val="00D504A8"/>
    <w:rsid w:val="00D505FA"/>
    <w:rsid w:val="00D50A7F"/>
    <w:rsid w:val="00D62995"/>
    <w:rsid w:val="00D63021"/>
    <w:rsid w:val="00D70D4C"/>
    <w:rsid w:val="00D71FFB"/>
    <w:rsid w:val="00D735E7"/>
    <w:rsid w:val="00D753F1"/>
    <w:rsid w:val="00D76CCB"/>
    <w:rsid w:val="00D77150"/>
    <w:rsid w:val="00D823DB"/>
    <w:rsid w:val="00D92ACC"/>
    <w:rsid w:val="00D93012"/>
    <w:rsid w:val="00D94232"/>
    <w:rsid w:val="00DA5535"/>
    <w:rsid w:val="00DB0D8A"/>
    <w:rsid w:val="00DC1195"/>
    <w:rsid w:val="00DC3B61"/>
    <w:rsid w:val="00DC42EF"/>
    <w:rsid w:val="00DC6D1D"/>
    <w:rsid w:val="00DD6DBF"/>
    <w:rsid w:val="00DE1592"/>
    <w:rsid w:val="00DE2DED"/>
    <w:rsid w:val="00DE4866"/>
    <w:rsid w:val="00DE56FC"/>
    <w:rsid w:val="00DF4CDB"/>
    <w:rsid w:val="00E002A8"/>
    <w:rsid w:val="00E01416"/>
    <w:rsid w:val="00E0325A"/>
    <w:rsid w:val="00E03716"/>
    <w:rsid w:val="00E056B2"/>
    <w:rsid w:val="00E073B8"/>
    <w:rsid w:val="00E11EB8"/>
    <w:rsid w:val="00E12977"/>
    <w:rsid w:val="00E14336"/>
    <w:rsid w:val="00E21B99"/>
    <w:rsid w:val="00E243B1"/>
    <w:rsid w:val="00E32AD7"/>
    <w:rsid w:val="00E4419B"/>
    <w:rsid w:val="00E47B1B"/>
    <w:rsid w:val="00E56D5A"/>
    <w:rsid w:val="00E70B87"/>
    <w:rsid w:val="00E72046"/>
    <w:rsid w:val="00E72B53"/>
    <w:rsid w:val="00E73A7A"/>
    <w:rsid w:val="00E74D1F"/>
    <w:rsid w:val="00E75B13"/>
    <w:rsid w:val="00E853CF"/>
    <w:rsid w:val="00E87EA4"/>
    <w:rsid w:val="00E90E24"/>
    <w:rsid w:val="00E9616F"/>
    <w:rsid w:val="00E97055"/>
    <w:rsid w:val="00EA0C9D"/>
    <w:rsid w:val="00EA65A5"/>
    <w:rsid w:val="00EA76AA"/>
    <w:rsid w:val="00EB2A7A"/>
    <w:rsid w:val="00EB4106"/>
    <w:rsid w:val="00EB6204"/>
    <w:rsid w:val="00EC1A56"/>
    <w:rsid w:val="00EC4404"/>
    <w:rsid w:val="00EC4BF0"/>
    <w:rsid w:val="00EC5075"/>
    <w:rsid w:val="00EC540F"/>
    <w:rsid w:val="00ED517E"/>
    <w:rsid w:val="00ED6121"/>
    <w:rsid w:val="00ED6BA1"/>
    <w:rsid w:val="00ED7930"/>
    <w:rsid w:val="00ED7B8F"/>
    <w:rsid w:val="00EE7B99"/>
    <w:rsid w:val="00EF15B1"/>
    <w:rsid w:val="00EF3FA9"/>
    <w:rsid w:val="00EF4FBB"/>
    <w:rsid w:val="00EF547B"/>
    <w:rsid w:val="00EF5DEA"/>
    <w:rsid w:val="00F04077"/>
    <w:rsid w:val="00F06CE6"/>
    <w:rsid w:val="00F12300"/>
    <w:rsid w:val="00F15819"/>
    <w:rsid w:val="00F23EFC"/>
    <w:rsid w:val="00F24EED"/>
    <w:rsid w:val="00F33378"/>
    <w:rsid w:val="00F335B8"/>
    <w:rsid w:val="00F513C8"/>
    <w:rsid w:val="00F560B2"/>
    <w:rsid w:val="00F57C02"/>
    <w:rsid w:val="00F6000B"/>
    <w:rsid w:val="00F64CED"/>
    <w:rsid w:val="00F664C7"/>
    <w:rsid w:val="00F7030E"/>
    <w:rsid w:val="00F722E8"/>
    <w:rsid w:val="00F732AC"/>
    <w:rsid w:val="00F750A2"/>
    <w:rsid w:val="00F85C40"/>
    <w:rsid w:val="00F90C95"/>
    <w:rsid w:val="00F92F60"/>
    <w:rsid w:val="00F9477A"/>
    <w:rsid w:val="00F97641"/>
    <w:rsid w:val="00FA0226"/>
    <w:rsid w:val="00FA21B9"/>
    <w:rsid w:val="00FA6CD2"/>
    <w:rsid w:val="00FA7053"/>
    <w:rsid w:val="00FB0F15"/>
    <w:rsid w:val="00FB422E"/>
    <w:rsid w:val="00FB61CA"/>
    <w:rsid w:val="00FC0FF3"/>
    <w:rsid w:val="00FC3BC6"/>
    <w:rsid w:val="00FE141C"/>
    <w:rsid w:val="00FE23F4"/>
    <w:rsid w:val="00FE31FB"/>
    <w:rsid w:val="00FE576A"/>
    <w:rsid w:val="00FE7DAA"/>
    <w:rsid w:val="00FF1F12"/>
    <w:rsid w:val="00FF39FE"/>
    <w:rsid w:val="00FF4D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18CE66"/>
  <w15:chartTrackingRefBased/>
  <w15:docId w15:val="{40DFC7A7-C8EF-4295-BA09-D24A46F92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34E6"/>
    <w:pPr>
      <w:spacing w:after="0" w:line="240" w:lineRule="auto"/>
    </w:pPr>
    <w:rPr>
      <w:rFonts w:ascii="Times New Roman" w:eastAsia="Times New Roman" w:hAnsi="Times New Roman" w:cs="Times New Roman"/>
      <w:sz w:val="24"/>
      <w:szCs w:val="24"/>
      <w:lang w:eastAsia="en-AU"/>
    </w:rPr>
  </w:style>
  <w:style w:type="paragraph" w:styleId="Heading1">
    <w:name w:val="heading 1"/>
    <w:basedOn w:val="Normal"/>
    <w:next w:val="Normal"/>
    <w:link w:val="Heading1Char"/>
    <w:qFormat/>
    <w:rsid w:val="001A4EBF"/>
    <w:pPr>
      <w:ind w:left="142" w:right="425"/>
      <w:jc w:val="center"/>
      <w:outlineLvl w:val="0"/>
    </w:pPr>
    <w:rPr>
      <w:rFonts w:asciiTheme="minorHAnsi" w:eastAsiaTheme="majorEastAsia" w:hAnsiTheme="minorHAnsi" w:cstheme="minorHAnsi"/>
      <w:b/>
      <w:bCs/>
      <w:color w:val="2E74B5" w:themeColor="accent1" w:themeShade="BF"/>
      <w:sz w:val="28"/>
      <w:szCs w:val="28"/>
    </w:rPr>
  </w:style>
  <w:style w:type="paragraph" w:styleId="Heading2">
    <w:name w:val="heading 2"/>
    <w:basedOn w:val="Normal"/>
    <w:next w:val="Normal"/>
    <w:link w:val="Heading2Char"/>
    <w:uiPriority w:val="9"/>
    <w:unhideWhenUsed/>
    <w:qFormat/>
    <w:rsid w:val="00C36BE6"/>
    <w:pPr>
      <w:spacing w:before="240" w:after="120" w:line="276" w:lineRule="auto"/>
      <w:jc w:val="both"/>
      <w:outlineLvl w:val="1"/>
    </w:pPr>
    <w:rPr>
      <w:rFonts w:asciiTheme="minorHAnsi" w:hAnsiTheme="minorHAnsi" w:cstheme="minorHAnsi"/>
      <w:b/>
      <w:u w:val="single"/>
    </w:rPr>
  </w:style>
  <w:style w:type="paragraph" w:styleId="Heading3">
    <w:name w:val="heading 3"/>
    <w:basedOn w:val="Normal"/>
    <w:next w:val="Normal"/>
    <w:link w:val="Heading3Char"/>
    <w:autoRedefine/>
    <w:uiPriority w:val="9"/>
    <w:unhideWhenUsed/>
    <w:qFormat/>
    <w:rsid w:val="003B1877"/>
    <w:pPr>
      <w:keepNext/>
      <w:spacing w:before="240" w:after="120"/>
      <w:jc w:val="both"/>
      <w:outlineLvl w:val="2"/>
    </w:pPr>
    <w:rPr>
      <w:rFonts w:asciiTheme="minorHAnsi" w:eastAsia="Calibri" w:hAnsiTheme="minorHAnsi" w:cstheme="minorHAnsi"/>
      <w:b/>
      <w:i/>
    </w:rPr>
  </w:style>
  <w:style w:type="paragraph" w:styleId="Heading4">
    <w:name w:val="heading 4"/>
    <w:basedOn w:val="Normal"/>
    <w:next w:val="Normal"/>
    <w:link w:val="Heading4Char"/>
    <w:uiPriority w:val="9"/>
    <w:semiHidden/>
    <w:unhideWhenUsed/>
    <w:qFormat/>
    <w:rsid w:val="00712686"/>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E34E6"/>
    <w:rPr>
      <w:color w:val="0563C1" w:themeColor="hyperlink"/>
      <w:u w:val="single"/>
    </w:rPr>
  </w:style>
  <w:style w:type="character" w:customStyle="1" w:styleId="apple-converted-space">
    <w:name w:val="apple-converted-space"/>
    <w:basedOn w:val="DefaultParagraphFont"/>
    <w:rsid w:val="00AE34E6"/>
  </w:style>
  <w:style w:type="paragraph" w:styleId="Header">
    <w:name w:val="header"/>
    <w:basedOn w:val="Normal"/>
    <w:link w:val="HeaderChar"/>
    <w:rsid w:val="00AE34E6"/>
    <w:pPr>
      <w:tabs>
        <w:tab w:val="center" w:pos="4513"/>
        <w:tab w:val="right" w:pos="9026"/>
      </w:tabs>
    </w:pPr>
  </w:style>
  <w:style w:type="character" w:customStyle="1" w:styleId="HeaderChar">
    <w:name w:val="Header Char"/>
    <w:basedOn w:val="DefaultParagraphFont"/>
    <w:link w:val="Header"/>
    <w:rsid w:val="00AE34E6"/>
    <w:rPr>
      <w:rFonts w:ascii="Times New Roman" w:eastAsia="Times New Roman" w:hAnsi="Times New Roman" w:cs="Times New Roman"/>
      <w:sz w:val="24"/>
      <w:szCs w:val="24"/>
      <w:lang w:eastAsia="en-AU"/>
    </w:rPr>
  </w:style>
  <w:style w:type="paragraph" w:styleId="Footer">
    <w:name w:val="footer"/>
    <w:basedOn w:val="Normal"/>
    <w:link w:val="FooterChar"/>
    <w:uiPriority w:val="99"/>
    <w:rsid w:val="00AE34E6"/>
    <w:pPr>
      <w:tabs>
        <w:tab w:val="center" w:pos="4513"/>
        <w:tab w:val="right" w:pos="9026"/>
      </w:tabs>
    </w:pPr>
  </w:style>
  <w:style w:type="character" w:customStyle="1" w:styleId="FooterChar">
    <w:name w:val="Footer Char"/>
    <w:basedOn w:val="DefaultParagraphFont"/>
    <w:link w:val="Footer"/>
    <w:uiPriority w:val="99"/>
    <w:rsid w:val="00AE34E6"/>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rsid w:val="001A4EBF"/>
    <w:rPr>
      <w:rFonts w:eastAsiaTheme="majorEastAsia" w:cstheme="minorHAnsi"/>
      <w:b/>
      <w:bCs/>
      <w:color w:val="2E74B5" w:themeColor="accent1" w:themeShade="BF"/>
      <w:sz w:val="28"/>
      <w:szCs w:val="28"/>
      <w:lang w:eastAsia="en-AU"/>
    </w:rPr>
  </w:style>
  <w:style w:type="paragraph" w:styleId="BalloonText">
    <w:name w:val="Balloon Text"/>
    <w:basedOn w:val="Normal"/>
    <w:link w:val="BalloonTextChar"/>
    <w:uiPriority w:val="99"/>
    <w:semiHidden/>
    <w:unhideWhenUsed/>
    <w:rsid w:val="00D92A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2ACC"/>
    <w:rPr>
      <w:rFonts w:ascii="Segoe UI" w:eastAsia="Times New Roman" w:hAnsi="Segoe UI" w:cs="Segoe UI"/>
      <w:sz w:val="18"/>
      <w:szCs w:val="18"/>
      <w:lang w:eastAsia="en-AU"/>
    </w:rPr>
  </w:style>
  <w:style w:type="paragraph" w:styleId="CommentText">
    <w:name w:val="annotation text"/>
    <w:basedOn w:val="Normal"/>
    <w:link w:val="CommentTextChar"/>
    <w:uiPriority w:val="99"/>
    <w:unhideWhenUsed/>
    <w:rsid w:val="005A5FC2"/>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5A5FC2"/>
    <w:rPr>
      <w:sz w:val="20"/>
      <w:szCs w:val="20"/>
    </w:rPr>
  </w:style>
  <w:style w:type="paragraph" w:customStyle="1" w:styleId="CM13">
    <w:name w:val="CM13"/>
    <w:basedOn w:val="Normal"/>
    <w:next w:val="Normal"/>
    <w:uiPriority w:val="99"/>
    <w:rsid w:val="00E002A8"/>
    <w:pPr>
      <w:autoSpaceDE w:val="0"/>
      <w:autoSpaceDN w:val="0"/>
      <w:adjustRightInd w:val="0"/>
    </w:pPr>
    <w:rPr>
      <w:rFonts w:ascii="Open Sans Light" w:eastAsiaTheme="minorHAnsi" w:hAnsi="Open Sans Light" w:cstheme="minorBidi"/>
      <w:lang w:eastAsia="en-US"/>
    </w:rPr>
  </w:style>
  <w:style w:type="paragraph" w:styleId="PlainText">
    <w:name w:val="Plain Text"/>
    <w:basedOn w:val="Normal"/>
    <w:link w:val="PlainTextChar"/>
    <w:uiPriority w:val="99"/>
    <w:unhideWhenUsed/>
    <w:rsid w:val="009276C3"/>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9276C3"/>
    <w:rPr>
      <w:rFonts w:ascii="Calibri" w:hAnsi="Calibri" w:cs="Calibri"/>
    </w:rPr>
  </w:style>
  <w:style w:type="paragraph" w:customStyle="1" w:styleId="Default">
    <w:name w:val="Default"/>
    <w:basedOn w:val="Normal"/>
    <w:rsid w:val="009276C3"/>
    <w:pPr>
      <w:autoSpaceDE w:val="0"/>
      <w:autoSpaceDN w:val="0"/>
    </w:pPr>
    <w:rPr>
      <w:rFonts w:eastAsiaTheme="minorHAnsi"/>
      <w:color w:val="000000"/>
      <w:lang w:eastAsia="en-US"/>
    </w:rPr>
  </w:style>
  <w:style w:type="character" w:styleId="CommentReference">
    <w:name w:val="annotation reference"/>
    <w:basedOn w:val="DefaultParagraphFont"/>
    <w:uiPriority w:val="99"/>
    <w:semiHidden/>
    <w:unhideWhenUsed/>
    <w:rsid w:val="00FA6CD2"/>
    <w:rPr>
      <w:sz w:val="16"/>
      <w:szCs w:val="16"/>
    </w:rPr>
  </w:style>
  <w:style w:type="paragraph" w:styleId="CommentSubject">
    <w:name w:val="annotation subject"/>
    <w:basedOn w:val="CommentText"/>
    <w:next w:val="CommentText"/>
    <w:link w:val="CommentSubjectChar"/>
    <w:uiPriority w:val="99"/>
    <w:semiHidden/>
    <w:unhideWhenUsed/>
    <w:rsid w:val="00FA6CD2"/>
    <w:pPr>
      <w:spacing w:after="0"/>
    </w:pPr>
    <w:rPr>
      <w:rFonts w:ascii="Times New Roman" w:eastAsia="Times New Roman" w:hAnsi="Times New Roman" w:cs="Times New Roman"/>
      <w:b/>
      <w:bCs/>
      <w:lang w:eastAsia="en-AU"/>
    </w:rPr>
  </w:style>
  <w:style w:type="character" w:customStyle="1" w:styleId="CommentSubjectChar">
    <w:name w:val="Comment Subject Char"/>
    <w:basedOn w:val="CommentTextChar"/>
    <w:link w:val="CommentSubject"/>
    <w:uiPriority w:val="99"/>
    <w:semiHidden/>
    <w:rsid w:val="00FA6CD2"/>
    <w:rPr>
      <w:rFonts w:ascii="Times New Roman" w:eastAsia="Times New Roman" w:hAnsi="Times New Roman" w:cs="Times New Roman"/>
      <w:b/>
      <w:bCs/>
      <w:sz w:val="20"/>
      <w:szCs w:val="20"/>
      <w:lang w:eastAsia="en-AU"/>
    </w:rPr>
  </w:style>
  <w:style w:type="character" w:customStyle="1" w:styleId="Heading2Char">
    <w:name w:val="Heading 2 Char"/>
    <w:basedOn w:val="DefaultParagraphFont"/>
    <w:link w:val="Heading2"/>
    <w:uiPriority w:val="9"/>
    <w:rsid w:val="00C36BE6"/>
    <w:rPr>
      <w:rFonts w:eastAsia="Times New Roman" w:cstheme="minorHAnsi"/>
      <w:b/>
      <w:sz w:val="24"/>
      <w:szCs w:val="24"/>
      <w:u w:val="single"/>
      <w:lang w:eastAsia="en-AU"/>
    </w:rPr>
  </w:style>
  <w:style w:type="paragraph" w:styleId="NormalWeb">
    <w:name w:val="Normal (Web)"/>
    <w:basedOn w:val="Normal"/>
    <w:uiPriority w:val="99"/>
    <w:unhideWhenUsed/>
    <w:rsid w:val="007A55C6"/>
    <w:pPr>
      <w:spacing w:before="100" w:beforeAutospacing="1" w:after="100" w:afterAutospacing="1"/>
    </w:p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604360"/>
    <w:pPr>
      <w:spacing w:after="200" w:line="276" w:lineRule="auto"/>
      <w:ind w:left="720"/>
      <w:contextualSpacing/>
    </w:pPr>
    <w:rPr>
      <w:rFonts w:ascii="Calibri" w:eastAsiaTheme="minorHAnsi" w:hAnsi="Calibri" w:cs="Calibri"/>
      <w:sz w:val="22"/>
      <w:szCs w:val="22"/>
      <w:lang w:eastAsia="en-US"/>
    </w:rPr>
  </w:style>
  <w:style w:type="character" w:customStyle="1" w:styleId="Heading3Char">
    <w:name w:val="Heading 3 Char"/>
    <w:basedOn w:val="DefaultParagraphFont"/>
    <w:link w:val="Heading3"/>
    <w:uiPriority w:val="9"/>
    <w:rsid w:val="003B1877"/>
    <w:rPr>
      <w:rFonts w:eastAsia="Calibri" w:cstheme="minorHAnsi"/>
      <w:b/>
      <w:i/>
      <w:sz w:val="24"/>
      <w:szCs w:val="24"/>
      <w:lang w:eastAsia="en-AU"/>
    </w:rPr>
  </w:style>
  <w:style w:type="paragraph" w:styleId="NoSpacing">
    <w:name w:val="No Spacing"/>
    <w:link w:val="NoSpacingChar"/>
    <w:uiPriority w:val="1"/>
    <w:qFormat/>
    <w:rsid w:val="00CF381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CF3812"/>
    <w:rPr>
      <w:rFonts w:eastAsiaTheme="minorEastAsia"/>
      <w:lang w:val="en-US"/>
    </w:rPr>
  </w:style>
  <w:style w:type="table" w:styleId="TableGrid">
    <w:name w:val="Table Grid"/>
    <w:basedOn w:val="TableNormal"/>
    <w:uiPriority w:val="39"/>
    <w:rsid w:val="00CB3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CB31B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1Light-Accent1">
    <w:name w:val="List Table 1 Light Accent 1"/>
    <w:basedOn w:val="TableNormal"/>
    <w:uiPriority w:val="46"/>
    <w:rsid w:val="00CB31B1"/>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2-Accent1">
    <w:name w:val="List Table 2 Accent 1"/>
    <w:basedOn w:val="TableNormal"/>
    <w:uiPriority w:val="47"/>
    <w:rsid w:val="00CB31B1"/>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BodyText">
    <w:name w:val="Body Text"/>
    <w:basedOn w:val="Normal"/>
    <w:link w:val="BodyTextChar"/>
    <w:rsid w:val="00BC6BB7"/>
    <w:pPr>
      <w:spacing w:after="120"/>
    </w:pPr>
    <w:rPr>
      <w:sz w:val="20"/>
      <w:szCs w:val="20"/>
      <w:lang w:eastAsia="zh-CN"/>
    </w:rPr>
  </w:style>
  <w:style w:type="character" w:customStyle="1" w:styleId="BodyTextChar">
    <w:name w:val="Body Text Char"/>
    <w:basedOn w:val="DefaultParagraphFont"/>
    <w:link w:val="BodyText"/>
    <w:rsid w:val="00BC6BB7"/>
    <w:rPr>
      <w:rFonts w:ascii="Times New Roman" w:eastAsia="Times New Roman" w:hAnsi="Times New Roman" w:cs="Times New Roman"/>
      <w:sz w:val="20"/>
      <w:szCs w:val="20"/>
      <w:lang w:eastAsia="zh-CN"/>
    </w:rPr>
  </w:style>
  <w:style w:type="paragraph" w:customStyle="1" w:styleId="m-b-0">
    <w:name w:val="m-b-0"/>
    <w:basedOn w:val="Normal"/>
    <w:rsid w:val="00521785"/>
    <w:pPr>
      <w:spacing w:before="100" w:beforeAutospacing="1" w:after="100" w:afterAutospacing="1"/>
    </w:pPr>
  </w:style>
  <w:style w:type="character" w:styleId="FollowedHyperlink">
    <w:name w:val="FollowedHyperlink"/>
    <w:basedOn w:val="DefaultParagraphFont"/>
    <w:uiPriority w:val="99"/>
    <w:semiHidden/>
    <w:unhideWhenUsed/>
    <w:rsid w:val="0026629E"/>
    <w:rPr>
      <w:color w:val="954F72" w:themeColor="followedHyperlink"/>
      <w:u w:val="single"/>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1EB8"/>
    <w:rPr>
      <w:rFonts w:ascii="Calibri" w:hAnsi="Calibri" w:cs="Calibri"/>
    </w:rPr>
  </w:style>
  <w:style w:type="character" w:customStyle="1" w:styleId="Heading4Char">
    <w:name w:val="Heading 4 Char"/>
    <w:basedOn w:val="DefaultParagraphFont"/>
    <w:link w:val="Heading4"/>
    <w:uiPriority w:val="9"/>
    <w:semiHidden/>
    <w:rsid w:val="00712686"/>
    <w:rPr>
      <w:rFonts w:asciiTheme="majorHAnsi" w:eastAsiaTheme="majorEastAsia" w:hAnsiTheme="majorHAnsi" w:cstheme="majorBidi"/>
      <w:i/>
      <w:iCs/>
      <w:color w:val="2E74B5" w:themeColor="accent1" w:themeShade="BF"/>
      <w:sz w:val="24"/>
      <w:szCs w:val="24"/>
      <w:lang w:eastAsia="en-AU"/>
    </w:rPr>
  </w:style>
  <w:style w:type="character" w:styleId="Strong">
    <w:name w:val="Strong"/>
    <w:basedOn w:val="DefaultParagraphFont"/>
    <w:uiPriority w:val="22"/>
    <w:qFormat/>
    <w:rsid w:val="007E282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0966581">
      <w:bodyDiv w:val="1"/>
      <w:marLeft w:val="0"/>
      <w:marRight w:val="0"/>
      <w:marTop w:val="0"/>
      <w:marBottom w:val="0"/>
      <w:divBdr>
        <w:top w:val="none" w:sz="0" w:space="0" w:color="auto"/>
        <w:left w:val="none" w:sz="0" w:space="0" w:color="auto"/>
        <w:bottom w:val="none" w:sz="0" w:space="0" w:color="auto"/>
        <w:right w:val="none" w:sz="0" w:space="0" w:color="auto"/>
      </w:divBdr>
    </w:div>
    <w:div w:id="258217417">
      <w:bodyDiv w:val="1"/>
      <w:marLeft w:val="0"/>
      <w:marRight w:val="0"/>
      <w:marTop w:val="0"/>
      <w:marBottom w:val="0"/>
      <w:divBdr>
        <w:top w:val="none" w:sz="0" w:space="0" w:color="auto"/>
        <w:left w:val="none" w:sz="0" w:space="0" w:color="auto"/>
        <w:bottom w:val="none" w:sz="0" w:space="0" w:color="auto"/>
        <w:right w:val="none" w:sz="0" w:space="0" w:color="auto"/>
      </w:divBdr>
    </w:div>
    <w:div w:id="271322845">
      <w:bodyDiv w:val="1"/>
      <w:marLeft w:val="0"/>
      <w:marRight w:val="0"/>
      <w:marTop w:val="0"/>
      <w:marBottom w:val="0"/>
      <w:divBdr>
        <w:top w:val="none" w:sz="0" w:space="0" w:color="auto"/>
        <w:left w:val="none" w:sz="0" w:space="0" w:color="auto"/>
        <w:bottom w:val="none" w:sz="0" w:space="0" w:color="auto"/>
        <w:right w:val="none" w:sz="0" w:space="0" w:color="auto"/>
      </w:divBdr>
    </w:div>
    <w:div w:id="331488840">
      <w:bodyDiv w:val="1"/>
      <w:marLeft w:val="0"/>
      <w:marRight w:val="0"/>
      <w:marTop w:val="0"/>
      <w:marBottom w:val="0"/>
      <w:divBdr>
        <w:top w:val="none" w:sz="0" w:space="0" w:color="auto"/>
        <w:left w:val="none" w:sz="0" w:space="0" w:color="auto"/>
        <w:bottom w:val="none" w:sz="0" w:space="0" w:color="auto"/>
        <w:right w:val="none" w:sz="0" w:space="0" w:color="auto"/>
      </w:divBdr>
    </w:div>
    <w:div w:id="446890872">
      <w:bodyDiv w:val="1"/>
      <w:marLeft w:val="0"/>
      <w:marRight w:val="0"/>
      <w:marTop w:val="0"/>
      <w:marBottom w:val="0"/>
      <w:divBdr>
        <w:top w:val="none" w:sz="0" w:space="0" w:color="auto"/>
        <w:left w:val="none" w:sz="0" w:space="0" w:color="auto"/>
        <w:bottom w:val="none" w:sz="0" w:space="0" w:color="auto"/>
        <w:right w:val="none" w:sz="0" w:space="0" w:color="auto"/>
      </w:divBdr>
    </w:div>
    <w:div w:id="496193940">
      <w:bodyDiv w:val="1"/>
      <w:marLeft w:val="0"/>
      <w:marRight w:val="0"/>
      <w:marTop w:val="0"/>
      <w:marBottom w:val="0"/>
      <w:divBdr>
        <w:top w:val="none" w:sz="0" w:space="0" w:color="auto"/>
        <w:left w:val="none" w:sz="0" w:space="0" w:color="auto"/>
        <w:bottom w:val="none" w:sz="0" w:space="0" w:color="auto"/>
        <w:right w:val="none" w:sz="0" w:space="0" w:color="auto"/>
      </w:divBdr>
    </w:div>
    <w:div w:id="504516663">
      <w:bodyDiv w:val="1"/>
      <w:marLeft w:val="0"/>
      <w:marRight w:val="0"/>
      <w:marTop w:val="0"/>
      <w:marBottom w:val="0"/>
      <w:divBdr>
        <w:top w:val="none" w:sz="0" w:space="0" w:color="auto"/>
        <w:left w:val="none" w:sz="0" w:space="0" w:color="auto"/>
        <w:bottom w:val="none" w:sz="0" w:space="0" w:color="auto"/>
        <w:right w:val="none" w:sz="0" w:space="0" w:color="auto"/>
      </w:divBdr>
    </w:div>
    <w:div w:id="512955634">
      <w:bodyDiv w:val="1"/>
      <w:marLeft w:val="0"/>
      <w:marRight w:val="0"/>
      <w:marTop w:val="0"/>
      <w:marBottom w:val="0"/>
      <w:divBdr>
        <w:top w:val="none" w:sz="0" w:space="0" w:color="auto"/>
        <w:left w:val="none" w:sz="0" w:space="0" w:color="auto"/>
        <w:bottom w:val="none" w:sz="0" w:space="0" w:color="auto"/>
        <w:right w:val="none" w:sz="0" w:space="0" w:color="auto"/>
      </w:divBdr>
    </w:div>
    <w:div w:id="521435959">
      <w:bodyDiv w:val="1"/>
      <w:marLeft w:val="0"/>
      <w:marRight w:val="0"/>
      <w:marTop w:val="0"/>
      <w:marBottom w:val="0"/>
      <w:divBdr>
        <w:top w:val="none" w:sz="0" w:space="0" w:color="auto"/>
        <w:left w:val="none" w:sz="0" w:space="0" w:color="auto"/>
        <w:bottom w:val="none" w:sz="0" w:space="0" w:color="auto"/>
        <w:right w:val="none" w:sz="0" w:space="0" w:color="auto"/>
      </w:divBdr>
    </w:div>
    <w:div w:id="573975214">
      <w:bodyDiv w:val="1"/>
      <w:marLeft w:val="0"/>
      <w:marRight w:val="0"/>
      <w:marTop w:val="0"/>
      <w:marBottom w:val="0"/>
      <w:divBdr>
        <w:top w:val="none" w:sz="0" w:space="0" w:color="auto"/>
        <w:left w:val="none" w:sz="0" w:space="0" w:color="auto"/>
        <w:bottom w:val="none" w:sz="0" w:space="0" w:color="auto"/>
        <w:right w:val="none" w:sz="0" w:space="0" w:color="auto"/>
      </w:divBdr>
    </w:div>
    <w:div w:id="587345644">
      <w:bodyDiv w:val="1"/>
      <w:marLeft w:val="0"/>
      <w:marRight w:val="0"/>
      <w:marTop w:val="0"/>
      <w:marBottom w:val="0"/>
      <w:divBdr>
        <w:top w:val="none" w:sz="0" w:space="0" w:color="auto"/>
        <w:left w:val="none" w:sz="0" w:space="0" w:color="auto"/>
        <w:bottom w:val="none" w:sz="0" w:space="0" w:color="auto"/>
        <w:right w:val="none" w:sz="0" w:space="0" w:color="auto"/>
      </w:divBdr>
      <w:divsChild>
        <w:div w:id="985623045">
          <w:marLeft w:val="0"/>
          <w:marRight w:val="0"/>
          <w:marTop w:val="225"/>
          <w:marBottom w:val="0"/>
          <w:divBdr>
            <w:top w:val="none" w:sz="0" w:space="0" w:color="auto"/>
            <w:left w:val="none" w:sz="0" w:space="0" w:color="auto"/>
            <w:bottom w:val="none" w:sz="0" w:space="0" w:color="auto"/>
            <w:right w:val="none" w:sz="0" w:space="0" w:color="auto"/>
          </w:divBdr>
          <w:divsChild>
            <w:div w:id="2117403228">
              <w:marLeft w:val="0"/>
              <w:marRight w:val="0"/>
              <w:marTop w:val="0"/>
              <w:marBottom w:val="0"/>
              <w:divBdr>
                <w:top w:val="none" w:sz="0" w:space="0" w:color="auto"/>
                <w:left w:val="none" w:sz="0" w:space="0" w:color="auto"/>
                <w:bottom w:val="none" w:sz="0" w:space="0" w:color="auto"/>
                <w:right w:val="none" w:sz="0" w:space="0" w:color="auto"/>
              </w:divBdr>
            </w:div>
            <w:div w:id="172569935">
              <w:marLeft w:val="0"/>
              <w:marRight w:val="0"/>
              <w:marTop w:val="0"/>
              <w:marBottom w:val="0"/>
              <w:divBdr>
                <w:top w:val="none" w:sz="0" w:space="0" w:color="auto"/>
                <w:left w:val="none" w:sz="0" w:space="0" w:color="auto"/>
                <w:bottom w:val="none" w:sz="0" w:space="0" w:color="auto"/>
                <w:right w:val="none" w:sz="0" w:space="0" w:color="auto"/>
              </w:divBdr>
            </w:div>
          </w:divsChild>
        </w:div>
        <w:div w:id="363411800">
          <w:marLeft w:val="0"/>
          <w:marRight w:val="0"/>
          <w:marTop w:val="225"/>
          <w:marBottom w:val="0"/>
          <w:divBdr>
            <w:top w:val="none" w:sz="0" w:space="0" w:color="auto"/>
            <w:left w:val="none" w:sz="0" w:space="0" w:color="auto"/>
            <w:bottom w:val="none" w:sz="0" w:space="0" w:color="auto"/>
            <w:right w:val="none" w:sz="0" w:space="0" w:color="auto"/>
          </w:divBdr>
          <w:divsChild>
            <w:div w:id="1677154716">
              <w:marLeft w:val="0"/>
              <w:marRight w:val="0"/>
              <w:marTop w:val="0"/>
              <w:marBottom w:val="0"/>
              <w:divBdr>
                <w:top w:val="none" w:sz="0" w:space="0" w:color="auto"/>
                <w:left w:val="none" w:sz="0" w:space="0" w:color="auto"/>
                <w:bottom w:val="none" w:sz="0" w:space="0" w:color="auto"/>
                <w:right w:val="none" w:sz="0" w:space="0" w:color="auto"/>
              </w:divBdr>
            </w:div>
            <w:div w:id="1549100737">
              <w:marLeft w:val="0"/>
              <w:marRight w:val="0"/>
              <w:marTop w:val="0"/>
              <w:marBottom w:val="0"/>
              <w:divBdr>
                <w:top w:val="none" w:sz="0" w:space="0" w:color="auto"/>
                <w:left w:val="none" w:sz="0" w:space="0" w:color="auto"/>
                <w:bottom w:val="none" w:sz="0" w:space="0" w:color="auto"/>
                <w:right w:val="none" w:sz="0" w:space="0" w:color="auto"/>
              </w:divBdr>
            </w:div>
          </w:divsChild>
        </w:div>
        <w:div w:id="1324360265">
          <w:marLeft w:val="0"/>
          <w:marRight w:val="0"/>
          <w:marTop w:val="225"/>
          <w:marBottom w:val="0"/>
          <w:divBdr>
            <w:top w:val="none" w:sz="0" w:space="0" w:color="auto"/>
            <w:left w:val="none" w:sz="0" w:space="0" w:color="auto"/>
            <w:bottom w:val="none" w:sz="0" w:space="0" w:color="auto"/>
            <w:right w:val="none" w:sz="0" w:space="0" w:color="auto"/>
          </w:divBdr>
          <w:divsChild>
            <w:div w:id="2084328724">
              <w:marLeft w:val="0"/>
              <w:marRight w:val="0"/>
              <w:marTop w:val="0"/>
              <w:marBottom w:val="0"/>
              <w:divBdr>
                <w:top w:val="none" w:sz="0" w:space="0" w:color="auto"/>
                <w:left w:val="none" w:sz="0" w:space="0" w:color="auto"/>
                <w:bottom w:val="none" w:sz="0" w:space="0" w:color="auto"/>
                <w:right w:val="none" w:sz="0" w:space="0" w:color="auto"/>
              </w:divBdr>
            </w:div>
            <w:div w:id="2105765511">
              <w:marLeft w:val="0"/>
              <w:marRight w:val="0"/>
              <w:marTop w:val="0"/>
              <w:marBottom w:val="0"/>
              <w:divBdr>
                <w:top w:val="none" w:sz="0" w:space="0" w:color="auto"/>
                <w:left w:val="none" w:sz="0" w:space="0" w:color="auto"/>
                <w:bottom w:val="none" w:sz="0" w:space="0" w:color="auto"/>
                <w:right w:val="none" w:sz="0" w:space="0" w:color="auto"/>
              </w:divBdr>
            </w:div>
          </w:divsChild>
        </w:div>
        <w:div w:id="1753817021">
          <w:marLeft w:val="0"/>
          <w:marRight w:val="0"/>
          <w:marTop w:val="225"/>
          <w:marBottom w:val="0"/>
          <w:divBdr>
            <w:top w:val="none" w:sz="0" w:space="0" w:color="auto"/>
            <w:left w:val="none" w:sz="0" w:space="0" w:color="auto"/>
            <w:bottom w:val="none" w:sz="0" w:space="0" w:color="auto"/>
            <w:right w:val="none" w:sz="0" w:space="0" w:color="auto"/>
          </w:divBdr>
          <w:divsChild>
            <w:div w:id="1689214177">
              <w:marLeft w:val="0"/>
              <w:marRight w:val="0"/>
              <w:marTop w:val="0"/>
              <w:marBottom w:val="0"/>
              <w:divBdr>
                <w:top w:val="none" w:sz="0" w:space="0" w:color="auto"/>
                <w:left w:val="none" w:sz="0" w:space="0" w:color="auto"/>
                <w:bottom w:val="none" w:sz="0" w:space="0" w:color="auto"/>
                <w:right w:val="none" w:sz="0" w:space="0" w:color="auto"/>
              </w:divBdr>
            </w:div>
            <w:div w:id="149599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513759">
      <w:bodyDiv w:val="1"/>
      <w:marLeft w:val="0"/>
      <w:marRight w:val="0"/>
      <w:marTop w:val="0"/>
      <w:marBottom w:val="0"/>
      <w:divBdr>
        <w:top w:val="none" w:sz="0" w:space="0" w:color="auto"/>
        <w:left w:val="none" w:sz="0" w:space="0" w:color="auto"/>
        <w:bottom w:val="none" w:sz="0" w:space="0" w:color="auto"/>
        <w:right w:val="none" w:sz="0" w:space="0" w:color="auto"/>
      </w:divBdr>
      <w:divsChild>
        <w:div w:id="717703791">
          <w:marLeft w:val="0"/>
          <w:marRight w:val="0"/>
          <w:marTop w:val="0"/>
          <w:marBottom w:val="0"/>
          <w:divBdr>
            <w:top w:val="none" w:sz="0" w:space="0" w:color="auto"/>
            <w:left w:val="none" w:sz="0" w:space="0" w:color="auto"/>
            <w:bottom w:val="none" w:sz="0" w:space="0" w:color="auto"/>
            <w:right w:val="none" w:sz="0" w:space="0" w:color="auto"/>
          </w:divBdr>
        </w:div>
      </w:divsChild>
    </w:div>
    <w:div w:id="675574751">
      <w:bodyDiv w:val="1"/>
      <w:marLeft w:val="0"/>
      <w:marRight w:val="0"/>
      <w:marTop w:val="0"/>
      <w:marBottom w:val="0"/>
      <w:divBdr>
        <w:top w:val="none" w:sz="0" w:space="0" w:color="auto"/>
        <w:left w:val="none" w:sz="0" w:space="0" w:color="auto"/>
        <w:bottom w:val="none" w:sz="0" w:space="0" w:color="auto"/>
        <w:right w:val="none" w:sz="0" w:space="0" w:color="auto"/>
      </w:divBdr>
    </w:div>
    <w:div w:id="746683495">
      <w:bodyDiv w:val="1"/>
      <w:marLeft w:val="0"/>
      <w:marRight w:val="0"/>
      <w:marTop w:val="0"/>
      <w:marBottom w:val="0"/>
      <w:divBdr>
        <w:top w:val="none" w:sz="0" w:space="0" w:color="auto"/>
        <w:left w:val="none" w:sz="0" w:space="0" w:color="auto"/>
        <w:bottom w:val="none" w:sz="0" w:space="0" w:color="auto"/>
        <w:right w:val="none" w:sz="0" w:space="0" w:color="auto"/>
      </w:divBdr>
    </w:div>
    <w:div w:id="765151175">
      <w:bodyDiv w:val="1"/>
      <w:marLeft w:val="0"/>
      <w:marRight w:val="0"/>
      <w:marTop w:val="0"/>
      <w:marBottom w:val="0"/>
      <w:divBdr>
        <w:top w:val="none" w:sz="0" w:space="0" w:color="auto"/>
        <w:left w:val="none" w:sz="0" w:space="0" w:color="auto"/>
        <w:bottom w:val="none" w:sz="0" w:space="0" w:color="auto"/>
        <w:right w:val="none" w:sz="0" w:space="0" w:color="auto"/>
      </w:divBdr>
    </w:div>
    <w:div w:id="784035976">
      <w:bodyDiv w:val="1"/>
      <w:marLeft w:val="0"/>
      <w:marRight w:val="0"/>
      <w:marTop w:val="0"/>
      <w:marBottom w:val="0"/>
      <w:divBdr>
        <w:top w:val="none" w:sz="0" w:space="0" w:color="auto"/>
        <w:left w:val="none" w:sz="0" w:space="0" w:color="auto"/>
        <w:bottom w:val="none" w:sz="0" w:space="0" w:color="auto"/>
        <w:right w:val="none" w:sz="0" w:space="0" w:color="auto"/>
      </w:divBdr>
    </w:div>
    <w:div w:id="798378837">
      <w:bodyDiv w:val="1"/>
      <w:marLeft w:val="0"/>
      <w:marRight w:val="0"/>
      <w:marTop w:val="0"/>
      <w:marBottom w:val="0"/>
      <w:divBdr>
        <w:top w:val="none" w:sz="0" w:space="0" w:color="auto"/>
        <w:left w:val="none" w:sz="0" w:space="0" w:color="auto"/>
        <w:bottom w:val="none" w:sz="0" w:space="0" w:color="auto"/>
        <w:right w:val="none" w:sz="0" w:space="0" w:color="auto"/>
      </w:divBdr>
    </w:div>
    <w:div w:id="810247375">
      <w:bodyDiv w:val="1"/>
      <w:marLeft w:val="0"/>
      <w:marRight w:val="0"/>
      <w:marTop w:val="0"/>
      <w:marBottom w:val="0"/>
      <w:divBdr>
        <w:top w:val="none" w:sz="0" w:space="0" w:color="auto"/>
        <w:left w:val="none" w:sz="0" w:space="0" w:color="auto"/>
        <w:bottom w:val="none" w:sz="0" w:space="0" w:color="auto"/>
        <w:right w:val="none" w:sz="0" w:space="0" w:color="auto"/>
      </w:divBdr>
    </w:div>
    <w:div w:id="871191342">
      <w:bodyDiv w:val="1"/>
      <w:marLeft w:val="0"/>
      <w:marRight w:val="0"/>
      <w:marTop w:val="0"/>
      <w:marBottom w:val="0"/>
      <w:divBdr>
        <w:top w:val="none" w:sz="0" w:space="0" w:color="auto"/>
        <w:left w:val="none" w:sz="0" w:space="0" w:color="auto"/>
        <w:bottom w:val="none" w:sz="0" w:space="0" w:color="auto"/>
        <w:right w:val="none" w:sz="0" w:space="0" w:color="auto"/>
      </w:divBdr>
    </w:div>
    <w:div w:id="945892414">
      <w:bodyDiv w:val="1"/>
      <w:marLeft w:val="0"/>
      <w:marRight w:val="0"/>
      <w:marTop w:val="0"/>
      <w:marBottom w:val="0"/>
      <w:divBdr>
        <w:top w:val="none" w:sz="0" w:space="0" w:color="auto"/>
        <w:left w:val="none" w:sz="0" w:space="0" w:color="auto"/>
        <w:bottom w:val="none" w:sz="0" w:space="0" w:color="auto"/>
        <w:right w:val="none" w:sz="0" w:space="0" w:color="auto"/>
      </w:divBdr>
    </w:div>
    <w:div w:id="1035616700">
      <w:bodyDiv w:val="1"/>
      <w:marLeft w:val="0"/>
      <w:marRight w:val="0"/>
      <w:marTop w:val="0"/>
      <w:marBottom w:val="0"/>
      <w:divBdr>
        <w:top w:val="none" w:sz="0" w:space="0" w:color="auto"/>
        <w:left w:val="none" w:sz="0" w:space="0" w:color="auto"/>
        <w:bottom w:val="none" w:sz="0" w:space="0" w:color="auto"/>
        <w:right w:val="none" w:sz="0" w:space="0" w:color="auto"/>
      </w:divBdr>
    </w:div>
    <w:div w:id="1037393321">
      <w:bodyDiv w:val="1"/>
      <w:marLeft w:val="0"/>
      <w:marRight w:val="0"/>
      <w:marTop w:val="0"/>
      <w:marBottom w:val="0"/>
      <w:divBdr>
        <w:top w:val="none" w:sz="0" w:space="0" w:color="auto"/>
        <w:left w:val="none" w:sz="0" w:space="0" w:color="auto"/>
        <w:bottom w:val="none" w:sz="0" w:space="0" w:color="auto"/>
        <w:right w:val="none" w:sz="0" w:space="0" w:color="auto"/>
      </w:divBdr>
    </w:div>
    <w:div w:id="1049958568">
      <w:bodyDiv w:val="1"/>
      <w:marLeft w:val="0"/>
      <w:marRight w:val="0"/>
      <w:marTop w:val="0"/>
      <w:marBottom w:val="0"/>
      <w:divBdr>
        <w:top w:val="none" w:sz="0" w:space="0" w:color="auto"/>
        <w:left w:val="none" w:sz="0" w:space="0" w:color="auto"/>
        <w:bottom w:val="none" w:sz="0" w:space="0" w:color="auto"/>
        <w:right w:val="none" w:sz="0" w:space="0" w:color="auto"/>
      </w:divBdr>
    </w:div>
    <w:div w:id="1180969746">
      <w:bodyDiv w:val="1"/>
      <w:marLeft w:val="0"/>
      <w:marRight w:val="0"/>
      <w:marTop w:val="0"/>
      <w:marBottom w:val="0"/>
      <w:divBdr>
        <w:top w:val="none" w:sz="0" w:space="0" w:color="auto"/>
        <w:left w:val="none" w:sz="0" w:space="0" w:color="auto"/>
        <w:bottom w:val="none" w:sz="0" w:space="0" w:color="auto"/>
        <w:right w:val="none" w:sz="0" w:space="0" w:color="auto"/>
      </w:divBdr>
    </w:div>
    <w:div w:id="1276714142">
      <w:bodyDiv w:val="1"/>
      <w:marLeft w:val="0"/>
      <w:marRight w:val="0"/>
      <w:marTop w:val="0"/>
      <w:marBottom w:val="0"/>
      <w:divBdr>
        <w:top w:val="none" w:sz="0" w:space="0" w:color="auto"/>
        <w:left w:val="none" w:sz="0" w:space="0" w:color="auto"/>
        <w:bottom w:val="none" w:sz="0" w:space="0" w:color="auto"/>
        <w:right w:val="none" w:sz="0" w:space="0" w:color="auto"/>
      </w:divBdr>
      <w:divsChild>
        <w:div w:id="1312292902">
          <w:marLeft w:val="0"/>
          <w:marRight w:val="0"/>
          <w:marTop w:val="0"/>
          <w:marBottom w:val="0"/>
          <w:divBdr>
            <w:top w:val="none" w:sz="0" w:space="0" w:color="auto"/>
            <w:left w:val="none" w:sz="0" w:space="0" w:color="auto"/>
            <w:bottom w:val="none" w:sz="0" w:space="0" w:color="auto"/>
            <w:right w:val="none" w:sz="0" w:space="0" w:color="auto"/>
          </w:divBdr>
        </w:div>
      </w:divsChild>
    </w:div>
    <w:div w:id="1291588971">
      <w:bodyDiv w:val="1"/>
      <w:marLeft w:val="0"/>
      <w:marRight w:val="0"/>
      <w:marTop w:val="0"/>
      <w:marBottom w:val="0"/>
      <w:divBdr>
        <w:top w:val="none" w:sz="0" w:space="0" w:color="auto"/>
        <w:left w:val="none" w:sz="0" w:space="0" w:color="auto"/>
        <w:bottom w:val="none" w:sz="0" w:space="0" w:color="auto"/>
        <w:right w:val="none" w:sz="0" w:space="0" w:color="auto"/>
      </w:divBdr>
    </w:div>
    <w:div w:id="1382634375">
      <w:bodyDiv w:val="1"/>
      <w:marLeft w:val="0"/>
      <w:marRight w:val="0"/>
      <w:marTop w:val="0"/>
      <w:marBottom w:val="0"/>
      <w:divBdr>
        <w:top w:val="none" w:sz="0" w:space="0" w:color="auto"/>
        <w:left w:val="none" w:sz="0" w:space="0" w:color="auto"/>
        <w:bottom w:val="none" w:sz="0" w:space="0" w:color="auto"/>
        <w:right w:val="none" w:sz="0" w:space="0" w:color="auto"/>
      </w:divBdr>
    </w:div>
    <w:div w:id="1399589974">
      <w:bodyDiv w:val="1"/>
      <w:marLeft w:val="0"/>
      <w:marRight w:val="0"/>
      <w:marTop w:val="0"/>
      <w:marBottom w:val="0"/>
      <w:divBdr>
        <w:top w:val="none" w:sz="0" w:space="0" w:color="auto"/>
        <w:left w:val="none" w:sz="0" w:space="0" w:color="auto"/>
        <w:bottom w:val="none" w:sz="0" w:space="0" w:color="auto"/>
        <w:right w:val="none" w:sz="0" w:space="0" w:color="auto"/>
      </w:divBdr>
    </w:div>
    <w:div w:id="1459446597">
      <w:bodyDiv w:val="1"/>
      <w:marLeft w:val="0"/>
      <w:marRight w:val="0"/>
      <w:marTop w:val="0"/>
      <w:marBottom w:val="0"/>
      <w:divBdr>
        <w:top w:val="none" w:sz="0" w:space="0" w:color="auto"/>
        <w:left w:val="none" w:sz="0" w:space="0" w:color="auto"/>
        <w:bottom w:val="none" w:sz="0" w:space="0" w:color="auto"/>
        <w:right w:val="none" w:sz="0" w:space="0" w:color="auto"/>
      </w:divBdr>
    </w:div>
    <w:div w:id="1515270282">
      <w:bodyDiv w:val="1"/>
      <w:marLeft w:val="0"/>
      <w:marRight w:val="0"/>
      <w:marTop w:val="0"/>
      <w:marBottom w:val="0"/>
      <w:divBdr>
        <w:top w:val="none" w:sz="0" w:space="0" w:color="auto"/>
        <w:left w:val="none" w:sz="0" w:space="0" w:color="auto"/>
        <w:bottom w:val="none" w:sz="0" w:space="0" w:color="auto"/>
        <w:right w:val="none" w:sz="0" w:space="0" w:color="auto"/>
      </w:divBdr>
    </w:div>
    <w:div w:id="1598515826">
      <w:bodyDiv w:val="1"/>
      <w:marLeft w:val="0"/>
      <w:marRight w:val="0"/>
      <w:marTop w:val="0"/>
      <w:marBottom w:val="0"/>
      <w:divBdr>
        <w:top w:val="none" w:sz="0" w:space="0" w:color="auto"/>
        <w:left w:val="none" w:sz="0" w:space="0" w:color="auto"/>
        <w:bottom w:val="none" w:sz="0" w:space="0" w:color="auto"/>
        <w:right w:val="none" w:sz="0" w:space="0" w:color="auto"/>
      </w:divBdr>
    </w:div>
    <w:div w:id="1653679549">
      <w:bodyDiv w:val="1"/>
      <w:marLeft w:val="0"/>
      <w:marRight w:val="0"/>
      <w:marTop w:val="0"/>
      <w:marBottom w:val="0"/>
      <w:divBdr>
        <w:top w:val="none" w:sz="0" w:space="0" w:color="auto"/>
        <w:left w:val="none" w:sz="0" w:space="0" w:color="auto"/>
        <w:bottom w:val="none" w:sz="0" w:space="0" w:color="auto"/>
        <w:right w:val="none" w:sz="0" w:space="0" w:color="auto"/>
      </w:divBdr>
    </w:div>
    <w:div w:id="1666930569">
      <w:bodyDiv w:val="1"/>
      <w:marLeft w:val="0"/>
      <w:marRight w:val="0"/>
      <w:marTop w:val="0"/>
      <w:marBottom w:val="0"/>
      <w:divBdr>
        <w:top w:val="none" w:sz="0" w:space="0" w:color="auto"/>
        <w:left w:val="none" w:sz="0" w:space="0" w:color="auto"/>
        <w:bottom w:val="none" w:sz="0" w:space="0" w:color="auto"/>
        <w:right w:val="none" w:sz="0" w:space="0" w:color="auto"/>
      </w:divBdr>
    </w:div>
    <w:div w:id="1687562323">
      <w:bodyDiv w:val="1"/>
      <w:marLeft w:val="0"/>
      <w:marRight w:val="0"/>
      <w:marTop w:val="0"/>
      <w:marBottom w:val="0"/>
      <w:divBdr>
        <w:top w:val="none" w:sz="0" w:space="0" w:color="auto"/>
        <w:left w:val="none" w:sz="0" w:space="0" w:color="auto"/>
        <w:bottom w:val="none" w:sz="0" w:space="0" w:color="auto"/>
        <w:right w:val="none" w:sz="0" w:space="0" w:color="auto"/>
      </w:divBdr>
    </w:div>
    <w:div w:id="1816335889">
      <w:bodyDiv w:val="1"/>
      <w:marLeft w:val="0"/>
      <w:marRight w:val="0"/>
      <w:marTop w:val="0"/>
      <w:marBottom w:val="0"/>
      <w:divBdr>
        <w:top w:val="none" w:sz="0" w:space="0" w:color="auto"/>
        <w:left w:val="none" w:sz="0" w:space="0" w:color="auto"/>
        <w:bottom w:val="none" w:sz="0" w:space="0" w:color="auto"/>
        <w:right w:val="none" w:sz="0" w:space="0" w:color="auto"/>
      </w:divBdr>
    </w:div>
    <w:div w:id="1901091509">
      <w:bodyDiv w:val="1"/>
      <w:marLeft w:val="0"/>
      <w:marRight w:val="0"/>
      <w:marTop w:val="0"/>
      <w:marBottom w:val="0"/>
      <w:divBdr>
        <w:top w:val="none" w:sz="0" w:space="0" w:color="auto"/>
        <w:left w:val="none" w:sz="0" w:space="0" w:color="auto"/>
        <w:bottom w:val="none" w:sz="0" w:space="0" w:color="auto"/>
        <w:right w:val="none" w:sz="0" w:space="0" w:color="auto"/>
      </w:divBdr>
    </w:div>
    <w:div w:id="1913351114">
      <w:bodyDiv w:val="1"/>
      <w:marLeft w:val="0"/>
      <w:marRight w:val="0"/>
      <w:marTop w:val="0"/>
      <w:marBottom w:val="0"/>
      <w:divBdr>
        <w:top w:val="none" w:sz="0" w:space="0" w:color="auto"/>
        <w:left w:val="none" w:sz="0" w:space="0" w:color="auto"/>
        <w:bottom w:val="none" w:sz="0" w:space="0" w:color="auto"/>
        <w:right w:val="none" w:sz="0" w:space="0" w:color="auto"/>
      </w:divBdr>
    </w:div>
    <w:div w:id="2083792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ederalcircuitcourt.gov.au/wps/wcm/connect/fccweb/court-reform/merger-news-all" TargetMode="External"/><Relationship Id="rId13" Type="http://schemas.openxmlformats.org/officeDocument/2006/relationships/hyperlink" Target="http://www.federalcircuitcourt.gov.au/wps/wcm/connect/fccweb/reports-and-publications/media-releases/2021/mr300721"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familycourt.gov.au/wps/wcm/connect/fcoaweb/reports-and-publications/media-releases/2021/mr300721"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denise.healy@familycourt.gov.a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ederalcircuitcourt.gov.au/wps/wcm/connect/fccweb/family-law-matters/family-violence/lighthouse-project/lighthouse-news" TargetMode="External"/><Relationship Id="rId5" Type="http://schemas.openxmlformats.org/officeDocument/2006/relationships/webSettings" Target="webSettings.xml"/><Relationship Id="rId15" Type="http://schemas.openxmlformats.org/officeDocument/2006/relationships/hyperlink" Target="http://www.federalcircuitcourt.gov.au/wps/wcm/connect/fccweb/court-lists-and-circuits/subscribe/" TargetMode="External"/><Relationship Id="rId10" Type="http://schemas.openxmlformats.org/officeDocument/2006/relationships/hyperlink" Target="http://www.federalcircuitcourt.gov.au/wps/wcm/connect/fccweb/family-law-matters/family-violence/lighthouse-project/lighthouse-project"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familycourt.gov.au/wps/wcm/connect/fcoaweb/reports-and-publications/media-releases/2021/mr300721" TargetMode="External"/><Relationship Id="rId14" Type="http://schemas.openxmlformats.org/officeDocument/2006/relationships/hyperlink" Target="http://www.familycourt.gov.au/wps/wcm/connect/fcoaweb/court-lists-and-circuits/subscrib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1FF84E-C95E-4AC3-9B9A-7EF2DC2C9D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2191</Words>
  <Characters>11659</Characters>
  <Application>Microsoft Office Word</Application>
  <DocSecurity>0</DocSecurity>
  <Lines>228</Lines>
  <Paragraphs>166</Paragraphs>
  <ScaleCrop>false</ScaleCrop>
  <HeadingPairs>
    <vt:vector size="2" baseType="variant">
      <vt:variant>
        <vt:lpstr>Title</vt:lpstr>
      </vt:variant>
      <vt:variant>
        <vt:i4>1</vt:i4>
      </vt:variant>
    </vt:vector>
  </HeadingPairs>
  <TitlesOfParts>
    <vt:vector size="1" baseType="lpstr">
      <vt:lpstr>Update to the profession (No. 3): Commencement of the new Federal Circuit and Family Court of Australia</vt:lpstr>
    </vt:vector>
  </TitlesOfParts>
  <Company>Federal Court of Australia</Company>
  <LinksUpToDate>false</LinksUpToDate>
  <CharactersWithSpaces>13684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Update to the profession (No. 3): Commencement of the new Federal Circuit and Family Court of Australia</dc:title>
  <dc:subject/>
  <dc:creator>Family Court of Australia;Federal Circuit Court of Australia</dc:creator>
  <cp:keywords/>
  <dc:description/>
  <cp:lastModifiedBy>Christine Tuff</cp:lastModifiedBy>
  <cp:revision>2</cp:revision>
  <cp:lastPrinted>2021-05-13T05:35:00Z</cp:lastPrinted>
  <dcterms:created xsi:type="dcterms:W3CDTF">2021-08-16T01:00:00Z</dcterms:created>
  <dcterms:modified xsi:type="dcterms:W3CDTF">2021-08-16T01:00:00Z</dcterms:modified>
</cp:coreProperties>
</file>