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3A5191" w14:textId="2295F718" w:rsidR="00E11EB8" w:rsidRPr="00B74497" w:rsidRDefault="00AB7BFC" w:rsidP="006E41BF">
      <w:pPr>
        <w:pStyle w:val="Heading1"/>
        <w:spacing w:before="480" w:after="360"/>
        <w:rPr>
          <w:noProof/>
          <w:sz w:val="32"/>
          <w:szCs w:val="32"/>
        </w:rPr>
      </w:pPr>
      <w:r w:rsidRPr="00B74497">
        <w:rPr>
          <w:noProof/>
          <w:sz w:val="32"/>
          <w:szCs w:val="32"/>
        </w:rPr>
        <mc:AlternateContent>
          <mc:Choice Requires="wps">
            <w:drawing>
              <wp:anchor distT="0" distB="0" distL="114300" distR="114300" simplePos="0" relativeHeight="251659264" behindDoc="0" locked="0" layoutInCell="0" allowOverlap="1" wp14:anchorId="6B9917E8" wp14:editId="6B371C69">
                <wp:simplePos x="0" y="0"/>
                <wp:positionH relativeFrom="margin">
                  <wp:posOffset>3068620</wp:posOffset>
                </wp:positionH>
                <wp:positionV relativeFrom="line">
                  <wp:posOffset>-180711</wp:posOffset>
                </wp:positionV>
                <wp:extent cx="2865755" cy="266400"/>
                <wp:effectExtent l="0" t="0" r="10795" b="196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5755" cy="266400"/>
                        </a:xfrm>
                        <a:prstGeom prst="rect">
                          <a:avLst/>
                        </a:prstGeom>
                        <a:solidFill>
                          <a:schemeClr val="bg1">
                            <a:lumMod val="85000"/>
                          </a:schemeClr>
                        </a:solidFill>
                        <a:ln w="9525">
                          <a:solidFill>
                            <a:schemeClr val="bg1">
                              <a:lumMod val="85000"/>
                            </a:schemeClr>
                          </a:solidFill>
                          <a:miter lim="800000"/>
                          <a:headEnd/>
                          <a:tailEnd/>
                        </a:ln>
                      </wps:spPr>
                      <wps:txbx>
                        <w:txbxContent>
                          <w:p w14:paraId="5A2D9093" w14:textId="3401B54C" w:rsidR="00AB7BFC" w:rsidRPr="001A4EBF" w:rsidRDefault="00F722E8"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6</w:t>
                            </w:r>
                            <w:r w:rsidR="008D3E29">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wps:txbx>
                      <wps:bodyPr rot="0" vert="horz" wrap="square" lIns="72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917E8" id="_x0000_t202" coordsize="21600,21600" o:spt="202" path="m,l,21600r21600,l21600,xe">
                <v:stroke joinstyle="miter"/>
                <v:path gradientshapeok="t" o:connecttype="rect"/>
              </v:shapetype>
              <v:shape id="Text Box 3" o:spid="_x0000_s1026" type="#_x0000_t202" style="position:absolute;left:0;text-align:left;margin-left:241.6pt;margin-top:-14.25pt;width:225.65pt;height:2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" o:allowincell="f" fillcolor="#d8d8d8 [2732]" strokecolor="#d8d8d8 [2732]">
                <v:textbox inset="2mm,0,0,0">
                  <w:txbxContent>
                    <w:p w14:paraId="5A2D9093" w14:textId="3401B54C" w:rsidR="00AB7BFC" w:rsidRPr="001A4EBF" w:rsidRDefault="00F722E8"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6</w:t>
                      </w:r>
                      <w:r w:rsidR="008D3E29">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v:textbox>
                <w10:wrap anchorx="margin" anchory="line"/>
              </v:shape>
            </w:pict>
          </mc:Fallback>
        </mc:AlternateContent>
      </w:r>
      <w:r w:rsidR="008D3E29">
        <w:rPr>
          <w:noProof/>
          <w:sz w:val="32"/>
          <w:szCs w:val="32"/>
        </w:rPr>
        <w:t xml:space="preserve">Update to the </w:t>
      </w:r>
      <w:r w:rsidR="00410658">
        <w:rPr>
          <w:noProof/>
          <w:sz w:val="32"/>
          <w:szCs w:val="32"/>
        </w:rPr>
        <w:t xml:space="preserve">family law </w:t>
      </w:r>
      <w:r w:rsidR="008D3E29">
        <w:rPr>
          <w:noProof/>
          <w:sz w:val="32"/>
          <w:szCs w:val="32"/>
        </w:rPr>
        <w:t>profession: C</w:t>
      </w:r>
      <w:r w:rsidR="00130971" w:rsidRPr="00B74497">
        <w:rPr>
          <w:noProof/>
          <w:sz w:val="32"/>
          <w:szCs w:val="32"/>
        </w:rPr>
        <w:t xml:space="preserve">ommencement of </w:t>
      </w:r>
      <w:r w:rsidR="00A24696" w:rsidRPr="00B74497">
        <w:rPr>
          <w:noProof/>
          <w:sz w:val="32"/>
          <w:szCs w:val="32"/>
        </w:rPr>
        <w:t xml:space="preserve">the </w:t>
      </w:r>
      <w:r w:rsidR="00130971" w:rsidRPr="00B74497">
        <w:rPr>
          <w:noProof/>
          <w:sz w:val="32"/>
          <w:szCs w:val="32"/>
        </w:rPr>
        <w:t xml:space="preserve">new </w:t>
      </w:r>
      <w:bookmarkStart w:id="0" w:name="_GoBack"/>
      <w:bookmarkEnd w:id="0"/>
      <w:r w:rsidR="00A24696" w:rsidRPr="00B74497">
        <w:rPr>
          <w:noProof/>
          <w:sz w:val="32"/>
          <w:szCs w:val="32"/>
        </w:rPr>
        <w:t>Federal Circuit and Family Court of Austra</w:t>
      </w:r>
      <w:r w:rsidR="00B74497" w:rsidRPr="00B74497">
        <w:rPr>
          <w:noProof/>
          <w:sz w:val="32"/>
          <w:szCs w:val="32"/>
        </w:rPr>
        <w:t>l</w:t>
      </w:r>
      <w:r w:rsidR="00A24696" w:rsidRPr="00B74497">
        <w:rPr>
          <w:noProof/>
          <w:sz w:val="32"/>
          <w:szCs w:val="32"/>
        </w:rPr>
        <w:t>ia</w:t>
      </w:r>
    </w:p>
    <w:p w14:paraId="2618C2A6" w14:textId="77777777" w:rsidR="00AA2859" w:rsidRDefault="00A64E0D" w:rsidP="002A112A">
      <w:pPr>
        <w:spacing w:before="240"/>
        <w:rPr>
          <w:rFonts w:asciiTheme="minorHAnsi" w:hAnsiTheme="minorHAnsi" w:cstheme="minorHAnsi"/>
          <w:bCs/>
          <w:sz w:val="22"/>
          <w:szCs w:val="22"/>
        </w:rPr>
      </w:pPr>
      <w:r>
        <w:rPr>
          <w:rFonts w:asciiTheme="minorHAnsi" w:hAnsiTheme="minorHAnsi" w:cstheme="minorHAnsi"/>
          <w:bCs/>
          <w:sz w:val="22"/>
          <w:szCs w:val="22"/>
        </w:rPr>
        <w:t xml:space="preserve">The Family Court of Australia and Federal Circuit Court of Australia released </w:t>
      </w:r>
      <w:hyperlink r:id="rId8" w:history="1">
        <w:r w:rsidRPr="00A64E0D">
          <w:rPr>
            <w:rStyle w:val="Hyperlink"/>
            <w:rFonts w:asciiTheme="minorHAnsi" w:hAnsiTheme="minorHAnsi" w:cstheme="minorHAnsi"/>
            <w:bCs/>
            <w:sz w:val="22"/>
            <w:szCs w:val="22"/>
          </w:rPr>
          <w:t>information</w:t>
        </w:r>
      </w:hyperlink>
      <w:r>
        <w:rPr>
          <w:rFonts w:asciiTheme="minorHAnsi" w:hAnsiTheme="minorHAnsi" w:cstheme="minorHAnsi"/>
          <w:bCs/>
          <w:sz w:val="22"/>
          <w:szCs w:val="22"/>
        </w:rPr>
        <w:t xml:space="preserve"> last week outlining changes </w:t>
      </w:r>
      <w:r w:rsidR="0002483E">
        <w:rPr>
          <w:rFonts w:asciiTheme="minorHAnsi" w:hAnsiTheme="minorHAnsi" w:cstheme="minorHAnsi"/>
          <w:bCs/>
          <w:sz w:val="22"/>
          <w:szCs w:val="22"/>
        </w:rPr>
        <w:t xml:space="preserve">to court operations that will occur on </w:t>
      </w:r>
      <w:r>
        <w:rPr>
          <w:rFonts w:asciiTheme="minorHAnsi" w:hAnsiTheme="minorHAnsi" w:cstheme="minorHAnsi"/>
          <w:bCs/>
          <w:sz w:val="22"/>
          <w:szCs w:val="22"/>
        </w:rPr>
        <w:t xml:space="preserve">the commencement of the </w:t>
      </w:r>
      <w:r w:rsidR="00130971" w:rsidRPr="00B74497">
        <w:rPr>
          <w:rFonts w:asciiTheme="minorHAnsi" w:hAnsiTheme="minorHAnsi" w:cstheme="minorHAnsi"/>
          <w:bCs/>
          <w:sz w:val="22"/>
          <w:szCs w:val="22"/>
        </w:rPr>
        <w:t>Federal Circuit and Family Court of Australia</w:t>
      </w:r>
      <w:r>
        <w:rPr>
          <w:rFonts w:asciiTheme="minorHAnsi" w:hAnsiTheme="minorHAnsi" w:cstheme="minorHAnsi"/>
          <w:bCs/>
          <w:sz w:val="22"/>
          <w:szCs w:val="22"/>
        </w:rPr>
        <w:t xml:space="preserve"> (FCFCOA)</w:t>
      </w:r>
      <w:r w:rsidR="0002483E">
        <w:rPr>
          <w:rFonts w:asciiTheme="minorHAnsi" w:hAnsiTheme="minorHAnsi" w:cstheme="minorHAnsi"/>
          <w:bCs/>
          <w:sz w:val="22"/>
          <w:szCs w:val="22"/>
        </w:rPr>
        <w:t xml:space="preserve"> from 1 September 2021.</w:t>
      </w:r>
    </w:p>
    <w:p w14:paraId="5129E76A" w14:textId="319B18F2" w:rsidR="00275FAF" w:rsidRPr="00275FAF" w:rsidRDefault="00275FAF" w:rsidP="002A112A">
      <w:pPr>
        <w:spacing w:before="240"/>
        <w:rPr>
          <w:rFonts w:asciiTheme="minorHAnsi" w:hAnsiTheme="minorHAnsi" w:cstheme="minorHAnsi"/>
          <w:bCs/>
          <w:sz w:val="22"/>
          <w:szCs w:val="22"/>
        </w:rPr>
      </w:pPr>
      <w:r w:rsidRPr="00275FAF">
        <w:rPr>
          <w:rFonts w:asciiTheme="minorHAnsi" w:hAnsiTheme="minorHAnsi" w:cstheme="minorHAnsi"/>
          <w:bCs/>
          <w:sz w:val="22"/>
          <w:szCs w:val="22"/>
        </w:rPr>
        <w:t xml:space="preserve">On the first of September we will see a new Court that is innovative, fair and efficient </w:t>
      </w:r>
      <w:r w:rsidR="004A6925">
        <w:rPr>
          <w:rFonts w:asciiTheme="minorHAnsi" w:hAnsiTheme="minorHAnsi" w:cstheme="minorHAnsi"/>
          <w:bCs/>
          <w:sz w:val="22"/>
          <w:szCs w:val="22"/>
        </w:rPr>
        <w:t>and</w:t>
      </w:r>
      <w:r w:rsidRPr="00275FAF">
        <w:rPr>
          <w:rFonts w:asciiTheme="minorHAnsi" w:hAnsiTheme="minorHAnsi" w:cstheme="minorHAnsi"/>
          <w:bCs/>
          <w:sz w:val="22"/>
          <w:szCs w:val="22"/>
        </w:rPr>
        <w:t xml:space="preserve"> focuses on risk, responsiveness and resolution, by:  </w:t>
      </w:r>
    </w:p>
    <w:p w14:paraId="05CD012F" w14:textId="7EDDE9B4" w:rsidR="00275FAF" w:rsidRPr="00275FAF" w:rsidRDefault="00275FAF" w:rsidP="002A112A">
      <w:pPr>
        <w:pStyle w:val="ListParagraph"/>
        <w:numPr>
          <w:ilvl w:val="0"/>
          <w:numId w:val="19"/>
        </w:numPr>
        <w:spacing w:before="240" w:after="120"/>
        <w:jc w:val="both"/>
        <w:rPr>
          <w:rFonts w:asciiTheme="minorHAnsi" w:eastAsia="Times New Roman" w:hAnsiTheme="minorHAnsi" w:cstheme="minorHAnsi"/>
          <w:bCs/>
          <w:lang w:eastAsia="en-AU"/>
        </w:rPr>
      </w:pPr>
      <w:r w:rsidRPr="00275FAF">
        <w:rPr>
          <w:rFonts w:asciiTheme="minorHAnsi" w:eastAsia="Times New Roman" w:hAnsiTheme="minorHAnsi" w:cstheme="minorHAnsi"/>
          <w:bCs/>
          <w:lang w:eastAsia="en-AU"/>
        </w:rPr>
        <w:t xml:space="preserve">Improving early risk identification </w:t>
      </w:r>
      <w:r w:rsidR="007C5781">
        <w:rPr>
          <w:rFonts w:asciiTheme="minorHAnsi" w:eastAsia="Times New Roman" w:hAnsiTheme="minorHAnsi" w:cstheme="minorHAnsi"/>
          <w:bCs/>
          <w:lang w:eastAsia="en-AU"/>
        </w:rPr>
        <w:t>and</w:t>
      </w:r>
      <w:r w:rsidRPr="00275FAF">
        <w:rPr>
          <w:rFonts w:asciiTheme="minorHAnsi" w:eastAsia="Times New Roman" w:hAnsiTheme="minorHAnsi" w:cstheme="minorHAnsi"/>
          <w:bCs/>
          <w:lang w:eastAsia="en-AU"/>
        </w:rPr>
        <w:t xml:space="preserve"> safety of children and vulnerable parties</w:t>
      </w:r>
    </w:p>
    <w:p w14:paraId="24B31209" w14:textId="4951FEEA" w:rsidR="00275FAF" w:rsidRPr="00275FAF" w:rsidRDefault="00275FAF" w:rsidP="006E41BF">
      <w:pPr>
        <w:pStyle w:val="ListParagraph"/>
        <w:numPr>
          <w:ilvl w:val="0"/>
          <w:numId w:val="19"/>
        </w:numPr>
        <w:spacing w:after="120"/>
        <w:jc w:val="both"/>
        <w:rPr>
          <w:rFonts w:asciiTheme="minorHAnsi" w:eastAsia="Times New Roman" w:hAnsiTheme="minorHAnsi" w:cstheme="minorHAnsi"/>
          <w:bCs/>
          <w:lang w:eastAsia="en-AU"/>
        </w:rPr>
      </w:pPr>
      <w:r w:rsidRPr="00275FAF">
        <w:rPr>
          <w:rFonts w:asciiTheme="minorHAnsi" w:eastAsia="Times New Roman" w:hAnsiTheme="minorHAnsi" w:cstheme="minorHAnsi"/>
          <w:bCs/>
          <w:lang w:eastAsia="en-AU"/>
        </w:rPr>
        <w:t>Encouraging smarter ways to separate with less acrimony, less cost and more dispute resolution</w:t>
      </w:r>
      <w:r w:rsidR="004A6925">
        <w:rPr>
          <w:rFonts w:asciiTheme="minorHAnsi" w:eastAsia="Times New Roman" w:hAnsiTheme="minorHAnsi" w:cstheme="minorHAnsi"/>
          <w:bCs/>
          <w:lang w:eastAsia="en-AU"/>
        </w:rPr>
        <w:t>, where it is safe to do so</w:t>
      </w:r>
    </w:p>
    <w:p w14:paraId="04C7B253" w14:textId="0EB9DA12" w:rsidR="00275FAF" w:rsidRPr="00275FAF" w:rsidRDefault="00275FAF" w:rsidP="006E41BF">
      <w:pPr>
        <w:pStyle w:val="ListParagraph"/>
        <w:numPr>
          <w:ilvl w:val="0"/>
          <w:numId w:val="19"/>
        </w:numPr>
        <w:spacing w:after="120"/>
        <w:jc w:val="both"/>
        <w:rPr>
          <w:rFonts w:asciiTheme="minorHAnsi" w:eastAsia="Times New Roman" w:hAnsiTheme="minorHAnsi" w:cstheme="minorHAnsi"/>
          <w:bCs/>
          <w:lang w:eastAsia="en-AU"/>
        </w:rPr>
      </w:pPr>
      <w:r w:rsidRPr="00275FAF">
        <w:rPr>
          <w:rFonts w:asciiTheme="minorHAnsi" w:eastAsia="Times New Roman" w:hAnsiTheme="minorHAnsi" w:cstheme="minorHAnsi"/>
          <w:bCs/>
          <w:lang w:eastAsia="en-AU"/>
        </w:rPr>
        <w:t xml:space="preserve">Expecting compliance with </w:t>
      </w:r>
      <w:r w:rsidR="00C15310">
        <w:rPr>
          <w:rFonts w:asciiTheme="minorHAnsi" w:eastAsia="Times New Roman" w:hAnsiTheme="minorHAnsi" w:cstheme="minorHAnsi"/>
          <w:bCs/>
          <w:lang w:eastAsia="en-AU"/>
        </w:rPr>
        <w:t>c</w:t>
      </w:r>
      <w:r w:rsidRPr="00275FAF">
        <w:rPr>
          <w:rFonts w:asciiTheme="minorHAnsi" w:eastAsia="Times New Roman" w:hAnsiTheme="minorHAnsi" w:cstheme="minorHAnsi"/>
          <w:bCs/>
          <w:lang w:eastAsia="en-AU"/>
        </w:rPr>
        <w:t xml:space="preserve">ourt </w:t>
      </w:r>
      <w:r w:rsidR="00C15310">
        <w:rPr>
          <w:rFonts w:asciiTheme="minorHAnsi" w:eastAsia="Times New Roman" w:hAnsiTheme="minorHAnsi" w:cstheme="minorHAnsi"/>
          <w:bCs/>
          <w:lang w:eastAsia="en-AU"/>
        </w:rPr>
        <w:t>o</w:t>
      </w:r>
      <w:r w:rsidRPr="00275FAF">
        <w:rPr>
          <w:rFonts w:asciiTheme="minorHAnsi" w:eastAsia="Times New Roman" w:hAnsiTheme="minorHAnsi" w:cstheme="minorHAnsi"/>
          <w:bCs/>
          <w:lang w:eastAsia="en-AU"/>
        </w:rPr>
        <w:t xml:space="preserve">rders </w:t>
      </w:r>
    </w:p>
    <w:p w14:paraId="7C10BF77" w14:textId="59992AE6" w:rsidR="00275FAF" w:rsidRPr="00275FAF" w:rsidRDefault="00275FAF" w:rsidP="006E41BF">
      <w:pPr>
        <w:pStyle w:val="ListParagraph"/>
        <w:numPr>
          <w:ilvl w:val="0"/>
          <w:numId w:val="19"/>
        </w:numPr>
        <w:spacing w:after="120"/>
        <w:jc w:val="both"/>
        <w:rPr>
          <w:rFonts w:asciiTheme="minorHAnsi" w:eastAsia="Times New Roman" w:hAnsiTheme="minorHAnsi" w:cstheme="minorHAnsi"/>
          <w:bCs/>
          <w:lang w:eastAsia="en-AU"/>
        </w:rPr>
      </w:pPr>
      <w:r w:rsidRPr="00275FAF">
        <w:rPr>
          <w:rFonts w:asciiTheme="minorHAnsi" w:eastAsia="Times New Roman" w:hAnsiTheme="minorHAnsi" w:cstheme="minorHAnsi"/>
          <w:bCs/>
          <w:lang w:eastAsia="en-AU"/>
        </w:rPr>
        <w:t xml:space="preserve">Enhancing national access to justice for vulnerable parties and regional communities through </w:t>
      </w:r>
      <w:r w:rsidR="004A6925">
        <w:rPr>
          <w:rFonts w:asciiTheme="minorHAnsi" w:eastAsia="Times New Roman" w:hAnsiTheme="minorHAnsi" w:cstheme="minorHAnsi"/>
          <w:bCs/>
          <w:lang w:eastAsia="en-AU"/>
        </w:rPr>
        <w:t xml:space="preserve">the </w:t>
      </w:r>
      <w:r w:rsidRPr="00275FAF">
        <w:rPr>
          <w:rFonts w:asciiTheme="minorHAnsi" w:eastAsia="Times New Roman" w:hAnsiTheme="minorHAnsi" w:cstheme="minorHAnsi"/>
          <w:bCs/>
          <w:lang w:eastAsia="en-AU"/>
        </w:rPr>
        <w:t xml:space="preserve">use of technology, and  </w:t>
      </w:r>
    </w:p>
    <w:p w14:paraId="38FCD135" w14:textId="541E6FCE" w:rsidR="00A64E0D" w:rsidRPr="002A112A" w:rsidRDefault="00275FAF" w:rsidP="006E41BF">
      <w:pPr>
        <w:pStyle w:val="ListParagraph"/>
        <w:numPr>
          <w:ilvl w:val="0"/>
          <w:numId w:val="19"/>
        </w:numPr>
        <w:spacing w:after="120"/>
        <w:jc w:val="both"/>
        <w:rPr>
          <w:rFonts w:asciiTheme="minorHAnsi" w:eastAsia="Times New Roman" w:hAnsiTheme="minorHAnsi" w:cstheme="minorHAnsi"/>
          <w:bCs/>
          <w:lang w:eastAsia="en-AU"/>
        </w:rPr>
      </w:pPr>
      <w:r w:rsidRPr="00275FAF">
        <w:rPr>
          <w:rFonts w:asciiTheme="minorHAnsi" w:eastAsia="Times New Roman" w:hAnsiTheme="minorHAnsi" w:cstheme="minorHAnsi"/>
          <w:bCs/>
          <w:lang w:eastAsia="en-AU"/>
        </w:rPr>
        <w:t>Resolving up to 90 per cent of cases within 12 months, where possible.</w:t>
      </w:r>
    </w:p>
    <w:p w14:paraId="158C65C2" w14:textId="7F603ED7" w:rsidR="00410658" w:rsidRDefault="00882A88" w:rsidP="00AA2859">
      <w:pPr>
        <w:spacing w:before="240"/>
        <w:rPr>
          <w:rFonts w:asciiTheme="minorHAnsi" w:hAnsiTheme="minorHAnsi" w:cstheme="minorHAnsi"/>
          <w:bCs/>
          <w:sz w:val="22"/>
          <w:szCs w:val="22"/>
        </w:rPr>
      </w:pPr>
      <w:r>
        <w:rPr>
          <w:rFonts w:asciiTheme="minorHAnsi" w:hAnsiTheme="minorHAnsi" w:cstheme="minorHAnsi"/>
          <w:bCs/>
          <w:sz w:val="22"/>
          <w:szCs w:val="22"/>
        </w:rPr>
        <w:t xml:space="preserve">The </w:t>
      </w:r>
      <w:r w:rsidR="00A64E0D">
        <w:rPr>
          <w:rFonts w:asciiTheme="minorHAnsi" w:hAnsiTheme="minorHAnsi" w:cstheme="minorHAnsi"/>
          <w:bCs/>
          <w:sz w:val="22"/>
          <w:szCs w:val="22"/>
        </w:rPr>
        <w:t xml:space="preserve">following details </w:t>
      </w:r>
      <w:r>
        <w:rPr>
          <w:rFonts w:asciiTheme="minorHAnsi" w:hAnsiTheme="minorHAnsi" w:cstheme="minorHAnsi"/>
          <w:bCs/>
          <w:sz w:val="22"/>
          <w:szCs w:val="22"/>
        </w:rPr>
        <w:t xml:space="preserve">provide an overview of changes to the </w:t>
      </w:r>
      <w:r w:rsidR="00A64E0D">
        <w:rPr>
          <w:rFonts w:asciiTheme="minorHAnsi" w:hAnsiTheme="minorHAnsi" w:cstheme="minorHAnsi"/>
          <w:bCs/>
          <w:sz w:val="22"/>
          <w:szCs w:val="22"/>
        </w:rPr>
        <w:t>FCFCOA’s harmonised rules, practice directions, forms</w:t>
      </w:r>
      <w:r w:rsidR="001E4C5F">
        <w:rPr>
          <w:rFonts w:asciiTheme="minorHAnsi" w:hAnsiTheme="minorHAnsi" w:cstheme="minorHAnsi"/>
          <w:bCs/>
          <w:sz w:val="22"/>
          <w:szCs w:val="22"/>
        </w:rPr>
        <w:t xml:space="preserve"> and website. There is an overview of how appeals will be dealt with in the new structure and changes to </w:t>
      </w:r>
      <w:r w:rsidR="00A64E0D" w:rsidRPr="00A64E0D">
        <w:rPr>
          <w:rFonts w:asciiTheme="minorHAnsi" w:hAnsiTheme="minorHAnsi" w:cstheme="minorHAnsi"/>
          <w:bCs/>
          <w:sz w:val="22"/>
          <w:szCs w:val="22"/>
        </w:rPr>
        <w:t>Child Dispute Services</w:t>
      </w:r>
      <w:r w:rsidR="007C5781">
        <w:rPr>
          <w:rFonts w:asciiTheme="minorHAnsi" w:hAnsiTheme="minorHAnsi" w:cstheme="minorHAnsi"/>
          <w:bCs/>
          <w:sz w:val="22"/>
          <w:szCs w:val="22"/>
        </w:rPr>
        <w:t xml:space="preserve"> and registrar roles.</w:t>
      </w:r>
      <w:r w:rsidR="00486FB3">
        <w:rPr>
          <w:rFonts w:asciiTheme="minorHAnsi" w:hAnsiTheme="minorHAnsi" w:cstheme="minorHAnsi"/>
          <w:bCs/>
          <w:sz w:val="22"/>
          <w:szCs w:val="22"/>
        </w:rPr>
        <w:t xml:space="preserve"> </w:t>
      </w:r>
      <w:r w:rsidR="001E4C5F">
        <w:rPr>
          <w:rFonts w:asciiTheme="minorHAnsi" w:hAnsiTheme="minorHAnsi" w:cstheme="minorHAnsi"/>
          <w:bCs/>
          <w:sz w:val="22"/>
          <w:szCs w:val="22"/>
        </w:rPr>
        <w:t xml:space="preserve">Details of </w:t>
      </w:r>
      <w:r w:rsidR="00486FB3">
        <w:rPr>
          <w:rFonts w:asciiTheme="minorHAnsi" w:hAnsiTheme="minorHAnsi" w:cstheme="minorHAnsi"/>
          <w:bCs/>
          <w:sz w:val="22"/>
          <w:szCs w:val="22"/>
        </w:rPr>
        <w:t>the new National Contraventions List</w:t>
      </w:r>
      <w:r w:rsidR="00A64E0D">
        <w:rPr>
          <w:rFonts w:asciiTheme="minorHAnsi" w:hAnsiTheme="minorHAnsi" w:cstheme="minorHAnsi"/>
          <w:bCs/>
          <w:sz w:val="22"/>
          <w:szCs w:val="22"/>
        </w:rPr>
        <w:t xml:space="preserve"> </w:t>
      </w:r>
      <w:r w:rsidR="00486FB3">
        <w:rPr>
          <w:rFonts w:asciiTheme="minorHAnsi" w:hAnsiTheme="minorHAnsi" w:cstheme="minorHAnsi"/>
          <w:bCs/>
          <w:sz w:val="22"/>
          <w:szCs w:val="22"/>
        </w:rPr>
        <w:t>is also provided.</w:t>
      </w:r>
    </w:p>
    <w:p w14:paraId="5FCA55FF" w14:textId="1C5C3809" w:rsidR="00410658" w:rsidRDefault="00410658" w:rsidP="00AA2859">
      <w:pPr>
        <w:spacing w:before="240"/>
        <w:rPr>
          <w:rFonts w:asciiTheme="minorHAnsi" w:hAnsiTheme="minorHAnsi" w:cstheme="minorHAnsi"/>
          <w:bCs/>
          <w:sz w:val="22"/>
          <w:szCs w:val="22"/>
        </w:rPr>
      </w:pPr>
      <w:r>
        <w:rPr>
          <w:rFonts w:asciiTheme="minorHAnsi" w:hAnsiTheme="minorHAnsi" w:cstheme="minorHAnsi"/>
          <w:bCs/>
          <w:sz w:val="22"/>
          <w:szCs w:val="22"/>
        </w:rPr>
        <w:t xml:space="preserve">The majority of the changes relate to the FCFCOA’s family law jurisdiction. This update provides information about those changes, but some, such as the new website and new forms, also relate to the Court’s general federal law jurisdiction. </w:t>
      </w:r>
    </w:p>
    <w:p w14:paraId="5076212B" w14:textId="6A44EA8D" w:rsidR="00275FAF" w:rsidRPr="002A112A" w:rsidRDefault="002A112A" w:rsidP="00B27746">
      <w:pPr>
        <w:pStyle w:val="Heading2"/>
      </w:pPr>
      <w:r>
        <w:t>Case management</w:t>
      </w:r>
    </w:p>
    <w:p w14:paraId="6A4FBF1F" w14:textId="218F9B1F" w:rsidR="00275FAF" w:rsidRDefault="00275FAF" w:rsidP="002A112A">
      <w:pPr>
        <w:rPr>
          <w:rFonts w:asciiTheme="minorHAnsi" w:hAnsiTheme="minorHAnsi" w:cstheme="minorHAnsi"/>
          <w:bCs/>
          <w:sz w:val="22"/>
          <w:szCs w:val="22"/>
        </w:rPr>
      </w:pPr>
      <w:r w:rsidRPr="00275FAF">
        <w:rPr>
          <w:rFonts w:asciiTheme="minorHAnsi" w:hAnsiTheme="minorHAnsi" w:cstheme="minorHAnsi"/>
          <w:bCs/>
          <w:sz w:val="22"/>
          <w:szCs w:val="22"/>
        </w:rPr>
        <w:t xml:space="preserve">Details of the new case management pathway was provided in last week’s </w:t>
      </w:r>
      <w:hyperlink r:id="rId9" w:history="1">
        <w:r w:rsidRPr="00275FAF">
          <w:rPr>
            <w:rStyle w:val="Hyperlink"/>
            <w:rFonts w:asciiTheme="minorHAnsi" w:hAnsiTheme="minorHAnsi" w:cstheme="minorHAnsi"/>
            <w:bCs/>
            <w:sz w:val="22"/>
            <w:szCs w:val="22"/>
          </w:rPr>
          <w:t>update</w:t>
        </w:r>
      </w:hyperlink>
      <w:r w:rsidRPr="00275FAF">
        <w:rPr>
          <w:rFonts w:asciiTheme="minorHAnsi" w:hAnsiTheme="minorHAnsi" w:cstheme="minorHAnsi"/>
          <w:bCs/>
          <w:sz w:val="22"/>
          <w:szCs w:val="22"/>
        </w:rPr>
        <w:t>. In addit</w:t>
      </w:r>
      <w:r>
        <w:rPr>
          <w:rFonts w:asciiTheme="minorHAnsi" w:hAnsiTheme="minorHAnsi" w:cstheme="minorHAnsi"/>
          <w:bCs/>
          <w:sz w:val="22"/>
          <w:szCs w:val="22"/>
        </w:rPr>
        <w:t>io</w:t>
      </w:r>
      <w:r w:rsidRPr="00275FAF">
        <w:rPr>
          <w:rFonts w:asciiTheme="minorHAnsi" w:hAnsiTheme="minorHAnsi" w:cstheme="minorHAnsi"/>
          <w:bCs/>
          <w:sz w:val="22"/>
          <w:szCs w:val="22"/>
        </w:rPr>
        <w:t>n to that information, practitioners are advised that as the new system commences, decisions will be made as to which matters in the existing courts are moved into the new pathway. Practitioners can assume that their listings will remain as they are unless otherwise advised.</w:t>
      </w:r>
    </w:p>
    <w:p w14:paraId="5EF38662" w14:textId="0B7C3965" w:rsidR="00275FAF" w:rsidRPr="00275FAF" w:rsidRDefault="00275FAF" w:rsidP="002A112A">
      <w:pPr>
        <w:spacing w:before="240"/>
        <w:rPr>
          <w:rFonts w:asciiTheme="minorHAnsi" w:hAnsiTheme="minorHAnsi" w:cstheme="minorHAnsi"/>
          <w:bCs/>
          <w:sz w:val="22"/>
          <w:szCs w:val="22"/>
        </w:rPr>
      </w:pPr>
      <w:r w:rsidRPr="00275FAF">
        <w:rPr>
          <w:rFonts w:asciiTheme="minorHAnsi" w:hAnsiTheme="minorHAnsi" w:cstheme="minorHAnsi"/>
          <w:bCs/>
          <w:sz w:val="22"/>
          <w:szCs w:val="22"/>
        </w:rPr>
        <w:t>When matters are being allocated a first return listing, they will be allocated according to whether they are property</w:t>
      </w:r>
      <w:r w:rsidR="00AA2859">
        <w:rPr>
          <w:rFonts w:asciiTheme="minorHAnsi" w:hAnsiTheme="minorHAnsi" w:cstheme="minorHAnsi"/>
          <w:bCs/>
          <w:sz w:val="22"/>
          <w:szCs w:val="22"/>
        </w:rPr>
        <w:t xml:space="preserve"> </w:t>
      </w:r>
      <w:r w:rsidRPr="00275FAF">
        <w:rPr>
          <w:rFonts w:asciiTheme="minorHAnsi" w:hAnsiTheme="minorHAnsi" w:cstheme="minorHAnsi"/>
          <w:bCs/>
          <w:sz w:val="22"/>
          <w:szCs w:val="22"/>
        </w:rPr>
        <w:t xml:space="preserve">only </w:t>
      </w:r>
      <w:r w:rsidR="004A6925">
        <w:rPr>
          <w:rFonts w:asciiTheme="minorHAnsi" w:hAnsiTheme="minorHAnsi" w:cstheme="minorHAnsi"/>
          <w:bCs/>
          <w:sz w:val="22"/>
          <w:szCs w:val="22"/>
        </w:rPr>
        <w:t>matters</w:t>
      </w:r>
      <w:r w:rsidR="00945993">
        <w:rPr>
          <w:rFonts w:asciiTheme="minorHAnsi" w:hAnsiTheme="minorHAnsi" w:cstheme="minorHAnsi"/>
          <w:bCs/>
          <w:sz w:val="22"/>
          <w:szCs w:val="22"/>
        </w:rPr>
        <w:t>.</w:t>
      </w:r>
      <w:r w:rsidRPr="00275FAF">
        <w:rPr>
          <w:rFonts w:asciiTheme="minorHAnsi" w:hAnsiTheme="minorHAnsi" w:cstheme="minorHAnsi"/>
          <w:bCs/>
          <w:sz w:val="22"/>
          <w:szCs w:val="22"/>
        </w:rPr>
        <w:t xml:space="preserve">  </w:t>
      </w:r>
    </w:p>
    <w:p w14:paraId="7A74318A" w14:textId="7253A57F" w:rsidR="008D3E29" w:rsidRPr="008E52AE" w:rsidRDefault="00486FB3" w:rsidP="00B27746">
      <w:pPr>
        <w:pStyle w:val="Heading2"/>
      </w:pPr>
      <w:r w:rsidRPr="008E52AE">
        <w:t>Harmonised rules</w:t>
      </w:r>
    </w:p>
    <w:p w14:paraId="569D7E08" w14:textId="3273B011" w:rsidR="008D3E29" w:rsidRDefault="008D3E29" w:rsidP="002A112A">
      <w:pPr>
        <w:rPr>
          <w:rFonts w:asciiTheme="minorHAnsi" w:hAnsiTheme="minorHAnsi" w:cstheme="minorHAnsi"/>
          <w:sz w:val="22"/>
          <w:szCs w:val="22"/>
        </w:rPr>
      </w:pPr>
      <w:r w:rsidRPr="008E52AE">
        <w:rPr>
          <w:rFonts w:asciiTheme="minorHAnsi" w:hAnsiTheme="minorHAnsi" w:cstheme="minorHAnsi"/>
          <w:sz w:val="22"/>
          <w:szCs w:val="22"/>
        </w:rPr>
        <w:t xml:space="preserve">Following extensive consultation with the profession and other stakeholders, the harmonised family law rules developed by the Joint Rules Harmonisation Working Group is close to being finalised and are currently being settled into a formal instrument by the Office of Parliamentary Counsel. </w:t>
      </w:r>
    </w:p>
    <w:p w14:paraId="509CA555" w14:textId="00471165" w:rsidR="008D3E29" w:rsidRPr="008E52AE" w:rsidRDefault="008D3E29" w:rsidP="002A112A">
      <w:pPr>
        <w:spacing w:before="240"/>
        <w:rPr>
          <w:rFonts w:asciiTheme="minorHAnsi" w:hAnsiTheme="minorHAnsi" w:cstheme="minorHAnsi"/>
          <w:sz w:val="22"/>
          <w:szCs w:val="22"/>
        </w:rPr>
      </w:pPr>
      <w:r w:rsidRPr="008E52AE">
        <w:rPr>
          <w:rFonts w:asciiTheme="minorHAnsi" w:hAnsiTheme="minorHAnsi" w:cstheme="minorHAnsi"/>
          <w:sz w:val="22"/>
          <w:szCs w:val="22"/>
        </w:rPr>
        <w:t>A vote of the Judges of each Court will take place in August</w:t>
      </w:r>
      <w:r w:rsidR="00945993">
        <w:rPr>
          <w:rFonts w:asciiTheme="minorHAnsi" w:hAnsiTheme="minorHAnsi" w:cstheme="minorHAnsi"/>
          <w:sz w:val="22"/>
          <w:szCs w:val="22"/>
        </w:rPr>
        <w:t>, and th</w:t>
      </w:r>
      <w:r w:rsidR="00945993" w:rsidRPr="008E52AE">
        <w:rPr>
          <w:rFonts w:asciiTheme="minorHAnsi" w:hAnsiTheme="minorHAnsi" w:cstheme="minorHAnsi"/>
          <w:sz w:val="22"/>
          <w:szCs w:val="22"/>
        </w:rPr>
        <w:t xml:space="preserve">e </w:t>
      </w:r>
      <w:r w:rsidR="00945993">
        <w:rPr>
          <w:rFonts w:asciiTheme="minorHAnsi" w:hAnsiTheme="minorHAnsi" w:cstheme="minorHAnsi"/>
          <w:sz w:val="22"/>
          <w:szCs w:val="22"/>
        </w:rPr>
        <w:t>r</w:t>
      </w:r>
      <w:r w:rsidR="00945993" w:rsidRPr="008E52AE">
        <w:rPr>
          <w:rFonts w:asciiTheme="minorHAnsi" w:hAnsiTheme="minorHAnsi" w:cstheme="minorHAnsi"/>
          <w:sz w:val="22"/>
          <w:szCs w:val="22"/>
        </w:rPr>
        <w:t>ules will commence on 1 September 2021.</w:t>
      </w:r>
    </w:p>
    <w:p w14:paraId="4B35F323" w14:textId="4F2F39E1" w:rsidR="008D3E29" w:rsidRPr="008E52AE" w:rsidRDefault="008D3E29" w:rsidP="00B27746">
      <w:pPr>
        <w:pStyle w:val="Heading2"/>
      </w:pPr>
      <w:r w:rsidRPr="008E52AE">
        <w:lastRenderedPageBreak/>
        <w:t>Family Law practice directions</w:t>
      </w:r>
    </w:p>
    <w:p w14:paraId="6FBD5F67" w14:textId="1DC2976C" w:rsidR="008D3E29" w:rsidRPr="002A112A" w:rsidRDefault="008D3E29" w:rsidP="002A112A">
      <w:pPr>
        <w:rPr>
          <w:rFonts w:ascii="Calibri Light" w:hAnsi="Calibri Light" w:cs="Calibri Light"/>
        </w:rPr>
      </w:pPr>
      <w:r w:rsidRPr="008E52AE">
        <w:rPr>
          <w:rFonts w:asciiTheme="minorHAnsi" w:hAnsiTheme="minorHAnsi" w:cstheme="minorHAnsi"/>
          <w:sz w:val="22"/>
          <w:szCs w:val="22"/>
        </w:rPr>
        <w:t xml:space="preserve">A general practice direction, which sets out guidelines for the management of family law proceedings in the FCFCOA, has been drafted and </w:t>
      </w:r>
      <w:r w:rsidR="00945993" w:rsidRPr="00945993">
        <w:rPr>
          <w:rFonts w:asciiTheme="minorHAnsi" w:hAnsiTheme="minorHAnsi" w:cstheme="minorHAnsi"/>
          <w:sz w:val="22"/>
          <w:szCs w:val="22"/>
        </w:rPr>
        <w:t>was distributed to stakeholders in the profession for feedback this week.</w:t>
      </w:r>
      <w:r w:rsidR="00945993">
        <w:rPr>
          <w:rFonts w:ascii="Calibri Light" w:hAnsi="Calibri Light" w:cs="Calibri Light"/>
        </w:rPr>
        <w:t xml:space="preserve"> </w:t>
      </w:r>
    </w:p>
    <w:p w14:paraId="58AC40E6" w14:textId="77777777" w:rsidR="004A6925" w:rsidRPr="002A112A" w:rsidRDefault="004A6925" w:rsidP="004A6925">
      <w:pPr>
        <w:spacing w:before="240"/>
        <w:rPr>
          <w:rFonts w:asciiTheme="minorHAnsi" w:hAnsiTheme="minorHAnsi" w:cstheme="minorHAnsi"/>
          <w:sz w:val="22"/>
          <w:szCs w:val="22"/>
        </w:rPr>
      </w:pPr>
      <w:r w:rsidRPr="008E52AE">
        <w:rPr>
          <w:rFonts w:asciiTheme="minorHAnsi" w:hAnsiTheme="minorHAnsi" w:cstheme="minorHAnsi"/>
          <w:sz w:val="22"/>
          <w:szCs w:val="22"/>
        </w:rPr>
        <w:t xml:space="preserve">A suite of 14 new practice directions have </w:t>
      </w:r>
      <w:r>
        <w:rPr>
          <w:rFonts w:asciiTheme="minorHAnsi" w:hAnsiTheme="minorHAnsi" w:cstheme="minorHAnsi"/>
          <w:sz w:val="22"/>
          <w:szCs w:val="22"/>
        </w:rPr>
        <w:t xml:space="preserve">also </w:t>
      </w:r>
      <w:r w:rsidRPr="008E52AE">
        <w:rPr>
          <w:rFonts w:asciiTheme="minorHAnsi" w:hAnsiTheme="minorHAnsi" w:cstheme="minorHAnsi"/>
          <w:sz w:val="22"/>
          <w:szCs w:val="22"/>
        </w:rPr>
        <w:t>been developed and will be made available from 1</w:t>
      </w:r>
      <w:r>
        <w:rPr>
          <w:rFonts w:asciiTheme="minorHAnsi" w:hAnsiTheme="minorHAnsi" w:cstheme="minorHAnsi"/>
          <w:sz w:val="22"/>
          <w:szCs w:val="22"/>
        </w:rPr>
        <w:t> </w:t>
      </w:r>
      <w:r w:rsidRPr="008E52AE">
        <w:rPr>
          <w:rFonts w:asciiTheme="minorHAnsi" w:hAnsiTheme="minorHAnsi" w:cstheme="minorHAnsi"/>
          <w:sz w:val="22"/>
          <w:szCs w:val="22"/>
        </w:rPr>
        <w:t xml:space="preserve">September to accompany the harmonised family law rules. These practice directions provide guidance for litigants and practitioners about the various practice areas within the family law jurisdiction. </w:t>
      </w:r>
    </w:p>
    <w:p w14:paraId="21E2DB97" w14:textId="34E53F8C" w:rsidR="00945993" w:rsidRPr="008E52AE" w:rsidRDefault="008D3E29" w:rsidP="002A112A">
      <w:pPr>
        <w:spacing w:before="240"/>
        <w:rPr>
          <w:rFonts w:asciiTheme="minorHAnsi" w:hAnsiTheme="minorHAnsi" w:cstheme="minorHAnsi"/>
          <w:sz w:val="22"/>
          <w:szCs w:val="22"/>
        </w:rPr>
      </w:pPr>
      <w:r w:rsidRPr="008E52AE">
        <w:rPr>
          <w:rFonts w:asciiTheme="minorHAnsi" w:hAnsiTheme="minorHAnsi" w:cstheme="minorHAnsi"/>
          <w:sz w:val="22"/>
          <w:szCs w:val="22"/>
        </w:rPr>
        <w:t xml:space="preserve">Early versions of the practice directions were circulated to a number of stakeholders for review alongside the draft harmonised rules, and have since been updated in light of feedback and the </w:t>
      </w:r>
      <w:r w:rsidRPr="008E52AE">
        <w:rPr>
          <w:rFonts w:asciiTheme="minorHAnsi" w:hAnsiTheme="minorHAnsi" w:cstheme="minorHAnsi"/>
          <w:i/>
          <w:iCs/>
          <w:sz w:val="22"/>
          <w:szCs w:val="22"/>
        </w:rPr>
        <w:t>Federal Circuit and Family Court of Australia (Consequential Amendments and Transitional Provisions) Act 2021</w:t>
      </w:r>
      <w:r w:rsidRPr="008E52AE">
        <w:rPr>
          <w:rFonts w:asciiTheme="minorHAnsi" w:hAnsiTheme="minorHAnsi" w:cstheme="minorHAnsi"/>
          <w:sz w:val="22"/>
          <w:szCs w:val="22"/>
        </w:rPr>
        <w:t xml:space="preserve">. These practice directions are intended to come into effect on 1 September 2021 and are aligned with, and referred to in, the harmonised family law rules. </w:t>
      </w:r>
    </w:p>
    <w:p w14:paraId="306C012A" w14:textId="77777777" w:rsidR="00A64E0D" w:rsidRPr="002A112A" w:rsidRDefault="00A64E0D" w:rsidP="00B27746">
      <w:pPr>
        <w:pStyle w:val="Heading2"/>
      </w:pPr>
      <w:r w:rsidRPr="002A112A">
        <w:t>Appeals</w:t>
      </w:r>
    </w:p>
    <w:p w14:paraId="032C225F" w14:textId="2D798D1D" w:rsidR="00D211E7" w:rsidRDefault="00A64E0D" w:rsidP="002A112A">
      <w:pPr>
        <w:pStyle w:val="NormalWeb"/>
        <w:shd w:val="clear" w:color="auto" w:fill="FFFFFF"/>
        <w:spacing w:before="0" w:beforeAutospacing="0" w:after="0" w:afterAutospacing="0"/>
        <w:rPr>
          <w:rFonts w:asciiTheme="minorHAnsi" w:hAnsiTheme="minorHAnsi" w:cstheme="minorHAnsi"/>
          <w:sz w:val="22"/>
          <w:szCs w:val="22"/>
          <w:lang w:eastAsia="en-GB"/>
        </w:rPr>
      </w:pPr>
      <w:r w:rsidRPr="008E52AE">
        <w:rPr>
          <w:rFonts w:asciiTheme="minorHAnsi" w:hAnsiTheme="minorHAnsi" w:cstheme="minorHAnsi"/>
          <w:sz w:val="22"/>
          <w:szCs w:val="22"/>
          <w:lang w:eastAsia="en-GB"/>
        </w:rPr>
        <w:t>The FCFCOA Division 1 will retain jurisdiction to hear family law appeals. However, there will be no separate Appeal Division. All Division 1 Judges will be able to hear appeals either as a single Judge or as part of a Full Court.</w:t>
      </w:r>
      <w:r w:rsidR="00945993">
        <w:rPr>
          <w:rFonts w:asciiTheme="minorHAnsi" w:hAnsiTheme="minorHAnsi" w:cstheme="minorHAnsi"/>
          <w:sz w:val="22"/>
          <w:szCs w:val="22"/>
          <w:lang w:eastAsia="en-GB"/>
        </w:rPr>
        <w:t xml:space="preserve"> </w:t>
      </w:r>
      <w:r w:rsidRPr="008E52AE">
        <w:rPr>
          <w:rFonts w:asciiTheme="minorHAnsi" w:hAnsiTheme="minorHAnsi" w:cstheme="minorHAnsi"/>
          <w:sz w:val="22"/>
          <w:szCs w:val="22"/>
          <w:lang w:eastAsia="en-GB"/>
        </w:rPr>
        <w:t xml:space="preserve">All appeals of FCFCOA (Division 2) and </w:t>
      </w:r>
      <w:r w:rsidR="00945993">
        <w:rPr>
          <w:rFonts w:asciiTheme="minorHAnsi" w:hAnsiTheme="minorHAnsi" w:cstheme="minorHAnsi"/>
          <w:sz w:val="22"/>
          <w:szCs w:val="22"/>
          <w:lang w:eastAsia="en-GB"/>
        </w:rPr>
        <w:t>f</w:t>
      </w:r>
      <w:r w:rsidRPr="008E52AE">
        <w:rPr>
          <w:rFonts w:asciiTheme="minorHAnsi" w:hAnsiTheme="minorHAnsi" w:cstheme="minorHAnsi"/>
          <w:sz w:val="22"/>
          <w:szCs w:val="22"/>
          <w:lang w:eastAsia="en-GB"/>
        </w:rPr>
        <w:t xml:space="preserve">amily </w:t>
      </w:r>
      <w:r w:rsidR="00945993">
        <w:rPr>
          <w:rFonts w:asciiTheme="minorHAnsi" w:hAnsiTheme="minorHAnsi" w:cstheme="minorHAnsi"/>
          <w:sz w:val="22"/>
          <w:szCs w:val="22"/>
          <w:lang w:eastAsia="en-GB"/>
        </w:rPr>
        <w:t>l</w:t>
      </w:r>
      <w:r w:rsidRPr="008E52AE">
        <w:rPr>
          <w:rFonts w:asciiTheme="minorHAnsi" w:hAnsiTheme="minorHAnsi" w:cstheme="minorHAnsi"/>
          <w:sz w:val="22"/>
          <w:szCs w:val="22"/>
          <w:lang w:eastAsia="en-GB"/>
        </w:rPr>
        <w:t xml:space="preserve">aw </w:t>
      </w:r>
      <w:r w:rsidR="00945993">
        <w:rPr>
          <w:rFonts w:asciiTheme="minorHAnsi" w:hAnsiTheme="minorHAnsi" w:cstheme="minorHAnsi"/>
          <w:sz w:val="22"/>
          <w:szCs w:val="22"/>
          <w:lang w:eastAsia="en-GB"/>
        </w:rPr>
        <w:t>M</w:t>
      </w:r>
      <w:r w:rsidRPr="008E52AE">
        <w:rPr>
          <w:rFonts w:asciiTheme="minorHAnsi" w:hAnsiTheme="minorHAnsi" w:cstheme="minorHAnsi"/>
          <w:sz w:val="22"/>
          <w:szCs w:val="22"/>
          <w:lang w:eastAsia="en-GB"/>
        </w:rPr>
        <w:t>agistrates of Western Australia decisions will be heard by a single Judge, unless the Chief Justice considers it appropriate for the appeal to be heard by a Full Court.</w:t>
      </w:r>
    </w:p>
    <w:p w14:paraId="264C4C17" w14:textId="0BA3BBFF" w:rsidR="00D211E7" w:rsidRPr="008E52AE" w:rsidRDefault="00A64E0D" w:rsidP="002A112A">
      <w:pPr>
        <w:spacing w:before="240"/>
        <w:rPr>
          <w:rFonts w:asciiTheme="minorHAnsi" w:hAnsiTheme="minorHAnsi" w:cstheme="minorHAnsi"/>
          <w:bCs/>
          <w:sz w:val="22"/>
          <w:szCs w:val="22"/>
        </w:rPr>
      </w:pPr>
      <w:r w:rsidRPr="008E52AE">
        <w:rPr>
          <w:rFonts w:asciiTheme="minorHAnsi" w:hAnsiTheme="minorHAnsi" w:cstheme="minorHAnsi"/>
          <w:bCs/>
          <w:sz w:val="22"/>
          <w:szCs w:val="22"/>
        </w:rPr>
        <w:t>A</w:t>
      </w:r>
      <w:r w:rsidRPr="008E52AE">
        <w:rPr>
          <w:rFonts w:asciiTheme="minorHAnsi" w:hAnsiTheme="minorHAnsi" w:cstheme="minorHAnsi"/>
          <w:sz w:val="22"/>
          <w:szCs w:val="22"/>
        </w:rPr>
        <w:t xml:space="preserve"> single national appeals filing registry will also be introduced to provide a centralised and nationally consistent method of filing </w:t>
      </w:r>
      <w:r w:rsidR="00C15310">
        <w:rPr>
          <w:rFonts w:asciiTheme="minorHAnsi" w:hAnsiTheme="minorHAnsi" w:cstheme="minorHAnsi"/>
          <w:sz w:val="22"/>
          <w:szCs w:val="22"/>
        </w:rPr>
        <w:t xml:space="preserve">an </w:t>
      </w:r>
      <w:r w:rsidRPr="008E52AE">
        <w:rPr>
          <w:rFonts w:asciiTheme="minorHAnsi" w:hAnsiTheme="minorHAnsi" w:cstheme="minorHAnsi"/>
          <w:sz w:val="22"/>
          <w:szCs w:val="22"/>
        </w:rPr>
        <w:t xml:space="preserve">appeal. </w:t>
      </w:r>
      <w:r w:rsidRPr="008E52AE">
        <w:rPr>
          <w:rFonts w:asciiTheme="minorHAnsi" w:hAnsiTheme="minorHAnsi" w:cstheme="minorHAnsi"/>
          <w:bCs/>
          <w:sz w:val="22"/>
          <w:szCs w:val="22"/>
        </w:rPr>
        <w:t xml:space="preserve"> </w:t>
      </w:r>
    </w:p>
    <w:p w14:paraId="4ECE3D16" w14:textId="77777777" w:rsidR="00A64E0D" w:rsidRPr="008E52AE" w:rsidRDefault="00A64E0D" w:rsidP="00B27746">
      <w:pPr>
        <w:pStyle w:val="Heading2"/>
      </w:pPr>
      <w:r w:rsidRPr="008E52AE">
        <w:t xml:space="preserve">National Contravention List </w:t>
      </w:r>
    </w:p>
    <w:p w14:paraId="590A5739" w14:textId="235A3221" w:rsidR="00A64E0D" w:rsidRPr="008E52AE" w:rsidRDefault="00A64E0D" w:rsidP="002A112A">
      <w:pPr>
        <w:rPr>
          <w:rFonts w:asciiTheme="minorHAnsi" w:hAnsiTheme="minorHAnsi" w:cstheme="minorHAnsi"/>
          <w:bCs/>
          <w:sz w:val="22"/>
          <w:szCs w:val="22"/>
        </w:rPr>
      </w:pPr>
      <w:r w:rsidRPr="008E52AE">
        <w:rPr>
          <w:rFonts w:asciiTheme="minorHAnsi" w:hAnsiTheme="minorHAnsi" w:cstheme="minorHAnsi"/>
          <w:bCs/>
          <w:sz w:val="22"/>
          <w:szCs w:val="22"/>
        </w:rPr>
        <w:t xml:space="preserve">A National Contravention List will be introduced on 1 September 2021 to address the expectation that all parties will comply with orders of the Court, and that alleged breaches of </w:t>
      </w:r>
      <w:r w:rsidR="00C15310">
        <w:rPr>
          <w:rFonts w:asciiTheme="minorHAnsi" w:hAnsiTheme="minorHAnsi" w:cstheme="minorHAnsi"/>
          <w:bCs/>
          <w:sz w:val="22"/>
          <w:szCs w:val="22"/>
        </w:rPr>
        <w:t>c</w:t>
      </w:r>
      <w:r w:rsidRPr="008E52AE">
        <w:rPr>
          <w:rFonts w:asciiTheme="minorHAnsi" w:hAnsiTheme="minorHAnsi" w:cstheme="minorHAnsi"/>
          <w:bCs/>
          <w:sz w:val="22"/>
          <w:szCs w:val="22"/>
        </w:rPr>
        <w:t xml:space="preserve">ourt orders will be taken seriously and will be dealt with quickly. The key objectives of the National Contravention List are: </w:t>
      </w:r>
    </w:p>
    <w:p w14:paraId="7CC10490" w14:textId="1D2B7F12" w:rsidR="00A64E0D" w:rsidRPr="008E52AE" w:rsidRDefault="00A64E0D" w:rsidP="002A112A">
      <w:pPr>
        <w:pStyle w:val="ListParagraph"/>
        <w:numPr>
          <w:ilvl w:val="1"/>
          <w:numId w:val="14"/>
        </w:numPr>
        <w:spacing w:after="0" w:line="240" w:lineRule="auto"/>
        <w:rPr>
          <w:rFonts w:asciiTheme="minorHAnsi" w:hAnsiTheme="minorHAnsi" w:cstheme="minorHAnsi"/>
          <w:bCs/>
        </w:rPr>
      </w:pPr>
      <w:r w:rsidRPr="008E52AE">
        <w:rPr>
          <w:rFonts w:asciiTheme="minorHAnsi" w:hAnsiTheme="minorHAnsi" w:cstheme="minorHAnsi"/>
          <w:bCs/>
        </w:rPr>
        <w:t>to efficiently deal with Applications on a national basis in a timely, cost effective and safe way for all litigants</w:t>
      </w:r>
      <w:r w:rsidR="00C15310">
        <w:rPr>
          <w:rFonts w:asciiTheme="minorHAnsi" w:hAnsiTheme="minorHAnsi" w:cstheme="minorHAnsi"/>
          <w:bCs/>
        </w:rPr>
        <w:t>,</w:t>
      </w:r>
    </w:p>
    <w:p w14:paraId="13D906DF" w14:textId="00E94B24" w:rsidR="00A64E0D" w:rsidRPr="008E52AE" w:rsidRDefault="00A64E0D" w:rsidP="002A112A">
      <w:pPr>
        <w:pStyle w:val="ListParagraph"/>
        <w:numPr>
          <w:ilvl w:val="1"/>
          <w:numId w:val="14"/>
        </w:numPr>
        <w:spacing w:after="0" w:line="240" w:lineRule="auto"/>
        <w:rPr>
          <w:rFonts w:asciiTheme="minorHAnsi" w:hAnsiTheme="minorHAnsi" w:cstheme="minorHAnsi"/>
          <w:bCs/>
        </w:rPr>
      </w:pPr>
      <w:r w:rsidRPr="008E52AE">
        <w:rPr>
          <w:rFonts w:asciiTheme="minorHAnsi" w:hAnsiTheme="minorHAnsi" w:cstheme="minorHAnsi"/>
          <w:bCs/>
        </w:rPr>
        <w:t>for Applications to be given a first return date within 14 days of filing</w:t>
      </w:r>
      <w:r w:rsidR="00C15310">
        <w:rPr>
          <w:rFonts w:asciiTheme="minorHAnsi" w:hAnsiTheme="minorHAnsi" w:cstheme="minorHAnsi"/>
          <w:bCs/>
        </w:rPr>
        <w:t>,</w:t>
      </w:r>
    </w:p>
    <w:p w14:paraId="07E9448C" w14:textId="14C4DBC7" w:rsidR="00A64E0D" w:rsidRPr="008E52AE" w:rsidRDefault="00A64E0D" w:rsidP="002A112A">
      <w:pPr>
        <w:pStyle w:val="ListParagraph"/>
        <w:numPr>
          <w:ilvl w:val="1"/>
          <w:numId w:val="14"/>
        </w:numPr>
        <w:spacing w:after="0" w:line="240" w:lineRule="auto"/>
        <w:rPr>
          <w:rFonts w:asciiTheme="minorHAnsi" w:hAnsiTheme="minorHAnsi" w:cstheme="minorHAnsi"/>
          <w:bCs/>
        </w:rPr>
      </w:pPr>
      <w:r w:rsidRPr="008E52AE">
        <w:rPr>
          <w:rFonts w:asciiTheme="minorHAnsi" w:hAnsiTheme="minorHAnsi" w:cstheme="minorHAnsi"/>
          <w:bCs/>
        </w:rPr>
        <w:t xml:space="preserve">to ensure compliance with </w:t>
      </w:r>
      <w:r w:rsidR="00C15310">
        <w:rPr>
          <w:rFonts w:asciiTheme="minorHAnsi" w:hAnsiTheme="minorHAnsi" w:cstheme="minorHAnsi"/>
          <w:bCs/>
        </w:rPr>
        <w:t>c</w:t>
      </w:r>
      <w:r w:rsidRPr="008E52AE">
        <w:rPr>
          <w:rFonts w:asciiTheme="minorHAnsi" w:hAnsiTheme="minorHAnsi" w:cstheme="minorHAnsi"/>
          <w:bCs/>
        </w:rPr>
        <w:t>ourt orders by all parties</w:t>
      </w:r>
      <w:r w:rsidR="00C15310">
        <w:rPr>
          <w:rFonts w:asciiTheme="minorHAnsi" w:hAnsiTheme="minorHAnsi" w:cstheme="minorHAnsi"/>
          <w:bCs/>
        </w:rPr>
        <w:t>,</w:t>
      </w:r>
      <w:r w:rsidRPr="008E52AE">
        <w:rPr>
          <w:rFonts w:asciiTheme="minorHAnsi" w:hAnsiTheme="minorHAnsi" w:cstheme="minorHAnsi"/>
          <w:bCs/>
        </w:rPr>
        <w:t xml:space="preserve"> </w:t>
      </w:r>
    </w:p>
    <w:p w14:paraId="1AF776CB" w14:textId="3855FC28" w:rsidR="00A64E0D" w:rsidRPr="008E52AE" w:rsidRDefault="00A64E0D" w:rsidP="002A112A">
      <w:pPr>
        <w:pStyle w:val="ListParagraph"/>
        <w:numPr>
          <w:ilvl w:val="1"/>
          <w:numId w:val="14"/>
        </w:numPr>
        <w:spacing w:after="0" w:line="240" w:lineRule="auto"/>
        <w:rPr>
          <w:rFonts w:asciiTheme="minorHAnsi" w:hAnsiTheme="minorHAnsi" w:cstheme="minorHAnsi"/>
          <w:bCs/>
        </w:rPr>
      </w:pPr>
      <w:r w:rsidRPr="008E52AE">
        <w:rPr>
          <w:rFonts w:asciiTheme="minorHAnsi" w:hAnsiTheme="minorHAnsi" w:cstheme="minorHAnsi"/>
          <w:bCs/>
        </w:rPr>
        <w:t xml:space="preserve">to impose appropriate penalties or sanctions where a contravention has been proved and where a party has failed to demonstrate they had a reasonable excuse for non-compliance with </w:t>
      </w:r>
      <w:r w:rsidR="00C15310">
        <w:rPr>
          <w:rFonts w:asciiTheme="minorHAnsi" w:hAnsiTheme="minorHAnsi" w:cstheme="minorHAnsi"/>
          <w:bCs/>
        </w:rPr>
        <w:t>c</w:t>
      </w:r>
      <w:r w:rsidRPr="008E52AE">
        <w:rPr>
          <w:rFonts w:asciiTheme="minorHAnsi" w:hAnsiTheme="minorHAnsi" w:cstheme="minorHAnsi"/>
          <w:bCs/>
        </w:rPr>
        <w:t>ourt orders</w:t>
      </w:r>
      <w:r w:rsidR="00C15310">
        <w:rPr>
          <w:rFonts w:asciiTheme="minorHAnsi" w:hAnsiTheme="minorHAnsi" w:cstheme="minorHAnsi"/>
          <w:bCs/>
        </w:rPr>
        <w:t>,</w:t>
      </w:r>
      <w:r w:rsidRPr="008E52AE">
        <w:rPr>
          <w:rFonts w:asciiTheme="minorHAnsi" w:hAnsiTheme="minorHAnsi" w:cstheme="minorHAnsi"/>
          <w:bCs/>
        </w:rPr>
        <w:t xml:space="preserve"> </w:t>
      </w:r>
    </w:p>
    <w:p w14:paraId="22950B9C" w14:textId="40F57DEE" w:rsidR="00A64E0D" w:rsidRPr="008E52AE" w:rsidRDefault="00A64E0D" w:rsidP="002A112A">
      <w:pPr>
        <w:pStyle w:val="ListParagraph"/>
        <w:numPr>
          <w:ilvl w:val="1"/>
          <w:numId w:val="14"/>
        </w:numPr>
        <w:spacing w:after="0" w:line="240" w:lineRule="auto"/>
        <w:rPr>
          <w:rFonts w:asciiTheme="minorHAnsi" w:eastAsia="Times New Roman" w:hAnsiTheme="minorHAnsi" w:cstheme="minorHAnsi"/>
          <w:lang w:eastAsia="en-GB"/>
        </w:rPr>
      </w:pPr>
      <w:r w:rsidRPr="008E52AE">
        <w:rPr>
          <w:rFonts w:asciiTheme="minorHAnsi" w:eastAsia="Times New Roman" w:hAnsiTheme="minorHAnsi" w:cstheme="minorHAnsi"/>
          <w:lang w:eastAsia="en-GB"/>
        </w:rPr>
        <w:t>to proactively facilitate the resolution of underlying issues in disputes that lead to the filing of such applications</w:t>
      </w:r>
      <w:r w:rsidR="00C15310">
        <w:rPr>
          <w:rFonts w:asciiTheme="minorHAnsi" w:eastAsia="Times New Roman" w:hAnsiTheme="minorHAnsi" w:cstheme="minorHAnsi"/>
          <w:lang w:eastAsia="en-GB"/>
        </w:rPr>
        <w:t>,</w:t>
      </w:r>
      <w:r w:rsidRPr="008E52AE">
        <w:rPr>
          <w:rFonts w:asciiTheme="minorHAnsi" w:eastAsia="Times New Roman" w:hAnsiTheme="minorHAnsi" w:cstheme="minorHAnsi"/>
          <w:lang w:eastAsia="en-GB"/>
        </w:rPr>
        <w:t xml:space="preserve"> </w:t>
      </w:r>
    </w:p>
    <w:p w14:paraId="4AEB2C8C" w14:textId="3201E181" w:rsidR="00A64E0D" w:rsidRPr="008E52AE" w:rsidRDefault="00A64E0D" w:rsidP="002A112A">
      <w:pPr>
        <w:pStyle w:val="ListParagraph"/>
        <w:numPr>
          <w:ilvl w:val="1"/>
          <w:numId w:val="14"/>
        </w:numPr>
        <w:spacing w:after="0" w:line="240" w:lineRule="auto"/>
        <w:rPr>
          <w:rFonts w:asciiTheme="minorHAnsi" w:eastAsia="Times New Roman" w:hAnsiTheme="minorHAnsi" w:cstheme="minorHAnsi"/>
          <w:lang w:eastAsia="en-GB"/>
        </w:rPr>
      </w:pPr>
      <w:r w:rsidRPr="008E52AE">
        <w:rPr>
          <w:rFonts w:asciiTheme="minorHAnsi" w:eastAsia="Times New Roman" w:hAnsiTheme="minorHAnsi" w:cstheme="minorHAnsi"/>
          <w:lang w:eastAsia="en-GB"/>
        </w:rPr>
        <w:t>to triage appropriate matters to dispute resolution</w:t>
      </w:r>
      <w:r w:rsidR="00C15310">
        <w:rPr>
          <w:rFonts w:asciiTheme="minorHAnsi" w:eastAsia="Times New Roman" w:hAnsiTheme="minorHAnsi" w:cstheme="minorHAnsi"/>
          <w:lang w:eastAsia="en-GB"/>
        </w:rPr>
        <w:t>,</w:t>
      </w:r>
      <w:r w:rsidRPr="008E52AE">
        <w:rPr>
          <w:rFonts w:asciiTheme="minorHAnsi" w:eastAsia="Times New Roman" w:hAnsiTheme="minorHAnsi" w:cstheme="minorHAnsi"/>
          <w:lang w:eastAsia="en-GB"/>
        </w:rPr>
        <w:t xml:space="preserve"> and</w:t>
      </w:r>
    </w:p>
    <w:p w14:paraId="3D4BB10B" w14:textId="3F4C641C" w:rsidR="00D211E7" w:rsidRPr="00B27746" w:rsidRDefault="00A64E0D" w:rsidP="002A112A">
      <w:pPr>
        <w:pStyle w:val="ListParagraph"/>
        <w:numPr>
          <w:ilvl w:val="1"/>
          <w:numId w:val="14"/>
        </w:numPr>
        <w:spacing w:after="0" w:line="240" w:lineRule="auto"/>
        <w:rPr>
          <w:rFonts w:asciiTheme="minorHAnsi" w:eastAsia="Times New Roman" w:hAnsiTheme="minorHAnsi" w:cstheme="minorHAnsi"/>
          <w:lang w:eastAsia="en-GB"/>
        </w:rPr>
      </w:pPr>
      <w:proofErr w:type="gramStart"/>
      <w:r w:rsidRPr="008E52AE">
        <w:rPr>
          <w:rFonts w:asciiTheme="minorHAnsi" w:eastAsia="Times New Roman" w:hAnsiTheme="minorHAnsi" w:cstheme="minorHAnsi"/>
          <w:lang w:eastAsia="en-GB"/>
        </w:rPr>
        <w:t>to</w:t>
      </w:r>
      <w:proofErr w:type="gramEnd"/>
      <w:r w:rsidRPr="008E52AE">
        <w:rPr>
          <w:rFonts w:asciiTheme="minorHAnsi" w:eastAsia="Times New Roman" w:hAnsiTheme="minorHAnsi" w:cstheme="minorHAnsi"/>
          <w:lang w:eastAsia="en-GB"/>
        </w:rPr>
        <w:t xml:space="preserve"> be responsive to a party’s wishes to resolve matters without recourse to additional litigation.</w:t>
      </w:r>
    </w:p>
    <w:p w14:paraId="621A8014" w14:textId="096D330A" w:rsidR="00A64E0D" w:rsidRPr="008E52AE" w:rsidRDefault="00A64E0D" w:rsidP="00B27746">
      <w:pPr>
        <w:spacing w:before="240"/>
        <w:rPr>
          <w:rFonts w:asciiTheme="minorHAnsi" w:hAnsiTheme="minorHAnsi" w:cstheme="minorHAnsi"/>
          <w:sz w:val="22"/>
          <w:szCs w:val="22"/>
          <w:lang w:eastAsia="en-GB"/>
        </w:rPr>
      </w:pPr>
      <w:r w:rsidRPr="008E52AE">
        <w:rPr>
          <w:rFonts w:asciiTheme="minorHAnsi" w:hAnsiTheme="minorHAnsi" w:cstheme="minorHAnsi"/>
          <w:sz w:val="22"/>
          <w:szCs w:val="22"/>
          <w:lang w:eastAsia="en-GB"/>
        </w:rPr>
        <w:t xml:space="preserve">A Practice Direction for the new Contravention List will accompany the commencement of the list. </w:t>
      </w:r>
    </w:p>
    <w:p w14:paraId="15E562EA" w14:textId="77777777" w:rsidR="00AA2859" w:rsidRDefault="00AA2859">
      <w:pPr>
        <w:spacing w:after="160" w:line="259" w:lineRule="auto"/>
        <w:rPr>
          <w:rFonts w:asciiTheme="minorHAnsi" w:eastAsia="Calibri" w:hAnsiTheme="minorHAnsi" w:cstheme="minorHAnsi"/>
          <w:b/>
          <w:bCs/>
          <w:i/>
          <w:sz w:val="28"/>
          <w:szCs w:val="28"/>
        </w:rPr>
      </w:pPr>
      <w:r>
        <w:br w:type="page"/>
      </w:r>
    </w:p>
    <w:p w14:paraId="39ECCC0E" w14:textId="5C1E6A6B" w:rsidR="00812D7B" w:rsidRPr="00AA2859" w:rsidRDefault="00812D7B" w:rsidP="00B27746">
      <w:pPr>
        <w:pStyle w:val="Heading2"/>
      </w:pPr>
      <w:r w:rsidRPr="00AA2859">
        <w:t xml:space="preserve">Registrar – change of </w:t>
      </w:r>
      <w:r w:rsidR="004A6925" w:rsidRPr="00AA2859">
        <w:t>title</w:t>
      </w:r>
      <w:r w:rsidRPr="00AA2859">
        <w:t xml:space="preserve"> </w:t>
      </w:r>
    </w:p>
    <w:p w14:paraId="24CD89C7" w14:textId="71BE416D" w:rsidR="00812D7B" w:rsidRPr="00AA2859" w:rsidRDefault="00812D7B" w:rsidP="002A112A">
      <w:pPr>
        <w:rPr>
          <w:rFonts w:asciiTheme="minorHAnsi" w:hAnsiTheme="minorHAnsi" w:cstheme="minorHAnsi"/>
          <w:sz w:val="22"/>
          <w:szCs w:val="22"/>
        </w:rPr>
      </w:pPr>
      <w:r w:rsidRPr="00AA2859">
        <w:rPr>
          <w:rFonts w:asciiTheme="minorHAnsi" w:hAnsiTheme="minorHAnsi" w:cstheme="minorHAnsi"/>
          <w:sz w:val="22"/>
          <w:szCs w:val="22"/>
        </w:rPr>
        <w:t xml:space="preserve">As part of the overall changes, registrars will </w:t>
      </w:r>
      <w:r w:rsidR="004A6925" w:rsidRPr="00AA2859">
        <w:rPr>
          <w:rFonts w:asciiTheme="minorHAnsi" w:hAnsiTheme="minorHAnsi" w:cstheme="minorHAnsi"/>
          <w:sz w:val="22"/>
          <w:szCs w:val="22"/>
        </w:rPr>
        <w:t xml:space="preserve">have </w:t>
      </w:r>
      <w:r w:rsidRPr="00AA2859">
        <w:rPr>
          <w:rFonts w:asciiTheme="minorHAnsi" w:hAnsiTheme="minorHAnsi" w:cstheme="minorHAnsi"/>
          <w:sz w:val="22"/>
          <w:szCs w:val="22"/>
        </w:rPr>
        <w:t>different titles</w:t>
      </w:r>
      <w:r w:rsidR="004A6925" w:rsidRPr="00AA2859">
        <w:rPr>
          <w:rFonts w:asciiTheme="minorHAnsi" w:hAnsiTheme="minorHAnsi" w:cstheme="minorHAnsi"/>
          <w:sz w:val="22"/>
          <w:szCs w:val="22"/>
        </w:rPr>
        <w:t>, which appropriately reflect the nat</w:t>
      </w:r>
      <w:r w:rsidR="00410658" w:rsidRPr="00AA2859">
        <w:rPr>
          <w:rFonts w:asciiTheme="minorHAnsi" w:hAnsiTheme="minorHAnsi" w:cstheme="minorHAnsi"/>
          <w:sz w:val="22"/>
          <w:szCs w:val="22"/>
        </w:rPr>
        <w:t>u</w:t>
      </w:r>
      <w:r w:rsidR="004A6925" w:rsidRPr="00AA2859">
        <w:rPr>
          <w:rFonts w:asciiTheme="minorHAnsi" w:hAnsiTheme="minorHAnsi" w:cstheme="minorHAnsi"/>
          <w:sz w:val="22"/>
          <w:szCs w:val="22"/>
        </w:rPr>
        <w:t>re of the work that they have been, and will be, doing.</w:t>
      </w:r>
      <w:r w:rsidRPr="00AA2859">
        <w:rPr>
          <w:rFonts w:asciiTheme="minorHAnsi" w:hAnsiTheme="minorHAnsi" w:cstheme="minorHAnsi"/>
          <w:sz w:val="22"/>
          <w:szCs w:val="22"/>
        </w:rPr>
        <w:t xml:space="preserve"> Senior Registrars will </w:t>
      </w:r>
      <w:r w:rsidR="004A6925" w:rsidRPr="00AA2859">
        <w:rPr>
          <w:rFonts w:asciiTheme="minorHAnsi" w:hAnsiTheme="minorHAnsi" w:cstheme="minorHAnsi"/>
          <w:sz w:val="22"/>
          <w:szCs w:val="22"/>
        </w:rPr>
        <w:t xml:space="preserve">be </w:t>
      </w:r>
      <w:r w:rsidRPr="00AA2859">
        <w:rPr>
          <w:rFonts w:asciiTheme="minorHAnsi" w:hAnsiTheme="minorHAnsi" w:cstheme="minorHAnsi"/>
          <w:sz w:val="22"/>
          <w:szCs w:val="22"/>
        </w:rPr>
        <w:t>known as Senior Judicial Registrars, Registrars will be Judicial Registrars, and Assistant Registrars will be Deputy Registrars.</w:t>
      </w:r>
    </w:p>
    <w:p w14:paraId="3059961A" w14:textId="1F7226F6" w:rsidR="004A6925" w:rsidRPr="00812D7B" w:rsidRDefault="004A6925" w:rsidP="00AA2859">
      <w:pPr>
        <w:spacing w:before="240"/>
        <w:rPr>
          <w:rFonts w:asciiTheme="minorHAnsi" w:hAnsiTheme="minorHAnsi" w:cstheme="minorHAnsi"/>
          <w:b/>
          <w:bCs/>
          <w:sz w:val="22"/>
          <w:szCs w:val="22"/>
        </w:rPr>
      </w:pPr>
      <w:r w:rsidRPr="00AA2859">
        <w:rPr>
          <w:rFonts w:asciiTheme="minorHAnsi" w:hAnsiTheme="minorHAnsi" w:cstheme="minorHAnsi"/>
          <w:sz w:val="22"/>
          <w:szCs w:val="22"/>
        </w:rPr>
        <w:t>It should be emphasised that these titles, including the “judicial regist</w:t>
      </w:r>
      <w:r w:rsidR="00410658" w:rsidRPr="00AA2859">
        <w:rPr>
          <w:rFonts w:asciiTheme="minorHAnsi" w:hAnsiTheme="minorHAnsi" w:cstheme="minorHAnsi"/>
          <w:sz w:val="22"/>
          <w:szCs w:val="22"/>
        </w:rPr>
        <w:t>r</w:t>
      </w:r>
      <w:r w:rsidRPr="00AA2859">
        <w:rPr>
          <w:rFonts w:asciiTheme="minorHAnsi" w:hAnsiTheme="minorHAnsi" w:cstheme="minorHAnsi"/>
          <w:sz w:val="22"/>
          <w:szCs w:val="22"/>
        </w:rPr>
        <w:t>ar” title, do not change the powers or role of a registrar, noting also that the previous Judicial Registrar position, being a statutory appointment, ceases to exist with the new legislation coming into effect on 1 September, and shou</w:t>
      </w:r>
      <w:r w:rsidR="00410658" w:rsidRPr="00AA2859">
        <w:rPr>
          <w:rFonts w:asciiTheme="minorHAnsi" w:hAnsiTheme="minorHAnsi" w:cstheme="minorHAnsi"/>
          <w:sz w:val="22"/>
          <w:szCs w:val="22"/>
        </w:rPr>
        <w:t>l</w:t>
      </w:r>
      <w:r w:rsidRPr="00AA2859">
        <w:rPr>
          <w:rFonts w:asciiTheme="minorHAnsi" w:hAnsiTheme="minorHAnsi" w:cstheme="minorHAnsi"/>
          <w:sz w:val="22"/>
          <w:szCs w:val="22"/>
        </w:rPr>
        <w:t>d not be confused with the new title.</w:t>
      </w:r>
      <w:r>
        <w:rPr>
          <w:rFonts w:asciiTheme="minorHAnsi" w:hAnsiTheme="minorHAnsi" w:cstheme="minorHAnsi"/>
          <w:sz w:val="22"/>
          <w:szCs w:val="22"/>
        </w:rPr>
        <w:t xml:space="preserve">  </w:t>
      </w:r>
    </w:p>
    <w:p w14:paraId="644B3077" w14:textId="0AECCFCE" w:rsidR="00A64E0D" w:rsidRPr="008E52AE" w:rsidRDefault="00A64E0D" w:rsidP="00B27746">
      <w:pPr>
        <w:pStyle w:val="Heading2"/>
      </w:pPr>
      <w:r w:rsidRPr="008E52AE">
        <w:t xml:space="preserve">Child Dispute Services and </w:t>
      </w:r>
      <w:r w:rsidR="00152C4E">
        <w:t>Family Consultants</w:t>
      </w:r>
    </w:p>
    <w:p w14:paraId="6B9E34A9" w14:textId="77777777" w:rsidR="00152C4E" w:rsidRDefault="00A64E0D" w:rsidP="002A112A">
      <w:pPr>
        <w:rPr>
          <w:rFonts w:asciiTheme="minorHAnsi" w:hAnsiTheme="minorHAnsi" w:cstheme="minorHAnsi"/>
          <w:sz w:val="22"/>
          <w:szCs w:val="22"/>
        </w:rPr>
      </w:pPr>
      <w:r w:rsidRPr="008E52AE">
        <w:rPr>
          <w:rFonts w:asciiTheme="minorHAnsi" w:hAnsiTheme="minorHAnsi" w:cstheme="minorHAnsi"/>
          <w:sz w:val="22"/>
          <w:szCs w:val="22"/>
        </w:rPr>
        <w:t xml:space="preserve">There will be changes to the work to be undertaken by Child Dispute Services as part of the FCFCOA. In place of the present section 11F assessment process, there will be a slightly more fulsome report known as a Child Impact Report, which will be designed to assist the parties in parenting matters to reach agreement wherever possible, and to provide expert guidance to the Court for interim hearings. For matters that proceed to the trial preparation phase, the current family report model will remain available, with additional options available, including reports in relation to specific issues, and addendum reports building on the original Child Impact Report. </w:t>
      </w:r>
    </w:p>
    <w:p w14:paraId="12A91012" w14:textId="57F890A7" w:rsidR="00152C4E" w:rsidRPr="008E52AE" w:rsidRDefault="00A64E0D" w:rsidP="002A112A">
      <w:pPr>
        <w:spacing w:before="240"/>
        <w:rPr>
          <w:rFonts w:asciiTheme="minorHAnsi" w:hAnsiTheme="minorHAnsi" w:cstheme="minorHAnsi"/>
          <w:sz w:val="22"/>
          <w:szCs w:val="22"/>
        </w:rPr>
      </w:pPr>
      <w:r w:rsidRPr="008E52AE">
        <w:rPr>
          <w:rFonts w:asciiTheme="minorHAnsi" w:hAnsiTheme="minorHAnsi" w:cstheme="minorHAnsi"/>
          <w:sz w:val="22"/>
          <w:szCs w:val="22"/>
        </w:rPr>
        <w:t xml:space="preserve">Family Consultants will become known as Court Child Experts, in recognition of the fact that their role and expertise is broader than the legislative Family Consultant role, and Child Dispute Services will become known as the Court Children’s Service. </w:t>
      </w:r>
    </w:p>
    <w:p w14:paraId="5C2B0438" w14:textId="5846DDCE" w:rsidR="00410658" w:rsidRPr="008E52AE" w:rsidRDefault="00410658" w:rsidP="00410658">
      <w:pPr>
        <w:pStyle w:val="Heading2"/>
      </w:pPr>
      <w:r w:rsidRPr="008E52AE">
        <w:t xml:space="preserve">Forms </w:t>
      </w:r>
    </w:p>
    <w:p w14:paraId="794DC596" w14:textId="335CCCD2" w:rsidR="00410658" w:rsidRDefault="00410658" w:rsidP="00410658">
      <w:pPr>
        <w:rPr>
          <w:rFonts w:asciiTheme="minorHAnsi" w:hAnsiTheme="minorHAnsi" w:cstheme="minorHAnsi"/>
          <w:sz w:val="22"/>
          <w:szCs w:val="22"/>
        </w:rPr>
      </w:pPr>
      <w:r w:rsidRPr="008E52AE">
        <w:rPr>
          <w:rFonts w:asciiTheme="minorHAnsi" w:hAnsiTheme="minorHAnsi" w:cstheme="minorHAnsi"/>
          <w:sz w:val="22"/>
          <w:szCs w:val="22"/>
        </w:rPr>
        <w:t xml:space="preserve">A comprehensive review of all </w:t>
      </w:r>
      <w:r w:rsidR="000310AB">
        <w:rPr>
          <w:rFonts w:asciiTheme="minorHAnsi" w:hAnsiTheme="minorHAnsi" w:cstheme="minorHAnsi"/>
          <w:sz w:val="22"/>
          <w:szCs w:val="22"/>
        </w:rPr>
        <w:t>existing (family law and general federal law)</w:t>
      </w:r>
      <w:r w:rsidRPr="008E52AE">
        <w:rPr>
          <w:rFonts w:asciiTheme="minorHAnsi" w:hAnsiTheme="minorHAnsi" w:cstheme="minorHAnsi"/>
          <w:sz w:val="22"/>
          <w:szCs w:val="22"/>
        </w:rPr>
        <w:t xml:space="preserve"> forms is currently being undertaken to align with the FCFCOA commencing on 1 September 2021. Most form changes will involve updating references to legislation, names and terms where required. In addition, where possible, some forms will undergo more substantive changes to improve functionality and usability. </w:t>
      </w:r>
    </w:p>
    <w:p w14:paraId="37A20540" w14:textId="77777777" w:rsidR="00410658" w:rsidRPr="002A112A" w:rsidRDefault="00410658" w:rsidP="00410658">
      <w:pPr>
        <w:spacing w:before="240"/>
        <w:rPr>
          <w:rFonts w:asciiTheme="minorHAnsi" w:hAnsiTheme="minorHAnsi" w:cstheme="minorHAnsi"/>
          <w:sz w:val="22"/>
          <w:szCs w:val="22"/>
        </w:rPr>
      </w:pPr>
      <w:r w:rsidRPr="00275FAF">
        <w:rPr>
          <w:rFonts w:asciiTheme="minorHAnsi" w:hAnsiTheme="minorHAnsi" w:cstheme="minorHAnsi"/>
          <w:sz w:val="22"/>
          <w:szCs w:val="22"/>
        </w:rPr>
        <w:t xml:space="preserve">Practitioners are advised that </w:t>
      </w:r>
      <w:r>
        <w:rPr>
          <w:rFonts w:asciiTheme="minorHAnsi" w:hAnsiTheme="minorHAnsi" w:cstheme="minorHAnsi"/>
          <w:sz w:val="22"/>
          <w:szCs w:val="22"/>
        </w:rPr>
        <w:t xml:space="preserve">the name of the form for an </w:t>
      </w:r>
      <w:r w:rsidRPr="00945993">
        <w:rPr>
          <w:rFonts w:asciiTheme="minorHAnsi" w:hAnsiTheme="minorHAnsi" w:cstheme="minorHAnsi"/>
          <w:i/>
          <w:sz w:val="22"/>
          <w:szCs w:val="22"/>
        </w:rPr>
        <w:t>Application in a Case</w:t>
      </w:r>
      <w:r>
        <w:rPr>
          <w:rFonts w:asciiTheme="minorHAnsi" w:hAnsiTheme="minorHAnsi" w:cstheme="minorHAnsi"/>
          <w:sz w:val="22"/>
          <w:szCs w:val="22"/>
        </w:rPr>
        <w:t>,</w:t>
      </w:r>
      <w:r w:rsidRPr="00945993">
        <w:rPr>
          <w:rFonts w:asciiTheme="minorHAnsi" w:hAnsiTheme="minorHAnsi" w:cstheme="minorHAnsi"/>
          <w:sz w:val="22"/>
          <w:szCs w:val="22"/>
        </w:rPr>
        <w:t xml:space="preserve"> will be changing to </w:t>
      </w:r>
      <w:r w:rsidRPr="00945993">
        <w:rPr>
          <w:rFonts w:asciiTheme="minorHAnsi" w:hAnsiTheme="minorHAnsi" w:cstheme="minorHAnsi"/>
          <w:i/>
          <w:sz w:val="22"/>
          <w:szCs w:val="22"/>
        </w:rPr>
        <w:t>Application in a Proceeding</w:t>
      </w:r>
      <w:r w:rsidRPr="00945993">
        <w:rPr>
          <w:rFonts w:asciiTheme="minorHAnsi" w:hAnsiTheme="minorHAnsi" w:cstheme="minorHAnsi"/>
          <w:sz w:val="22"/>
          <w:szCs w:val="22"/>
        </w:rPr>
        <w:t>.</w:t>
      </w:r>
    </w:p>
    <w:p w14:paraId="5DB04888" w14:textId="77777777" w:rsidR="00410658" w:rsidRPr="008E52AE" w:rsidRDefault="00410658" w:rsidP="00410658">
      <w:pPr>
        <w:spacing w:before="240"/>
        <w:rPr>
          <w:rFonts w:asciiTheme="minorHAnsi" w:hAnsiTheme="minorHAnsi" w:cstheme="minorHAnsi"/>
          <w:sz w:val="22"/>
          <w:szCs w:val="22"/>
        </w:rPr>
      </w:pPr>
      <w:r>
        <w:rPr>
          <w:rFonts w:asciiTheme="minorHAnsi" w:hAnsiTheme="minorHAnsi" w:cstheme="minorHAnsi"/>
          <w:sz w:val="22"/>
          <w:szCs w:val="22"/>
        </w:rPr>
        <w:t>Importantly, the Court will provide for t</w:t>
      </w:r>
      <w:r w:rsidRPr="00275FAF">
        <w:rPr>
          <w:rFonts w:asciiTheme="minorHAnsi" w:hAnsiTheme="minorHAnsi" w:cstheme="minorHAnsi"/>
          <w:sz w:val="22"/>
          <w:szCs w:val="22"/>
        </w:rPr>
        <w:t xml:space="preserve">ransitional arrangements for the use of new forms with a 90 day grace period for old forms. </w:t>
      </w:r>
      <w:r>
        <w:rPr>
          <w:rFonts w:asciiTheme="minorHAnsi" w:hAnsiTheme="minorHAnsi" w:cstheme="minorHAnsi"/>
          <w:sz w:val="22"/>
          <w:szCs w:val="22"/>
        </w:rPr>
        <w:t>These changes also apply to general federal law</w:t>
      </w:r>
    </w:p>
    <w:p w14:paraId="69442CC9" w14:textId="2CD24DCE" w:rsidR="00A64E0D" w:rsidRPr="008E52AE" w:rsidRDefault="00A64E0D" w:rsidP="00B27746">
      <w:pPr>
        <w:pStyle w:val="Heading2"/>
        <w:rPr>
          <w:lang w:eastAsia="en-GB"/>
        </w:rPr>
      </w:pPr>
      <w:r w:rsidRPr="008E52AE">
        <w:rPr>
          <w:lang w:eastAsia="en-GB"/>
        </w:rPr>
        <w:t xml:space="preserve">A new website – fcfcoa.gov.au </w:t>
      </w:r>
    </w:p>
    <w:p w14:paraId="77770364" w14:textId="6141AD53" w:rsidR="00A64E0D" w:rsidRDefault="00A64E0D" w:rsidP="002A112A">
      <w:pPr>
        <w:rPr>
          <w:rFonts w:asciiTheme="minorHAnsi" w:hAnsiTheme="minorHAnsi" w:cstheme="minorHAnsi"/>
          <w:sz w:val="22"/>
          <w:szCs w:val="22"/>
          <w:lang w:eastAsia="en-GB"/>
        </w:rPr>
      </w:pPr>
      <w:r w:rsidRPr="008E52AE">
        <w:rPr>
          <w:rFonts w:asciiTheme="minorHAnsi" w:hAnsiTheme="minorHAnsi" w:cstheme="minorHAnsi"/>
          <w:sz w:val="22"/>
          <w:szCs w:val="22"/>
          <w:lang w:eastAsia="en-GB"/>
        </w:rPr>
        <w:t>A new website will be launched for 1 September 2021 which has been designed to provide users with simplified access to</w:t>
      </w:r>
      <w:r w:rsidR="004A6925">
        <w:rPr>
          <w:rFonts w:asciiTheme="minorHAnsi" w:hAnsiTheme="minorHAnsi" w:cstheme="minorHAnsi"/>
          <w:sz w:val="22"/>
          <w:szCs w:val="22"/>
          <w:lang w:eastAsia="en-GB"/>
        </w:rPr>
        <w:t>,</w:t>
      </w:r>
      <w:r w:rsidRPr="008E52AE">
        <w:rPr>
          <w:rFonts w:asciiTheme="minorHAnsi" w:hAnsiTheme="minorHAnsi" w:cstheme="minorHAnsi"/>
          <w:sz w:val="22"/>
          <w:szCs w:val="22"/>
          <w:lang w:eastAsia="en-GB"/>
        </w:rPr>
        <w:t xml:space="preserve"> and navigation of</w:t>
      </w:r>
      <w:r w:rsidR="004A6925">
        <w:rPr>
          <w:rFonts w:asciiTheme="minorHAnsi" w:hAnsiTheme="minorHAnsi" w:cstheme="minorHAnsi"/>
          <w:sz w:val="22"/>
          <w:szCs w:val="22"/>
          <w:lang w:eastAsia="en-GB"/>
        </w:rPr>
        <w:t>,</w:t>
      </w:r>
      <w:r w:rsidRPr="008E52AE">
        <w:rPr>
          <w:rFonts w:asciiTheme="minorHAnsi" w:hAnsiTheme="minorHAnsi" w:cstheme="minorHAnsi"/>
          <w:sz w:val="22"/>
          <w:szCs w:val="22"/>
          <w:lang w:eastAsia="en-GB"/>
        </w:rPr>
        <w:t xml:space="preserve"> </w:t>
      </w:r>
      <w:r w:rsidR="00C15310">
        <w:rPr>
          <w:rFonts w:asciiTheme="minorHAnsi" w:hAnsiTheme="minorHAnsi" w:cstheme="minorHAnsi"/>
          <w:sz w:val="22"/>
          <w:szCs w:val="22"/>
          <w:lang w:eastAsia="en-GB"/>
        </w:rPr>
        <w:t>c</w:t>
      </w:r>
      <w:r w:rsidRPr="008E52AE">
        <w:rPr>
          <w:rFonts w:asciiTheme="minorHAnsi" w:hAnsiTheme="minorHAnsi" w:cstheme="minorHAnsi"/>
          <w:sz w:val="22"/>
          <w:szCs w:val="22"/>
          <w:lang w:eastAsia="en-GB"/>
        </w:rPr>
        <w:t xml:space="preserve">ourt information. Instead of having two separate websites, the single website will make it easier for the profession, litigants and the public to source specific information about family law, migration and general federal law. </w:t>
      </w:r>
    </w:p>
    <w:p w14:paraId="2BCA1482" w14:textId="77777777" w:rsidR="00A64E0D" w:rsidRPr="008E52AE" w:rsidRDefault="00A64E0D" w:rsidP="002A112A">
      <w:pPr>
        <w:spacing w:before="240" w:after="100" w:afterAutospacing="1"/>
        <w:rPr>
          <w:rFonts w:asciiTheme="minorHAnsi" w:hAnsiTheme="minorHAnsi" w:cstheme="minorHAnsi"/>
          <w:sz w:val="22"/>
          <w:szCs w:val="22"/>
          <w:lang w:eastAsia="en-GB"/>
        </w:rPr>
      </w:pPr>
      <w:r w:rsidRPr="008E52AE">
        <w:rPr>
          <w:rFonts w:asciiTheme="minorHAnsi" w:hAnsiTheme="minorHAnsi" w:cstheme="minorHAnsi"/>
          <w:sz w:val="22"/>
          <w:szCs w:val="22"/>
          <w:lang w:eastAsia="en-GB"/>
        </w:rPr>
        <w:t xml:space="preserve">There will also be three videos published on the new website. One is aimed at assisting parties, before they commence litigation, to consider better ways to separate and encourage the use of dispute resolution. The other two videos provide details about the new FCFCOA, and a step-by-step guide on what parties can expect when they come to court. </w:t>
      </w:r>
    </w:p>
    <w:p w14:paraId="512DF83D" w14:textId="53E7040A" w:rsidR="00AD00FA" w:rsidRPr="0031295D" w:rsidRDefault="00FA7053" w:rsidP="002A112A">
      <w:pPr>
        <w:rPr>
          <w:rFonts w:asciiTheme="minorHAnsi" w:hAnsiTheme="minorHAnsi" w:cstheme="minorHAnsi"/>
          <w:bCs/>
          <w:sz w:val="22"/>
          <w:szCs w:val="22"/>
        </w:rPr>
      </w:pPr>
      <w:r w:rsidRPr="008E52AE">
        <w:rPr>
          <w:rFonts w:asciiTheme="minorHAnsi" w:hAnsiTheme="minorHAnsi" w:cstheme="minorHAnsi"/>
          <w:bCs/>
          <w:sz w:val="22"/>
          <w:szCs w:val="22"/>
          <w:lang w:eastAsia="zh-CN"/>
        </w:rPr>
        <w:t>-</w:t>
      </w:r>
      <w:r w:rsidRPr="0031295D">
        <w:rPr>
          <w:rFonts w:asciiTheme="minorHAnsi" w:hAnsiTheme="minorHAnsi" w:cstheme="minorHAnsi"/>
          <w:bCs/>
          <w:sz w:val="22"/>
          <w:szCs w:val="22"/>
          <w:lang w:eastAsia="zh-CN"/>
        </w:rPr>
        <w:t>ENDS-</w:t>
      </w:r>
    </w:p>
    <w:sectPr w:rsidR="00AD00FA" w:rsidRPr="0031295D" w:rsidSect="009901DC">
      <w:headerReference w:type="even" r:id="rId10"/>
      <w:headerReference w:type="default" r:id="rId11"/>
      <w:footerReference w:type="even" r:id="rId12"/>
      <w:footerReference w:type="default" r:id="rId13"/>
      <w:headerReference w:type="first" r:id="rId14"/>
      <w:footerReference w:type="first" r:id="rId15"/>
      <w:pgSz w:w="11906" w:h="16838"/>
      <w:pgMar w:top="1134" w:right="1133"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3DB5F4" w14:textId="77777777" w:rsidR="006E06B1" w:rsidRDefault="006E06B1">
      <w:r>
        <w:separator/>
      </w:r>
    </w:p>
  </w:endnote>
  <w:endnote w:type="continuationSeparator" w:id="0">
    <w:p w14:paraId="028403A1" w14:textId="77777777" w:rsidR="006E06B1" w:rsidRDefault="006E0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panose1 w:val="00000000000000000000"/>
    <w:charset w:val="00"/>
    <w:family w:val="swiss"/>
    <w:notTrueType/>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0BD2FF" w14:textId="77777777" w:rsidR="003619E5" w:rsidRDefault="003619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A29D60" w14:textId="77777777" w:rsidR="00BC6BB7" w:rsidRPr="002F31C2" w:rsidRDefault="00BC6BB7" w:rsidP="00BC6BB7">
    <w:pPr>
      <w:pBdr>
        <w:top w:val="single" w:sz="4" w:space="1" w:color="auto"/>
      </w:pBdr>
      <w:rPr>
        <w:rFonts w:ascii="Calibri" w:hAnsi="Calibri" w:cs="Calibri"/>
        <w:iCs/>
        <w:sz w:val="20"/>
        <w:szCs w:val="20"/>
        <w:lang w:eastAsia="en-US"/>
      </w:rPr>
    </w:pPr>
    <w:r w:rsidRPr="002F31C2">
      <w:rPr>
        <w:rFonts w:ascii="Calibri" w:hAnsi="Calibri" w:cs="Calibri"/>
        <w:iCs/>
        <w:sz w:val="20"/>
        <w:szCs w:val="20"/>
        <w:lang w:eastAsia="en-US"/>
      </w:rPr>
      <w:t xml:space="preserve">Media enquiries: Denise Healy </w:t>
    </w:r>
    <w:hyperlink r:id="rId1" w:history="1">
      <w:r w:rsidRPr="002F31C2">
        <w:rPr>
          <w:rStyle w:val="Hyperlink"/>
          <w:rFonts w:ascii="Calibri" w:hAnsi="Calibri" w:cs="Calibri"/>
          <w:iCs/>
          <w:sz w:val="20"/>
          <w:szCs w:val="20"/>
          <w:lang w:eastAsia="en-US"/>
        </w:rPr>
        <w:t>denise.healy@familycourt.gov.au</w:t>
      </w:r>
    </w:hyperlink>
    <w:r w:rsidRPr="002F31C2">
      <w:rPr>
        <w:rFonts w:ascii="Calibri" w:hAnsi="Calibri" w:cs="Calibri"/>
        <w:iCs/>
        <w:sz w:val="20"/>
        <w:szCs w:val="20"/>
        <w:lang w:eastAsia="en-US"/>
      </w:rPr>
      <w:t xml:space="preserve"> or 0409 743 695.</w:t>
    </w:r>
  </w:p>
  <w:p w14:paraId="6E7C664E" w14:textId="77777777" w:rsidR="00D055AD" w:rsidRDefault="00D055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2D9E9" w14:textId="77777777" w:rsidR="003619E5" w:rsidRDefault="003619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3E5F9C" w14:textId="77777777" w:rsidR="006E06B1" w:rsidRDefault="006E06B1">
      <w:r>
        <w:separator/>
      </w:r>
    </w:p>
  </w:footnote>
  <w:footnote w:type="continuationSeparator" w:id="0">
    <w:p w14:paraId="0C0C44CE" w14:textId="77777777" w:rsidR="006E06B1" w:rsidRDefault="006E0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F1AB4E" w14:textId="77777777" w:rsidR="003619E5" w:rsidRDefault="003619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5419C" w14:textId="415B3254" w:rsidR="00037ADB" w:rsidRDefault="00AE34E6" w:rsidP="008E0DA5">
    <w:pPr>
      <w:pStyle w:val="Footer"/>
    </w:pPr>
    <w:r w:rsidRPr="00AB7BFC">
      <w:rPr>
        <w:b/>
        <w:noProof/>
      </w:rPr>
      <w:drawing>
        <wp:inline distT="0" distB="0" distL="0" distR="0" wp14:anchorId="21B29893" wp14:editId="5B93F25A">
          <wp:extent cx="4007005" cy="61460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oA_FCC_LONG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56208" cy="622154"/>
                  </a:xfrm>
                  <a:prstGeom prst="rect">
                    <a:avLst/>
                  </a:prstGeom>
                </pic:spPr>
              </pic:pic>
            </a:graphicData>
          </a:graphic>
        </wp:inline>
      </w:drawing>
    </w:r>
  </w:p>
  <w:p w14:paraId="3F22D06E" w14:textId="77777777" w:rsidR="00643FCF" w:rsidRPr="00643FCF" w:rsidRDefault="00AE34E6" w:rsidP="007F5F48">
    <w:pPr>
      <w:keepNext/>
      <w:spacing w:before="80"/>
      <w:outlineLvl w:val="0"/>
      <w:rPr>
        <w:rFonts w:ascii="Arial" w:hAnsi="Arial" w:cs="Arial"/>
        <w:sz w:val="20"/>
        <w:lang w:eastAsia="en-US"/>
      </w:rPr>
    </w:pPr>
    <w:r>
      <w:rPr>
        <w:noProof/>
      </w:rPr>
      <mc:AlternateContent>
        <mc:Choice Requires="wps">
          <w:drawing>
            <wp:anchor distT="0" distB="0" distL="114300" distR="114300" simplePos="0" relativeHeight="251657216" behindDoc="0" locked="0" layoutInCell="1" allowOverlap="1" wp14:anchorId="55C55450" wp14:editId="0E40774D">
              <wp:simplePos x="0" y="0"/>
              <wp:positionH relativeFrom="margin">
                <wp:posOffset>727446</wp:posOffset>
              </wp:positionH>
              <wp:positionV relativeFrom="paragraph">
                <wp:posOffset>10160</wp:posOffset>
              </wp:positionV>
              <wp:extent cx="5162400" cy="0"/>
              <wp:effectExtent l="0" t="0" r="1968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62400" cy="0"/>
                      </a:xfrm>
                      <a:prstGeom prst="line">
                        <a:avLst/>
                      </a:prstGeom>
                      <a:noFill/>
                      <a:ln w="24765">
                        <a:solidFill>
                          <a:schemeClr val="bg1">
                            <a:lumMod val="8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B08FA5F"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7.3pt,.8pt" to="463.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" strokecolor="#d8d8d8 [2732]" strokeweight="1.95pt">
              <w10:wrap anchorx="margin"/>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1412D0" w14:textId="77777777" w:rsidR="003619E5" w:rsidRDefault="003619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7A0E"/>
      </v:shape>
    </w:pict>
  </w:numPicBullet>
  <w:abstractNum w:abstractNumId="0" w15:restartNumberingAfterBreak="0">
    <w:nsid w:val="11D252E2"/>
    <w:multiLevelType w:val="multilevel"/>
    <w:tmpl w:val="C7D8331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2C8489A"/>
    <w:multiLevelType w:val="hybridMultilevel"/>
    <w:tmpl w:val="F12E03A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2" w15:restartNumberingAfterBreak="0">
    <w:nsid w:val="19922571"/>
    <w:multiLevelType w:val="hybridMultilevel"/>
    <w:tmpl w:val="99F83C96"/>
    <w:lvl w:ilvl="0" w:tplc="CF6CED0C">
      <w:start w:val="1"/>
      <w:numFmt w:val="lowerLetter"/>
      <w:lvlText w:val="(%1)"/>
      <w:lvlJc w:val="left"/>
      <w:pPr>
        <w:ind w:left="720" w:hanging="360"/>
      </w:pPr>
      <w:rPr>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8B1708"/>
    <w:multiLevelType w:val="hybridMultilevel"/>
    <w:tmpl w:val="A35219A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5" w15:restartNumberingAfterBreak="0">
    <w:nsid w:val="448D208F"/>
    <w:multiLevelType w:val="hybridMultilevel"/>
    <w:tmpl w:val="AE3EF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A94627A"/>
    <w:multiLevelType w:val="multilevel"/>
    <w:tmpl w:val="7076E2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2392770"/>
    <w:multiLevelType w:val="multilevel"/>
    <w:tmpl w:val="4CA85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1DA3E3F"/>
    <w:multiLevelType w:val="hybridMultilevel"/>
    <w:tmpl w:val="6BF28CA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7335DCD"/>
    <w:multiLevelType w:val="multilevel"/>
    <w:tmpl w:val="8782258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6E0C7FEE"/>
    <w:multiLevelType w:val="hybridMultilevel"/>
    <w:tmpl w:val="527E0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ED07391"/>
    <w:multiLevelType w:val="hybridMultilevel"/>
    <w:tmpl w:val="87240FBE"/>
    <w:lvl w:ilvl="0" w:tplc="5F105604">
      <w:start w:val="1"/>
      <w:numFmt w:val="upperLetter"/>
      <w:lvlText w:val="%1."/>
      <w:lvlJc w:val="left"/>
      <w:pPr>
        <w:ind w:left="360" w:hanging="360"/>
      </w:pPr>
      <w:rPr>
        <w:rFonts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752300A6"/>
    <w:multiLevelType w:val="hybridMultilevel"/>
    <w:tmpl w:val="F906031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9C54A6B"/>
    <w:multiLevelType w:val="hybridMultilevel"/>
    <w:tmpl w:val="402E96D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5" w15:restartNumberingAfterBreak="0">
    <w:nsid w:val="7A4205BD"/>
    <w:multiLevelType w:val="hybridMultilevel"/>
    <w:tmpl w:val="A030F1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7C063F1E"/>
    <w:multiLevelType w:val="hybridMultilevel"/>
    <w:tmpl w:val="10CE2994"/>
    <w:lvl w:ilvl="0" w:tplc="90B020B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7E4A312F"/>
    <w:multiLevelType w:val="hybridMultilevel"/>
    <w:tmpl w:val="4726CF6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8"/>
  </w:num>
  <w:num w:numId="4">
    <w:abstractNumId w:val="5"/>
  </w:num>
  <w:num w:numId="5">
    <w:abstractNumId w:val="10"/>
  </w:num>
  <w:num w:numId="6">
    <w:abstractNumId w:val="15"/>
  </w:num>
  <w:num w:numId="7">
    <w:abstractNumId w:val="16"/>
  </w:num>
  <w:num w:numId="8">
    <w:abstractNumId w:val="4"/>
  </w:num>
  <w:num w:numId="9">
    <w:abstractNumId w:val="14"/>
  </w:num>
  <w:num w:numId="10">
    <w:abstractNumId w:val="1"/>
  </w:num>
  <w:num w:numId="11">
    <w:abstractNumId w:val="13"/>
  </w:num>
  <w:num w:numId="12">
    <w:abstractNumId w:val="3"/>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0"/>
  </w:num>
  <w:num w:numId="16">
    <w:abstractNumId w:val="9"/>
  </w:num>
  <w:num w:numId="17">
    <w:abstractNumId w:val="6"/>
  </w:num>
  <w:num w:numId="18">
    <w:abstractNumId w:val="17"/>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E6"/>
    <w:rsid w:val="00002E4A"/>
    <w:rsid w:val="000047AA"/>
    <w:rsid w:val="00020523"/>
    <w:rsid w:val="0002483E"/>
    <w:rsid w:val="00025663"/>
    <w:rsid w:val="000310AB"/>
    <w:rsid w:val="0003201B"/>
    <w:rsid w:val="00032494"/>
    <w:rsid w:val="000451E7"/>
    <w:rsid w:val="00050023"/>
    <w:rsid w:val="0005139C"/>
    <w:rsid w:val="0005311A"/>
    <w:rsid w:val="00063B72"/>
    <w:rsid w:val="00063F91"/>
    <w:rsid w:val="00066209"/>
    <w:rsid w:val="00067A83"/>
    <w:rsid w:val="000726AF"/>
    <w:rsid w:val="00073EEE"/>
    <w:rsid w:val="00077BC4"/>
    <w:rsid w:val="000857BD"/>
    <w:rsid w:val="000917EA"/>
    <w:rsid w:val="00094A2D"/>
    <w:rsid w:val="00095D9B"/>
    <w:rsid w:val="00097873"/>
    <w:rsid w:val="000A3339"/>
    <w:rsid w:val="000B30F9"/>
    <w:rsid w:val="000B4FDD"/>
    <w:rsid w:val="000B5B20"/>
    <w:rsid w:val="000B7BC8"/>
    <w:rsid w:val="000D377A"/>
    <w:rsid w:val="000D4A68"/>
    <w:rsid w:val="000D7C15"/>
    <w:rsid w:val="000E163D"/>
    <w:rsid w:val="000F6A9F"/>
    <w:rsid w:val="000F704C"/>
    <w:rsid w:val="000F75AA"/>
    <w:rsid w:val="00111321"/>
    <w:rsid w:val="00111B11"/>
    <w:rsid w:val="00115698"/>
    <w:rsid w:val="00115CED"/>
    <w:rsid w:val="00122402"/>
    <w:rsid w:val="00122A30"/>
    <w:rsid w:val="00130971"/>
    <w:rsid w:val="00130DB5"/>
    <w:rsid w:val="001418A7"/>
    <w:rsid w:val="00142415"/>
    <w:rsid w:val="001426D1"/>
    <w:rsid w:val="00143E33"/>
    <w:rsid w:val="00147DC2"/>
    <w:rsid w:val="00152C4E"/>
    <w:rsid w:val="0015697C"/>
    <w:rsid w:val="0016107E"/>
    <w:rsid w:val="00161AFE"/>
    <w:rsid w:val="00161E28"/>
    <w:rsid w:val="00167D4E"/>
    <w:rsid w:val="001722C0"/>
    <w:rsid w:val="0018277D"/>
    <w:rsid w:val="00184CAC"/>
    <w:rsid w:val="00193EDE"/>
    <w:rsid w:val="0019619D"/>
    <w:rsid w:val="00197EEE"/>
    <w:rsid w:val="001A004C"/>
    <w:rsid w:val="001A3C7E"/>
    <w:rsid w:val="001A4EBF"/>
    <w:rsid w:val="001C21F7"/>
    <w:rsid w:val="001E0B76"/>
    <w:rsid w:val="001E4C5F"/>
    <w:rsid w:val="00201267"/>
    <w:rsid w:val="00210CB4"/>
    <w:rsid w:val="00211D90"/>
    <w:rsid w:val="002130F3"/>
    <w:rsid w:val="00224B94"/>
    <w:rsid w:val="002361A6"/>
    <w:rsid w:val="002546A9"/>
    <w:rsid w:val="00264DCF"/>
    <w:rsid w:val="0026629E"/>
    <w:rsid w:val="00272566"/>
    <w:rsid w:val="00275FAF"/>
    <w:rsid w:val="00282C31"/>
    <w:rsid w:val="00286FB9"/>
    <w:rsid w:val="00287FA8"/>
    <w:rsid w:val="002A112A"/>
    <w:rsid w:val="002D0038"/>
    <w:rsid w:val="002E006A"/>
    <w:rsid w:val="002E0207"/>
    <w:rsid w:val="002E0843"/>
    <w:rsid w:val="002E347D"/>
    <w:rsid w:val="002E4EC1"/>
    <w:rsid w:val="002E71F9"/>
    <w:rsid w:val="002F5CD8"/>
    <w:rsid w:val="002F73C5"/>
    <w:rsid w:val="003053CE"/>
    <w:rsid w:val="0030689E"/>
    <w:rsid w:val="0031295D"/>
    <w:rsid w:val="00317400"/>
    <w:rsid w:val="00317A22"/>
    <w:rsid w:val="00326F16"/>
    <w:rsid w:val="003302AF"/>
    <w:rsid w:val="00330BF9"/>
    <w:rsid w:val="00331792"/>
    <w:rsid w:val="003328DC"/>
    <w:rsid w:val="00340861"/>
    <w:rsid w:val="0034498E"/>
    <w:rsid w:val="003461EC"/>
    <w:rsid w:val="00353339"/>
    <w:rsid w:val="00361190"/>
    <w:rsid w:val="003619E5"/>
    <w:rsid w:val="0036627A"/>
    <w:rsid w:val="00367C23"/>
    <w:rsid w:val="00370039"/>
    <w:rsid w:val="00371B83"/>
    <w:rsid w:val="00375533"/>
    <w:rsid w:val="003760A2"/>
    <w:rsid w:val="00382666"/>
    <w:rsid w:val="00385CD8"/>
    <w:rsid w:val="003871D1"/>
    <w:rsid w:val="00390A78"/>
    <w:rsid w:val="00391908"/>
    <w:rsid w:val="003A0900"/>
    <w:rsid w:val="003A0E0A"/>
    <w:rsid w:val="003A3639"/>
    <w:rsid w:val="003B0856"/>
    <w:rsid w:val="003B25E4"/>
    <w:rsid w:val="003C1CAE"/>
    <w:rsid w:val="003C2319"/>
    <w:rsid w:val="003D3209"/>
    <w:rsid w:val="003D58BA"/>
    <w:rsid w:val="003E24BD"/>
    <w:rsid w:val="003E2517"/>
    <w:rsid w:val="003E4F9E"/>
    <w:rsid w:val="003E7C8A"/>
    <w:rsid w:val="003F0D25"/>
    <w:rsid w:val="003F42CD"/>
    <w:rsid w:val="004053D0"/>
    <w:rsid w:val="00410658"/>
    <w:rsid w:val="004156B1"/>
    <w:rsid w:val="00424813"/>
    <w:rsid w:val="00430EE0"/>
    <w:rsid w:val="00431149"/>
    <w:rsid w:val="00436F4D"/>
    <w:rsid w:val="00442AA1"/>
    <w:rsid w:val="00442D13"/>
    <w:rsid w:val="0044451E"/>
    <w:rsid w:val="004517D5"/>
    <w:rsid w:val="004543E3"/>
    <w:rsid w:val="0046024F"/>
    <w:rsid w:val="00463D85"/>
    <w:rsid w:val="00465380"/>
    <w:rsid w:val="00467410"/>
    <w:rsid w:val="00474EBE"/>
    <w:rsid w:val="00476E4E"/>
    <w:rsid w:val="0047773B"/>
    <w:rsid w:val="00483A51"/>
    <w:rsid w:val="00486FB3"/>
    <w:rsid w:val="004A3948"/>
    <w:rsid w:val="004A6925"/>
    <w:rsid w:val="004B2770"/>
    <w:rsid w:val="004B6254"/>
    <w:rsid w:val="004C1F2A"/>
    <w:rsid w:val="004D0238"/>
    <w:rsid w:val="004E422F"/>
    <w:rsid w:val="00502805"/>
    <w:rsid w:val="005037F8"/>
    <w:rsid w:val="005038D9"/>
    <w:rsid w:val="00504A78"/>
    <w:rsid w:val="005061A7"/>
    <w:rsid w:val="00512D5C"/>
    <w:rsid w:val="00513B94"/>
    <w:rsid w:val="00521785"/>
    <w:rsid w:val="00530616"/>
    <w:rsid w:val="00534E37"/>
    <w:rsid w:val="00536F07"/>
    <w:rsid w:val="00550375"/>
    <w:rsid w:val="00564E14"/>
    <w:rsid w:val="0057433A"/>
    <w:rsid w:val="0057682F"/>
    <w:rsid w:val="00577AD9"/>
    <w:rsid w:val="00580F3C"/>
    <w:rsid w:val="00587A62"/>
    <w:rsid w:val="00591FB9"/>
    <w:rsid w:val="005A4AA1"/>
    <w:rsid w:val="005A5FC2"/>
    <w:rsid w:val="005B6C08"/>
    <w:rsid w:val="005C5449"/>
    <w:rsid w:val="005C5DA0"/>
    <w:rsid w:val="005D2D86"/>
    <w:rsid w:val="005D550F"/>
    <w:rsid w:val="005D6DB0"/>
    <w:rsid w:val="005E18C8"/>
    <w:rsid w:val="005F56CC"/>
    <w:rsid w:val="00604360"/>
    <w:rsid w:val="00616C3C"/>
    <w:rsid w:val="00617062"/>
    <w:rsid w:val="006171D4"/>
    <w:rsid w:val="0062047D"/>
    <w:rsid w:val="00621925"/>
    <w:rsid w:val="00622617"/>
    <w:rsid w:val="00623AFB"/>
    <w:rsid w:val="00635017"/>
    <w:rsid w:val="00636360"/>
    <w:rsid w:val="00636A37"/>
    <w:rsid w:val="00637A1D"/>
    <w:rsid w:val="00640F80"/>
    <w:rsid w:val="00642005"/>
    <w:rsid w:val="00647436"/>
    <w:rsid w:val="00653B9F"/>
    <w:rsid w:val="0066241D"/>
    <w:rsid w:val="00664B4E"/>
    <w:rsid w:val="006802E5"/>
    <w:rsid w:val="00695641"/>
    <w:rsid w:val="006A3527"/>
    <w:rsid w:val="006A45AC"/>
    <w:rsid w:val="006B2C22"/>
    <w:rsid w:val="006D6F85"/>
    <w:rsid w:val="006D78FA"/>
    <w:rsid w:val="006E06B1"/>
    <w:rsid w:val="006E41BF"/>
    <w:rsid w:val="006F0274"/>
    <w:rsid w:val="00704F29"/>
    <w:rsid w:val="0071071D"/>
    <w:rsid w:val="0071225F"/>
    <w:rsid w:val="00712610"/>
    <w:rsid w:val="00722B4F"/>
    <w:rsid w:val="0073112F"/>
    <w:rsid w:val="00732CC8"/>
    <w:rsid w:val="0073585B"/>
    <w:rsid w:val="00736032"/>
    <w:rsid w:val="00743470"/>
    <w:rsid w:val="00744BFE"/>
    <w:rsid w:val="00751196"/>
    <w:rsid w:val="00754653"/>
    <w:rsid w:val="0075585A"/>
    <w:rsid w:val="0076242F"/>
    <w:rsid w:val="007631D6"/>
    <w:rsid w:val="00765BDC"/>
    <w:rsid w:val="007726AA"/>
    <w:rsid w:val="00782AFD"/>
    <w:rsid w:val="00790AFA"/>
    <w:rsid w:val="00793114"/>
    <w:rsid w:val="00794041"/>
    <w:rsid w:val="007A3FA6"/>
    <w:rsid w:val="007A55C6"/>
    <w:rsid w:val="007A5B2D"/>
    <w:rsid w:val="007B0DD0"/>
    <w:rsid w:val="007C4FF0"/>
    <w:rsid w:val="007C5781"/>
    <w:rsid w:val="007D13E8"/>
    <w:rsid w:val="007D19D4"/>
    <w:rsid w:val="007D7BC4"/>
    <w:rsid w:val="007E3157"/>
    <w:rsid w:val="007F2645"/>
    <w:rsid w:val="007F2E19"/>
    <w:rsid w:val="007F37AE"/>
    <w:rsid w:val="007F3F05"/>
    <w:rsid w:val="007F75C8"/>
    <w:rsid w:val="00812D7B"/>
    <w:rsid w:val="0082413C"/>
    <w:rsid w:val="00825C4E"/>
    <w:rsid w:val="00831CC7"/>
    <w:rsid w:val="00833724"/>
    <w:rsid w:val="00834728"/>
    <w:rsid w:val="00835336"/>
    <w:rsid w:val="0083601E"/>
    <w:rsid w:val="008406CC"/>
    <w:rsid w:val="008412FA"/>
    <w:rsid w:val="00841A83"/>
    <w:rsid w:val="00851ECA"/>
    <w:rsid w:val="00852A52"/>
    <w:rsid w:val="0086067F"/>
    <w:rsid w:val="00874688"/>
    <w:rsid w:val="00882A88"/>
    <w:rsid w:val="008832E4"/>
    <w:rsid w:val="00883C54"/>
    <w:rsid w:val="00886FA3"/>
    <w:rsid w:val="00893524"/>
    <w:rsid w:val="00896DE1"/>
    <w:rsid w:val="008A4B6A"/>
    <w:rsid w:val="008A67C9"/>
    <w:rsid w:val="008B12D7"/>
    <w:rsid w:val="008B2BD2"/>
    <w:rsid w:val="008B434B"/>
    <w:rsid w:val="008C1DAE"/>
    <w:rsid w:val="008D0B71"/>
    <w:rsid w:val="008D1D83"/>
    <w:rsid w:val="008D3E29"/>
    <w:rsid w:val="008D468A"/>
    <w:rsid w:val="008E124D"/>
    <w:rsid w:val="008E52AE"/>
    <w:rsid w:val="008F4B04"/>
    <w:rsid w:val="008F5305"/>
    <w:rsid w:val="008F638E"/>
    <w:rsid w:val="00903C2A"/>
    <w:rsid w:val="0090620C"/>
    <w:rsid w:val="0090716E"/>
    <w:rsid w:val="009155F8"/>
    <w:rsid w:val="009276C3"/>
    <w:rsid w:val="00932622"/>
    <w:rsid w:val="00933420"/>
    <w:rsid w:val="0093783A"/>
    <w:rsid w:val="009448B3"/>
    <w:rsid w:val="00945993"/>
    <w:rsid w:val="0094652E"/>
    <w:rsid w:val="009526A5"/>
    <w:rsid w:val="00953633"/>
    <w:rsid w:val="00955CAC"/>
    <w:rsid w:val="00956102"/>
    <w:rsid w:val="00956BB3"/>
    <w:rsid w:val="00956E03"/>
    <w:rsid w:val="00961917"/>
    <w:rsid w:val="00961C4D"/>
    <w:rsid w:val="00965264"/>
    <w:rsid w:val="00972A14"/>
    <w:rsid w:val="00974647"/>
    <w:rsid w:val="0098762C"/>
    <w:rsid w:val="009901DC"/>
    <w:rsid w:val="009969E1"/>
    <w:rsid w:val="00996CEA"/>
    <w:rsid w:val="009A6AA2"/>
    <w:rsid w:val="009B6C43"/>
    <w:rsid w:val="009C0342"/>
    <w:rsid w:val="009C0D53"/>
    <w:rsid w:val="009C1FE6"/>
    <w:rsid w:val="009C3162"/>
    <w:rsid w:val="009C5FB5"/>
    <w:rsid w:val="009D0CB0"/>
    <w:rsid w:val="009D1733"/>
    <w:rsid w:val="00A00DF2"/>
    <w:rsid w:val="00A125B7"/>
    <w:rsid w:val="00A144B5"/>
    <w:rsid w:val="00A15E20"/>
    <w:rsid w:val="00A2342A"/>
    <w:rsid w:val="00A23E00"/>
    <w:rsid w:val="00A24696"/>
    <w:rsid w:val="00A26491"/>
    <w:rsid w:val="00A26D12"/>
    <w:rsid w:val="00A45603"/>
    <w:rsid w:val="00A521A3"/>
    <w:rsid w:val="00A53854"/>
    <w:rsid w:val="00A60331"/>
    <w:rsid w:val="00A6068D"/>
    <w:rsid w:val="00A64E0D"/>
    <w:rsid w:val="00A6566E"/>
    <w:rsid w:val="00A65EB1"/>
    <w:rsid w:val="00A67E79"/>
    <w:rsid w:val="00A700A7"/>
    <w:rsid w:val="00A7166E"/>
    <w:rsid w:val="00A779B9"/>
    <w:rsid w:val="00A86BF7"/>
    <w:rsid w:val="00A870C2"/>
    <w:rsid w:val="00A92FC4"/>
    <w:rsid w:val="00A9531A"/>
    <w:rsid w:val="00A96F01"/>
    <w:rsid w:val="00AA0874"/>
    <w:rsid w:val="00AA2859"/>
    <w:rsid w:val="00AA6477"/>
    <w:rsid w:val="00AB0E68"/>
    <w:rsid w:val="00AB4269"/>
    <w:rsid w:val="00AB7BFC"/>
    <w:rsid w:val="00AC1EE2"/>
    <w:rsid w:val="00AC2198"/>
    <w:rsid w:val="00AD00FA"/>
    <w:rsid w:val="00AD024B"/>
    <w:rsid w:val="00AD0B8C"/>
    <w:rsid w:val="00AD4134"/>
    <w:rsid w:val="00AD74A3"/>
    <w:rsid w:val="00AE1DFA"/>
    <w:rsid w:val="00AE2AC6"/>
    <w:rsid w:val="00AE2D7E"/>
    <w:rsid w:val="00AE34E6"/>
    <w:rsid w:val="00AE6317"/>
    <w:rsid w:val="00AF3C40"/>
    <w:rsid w:val="00AF5C42"/>
    <w:rsid w:val="00B02645"/>
    <w:rsid w:val="00B05FEE"/>
    <w:rsid w:val="00B07C37"/>
    <w:rsid w:val="00B1052F"/>
    <w:rsid w:val="00B2423A"/>
    <w:rsid w:val="00B24A19"/>
    <w:rsid w:val="00B27746"/>
    <w:rsid w:val="00B43CA3"/>
    <w:rsid w:val="00B44E8C"/>
    <w:rsid w:val="00B52487"/>
    <w:rsid w:val="00B53A35"/>
    <w:rsid w:val="00B54252"/>
    <w:rsid w:val="00B6370B"/>
    <w:rsid w:val="00B63ACD"/>
    <w:rsid w:val="00B71688"/>
    <w:rsid w:val="00B73790"/>
    <w:rsid w:val="00B74497"/>
    <w:rsid w:val="00B90851"/>
    <w:rsid w:val="00B90C43"/>
    <w:rsid w:val="00B972DB"/>
    <w:rsid w:val="00BA4AC8"/>
    <w:rsid w:val="00BB07C9"/>
    <w:rsid w:val="00BB5D69"/>
    <w:rsid w:val="00BC24B2"/>
    <w:rsid w:val="00BC52AF"/>
    <w:rsid w:val="00BC6BB7"/>
    <w:rsid w:val="00BD1C74"/>
    <w:rsid w:val="00BD1E33"/>
    <w:rsid w:val="00BD36B7"/>
    <w:rsid w:val="00BD3C12"/>
    <w:rsid w:val="00BD4F8D"/>
    <w:rsid w:val="00BD58AD"/>
    <w:rsid w:val="00BD7B59"/>
    <w:rsid w:val="00BE4391"/>
    <w:rsid w:val="00C06603"/>
    <w:rsid w:val="00C15310"/>
    <w:rsid w:val="00C16D49"/>
    <w:rsid w:val="00C2713F"/>
    <w:rsid w:val="00C340A5"/>
    <w:rsid w:val="00C37918"/>
    <w:rsid w:val="00C44F66"/>
    <w:rsid w:val="00C51D5E"/>
    <w:rsid w:val="00C532C2"/>
    <w:rsid w:val="00C5459A"/>
    <w:rsid w:val="00C71BD4"/>
    <w:rsid w:val="00C72435"/>
    <w:rsid w:val="00C74449"/>
    <w:rsid w:val="00C777C1"/>
    <w:rsid w:val="00C77CAC"/>
    <w:rsid w:val="00C82827"/>
    <w:rsid w:val="00C861C9"/>
    <w:rsid w:val="00C97D4D"/>
    <w:rsid w:val="00CA5101"/>
    <w:rsid w:val="00CA52F8"/>
    <w:rsid w:val="00CB31B1"/>
    <w:rsid w:val="00CB4906"/>
    <w:rsid w:val="00CC011C"/>
    <w:rsid w:val="00CC334C"/>
    <w:rsid w:val="00CD5D7F"/>
    <w:rsid w:val="00CE120B"/>
    <w:rsid w:val="00CE15F7"/>
    <w:rsid w:val="00CE3D17"/>
    <w:rsid w:val="00CF0A36"/>
    <w:rsid w:val="00CF1913"/>
    <w:rsid w:val="00CF3812"/>
    <w:rsid w:val="00CF71E9"/>
    <w:rsid w:val="00D04152"/>
    <w:rsid w:val="00D055AD"/>
    <w:rsid w:val="00D12D12"/>
    <w:rsid w:val="00D17BD3"/>
    <w:rsid w:val="00D211E7"/>
    <w:rsid w:val="00D32B8C"/>
    <w:rsid w:val="00D36651"/>
    <w:rsid w:val="00D41D7E"/>
    <w:rsid w:val="00D45EDF"/>
    <w:rsid w:val="00D5000A"/>
    <w:rsid w:val="00D504A8"/>
    <w:rsid w:val="00D505FA"/>
    <w:rsid w:val="00D62995"/>
    <w:rsid w:val="00D63021"/>
    <w:rsid w:val="00D70D4C"/>
    <w:rsid w:val="00D71FFB"/>
    <w:rsid w:val="00D735E7"/>
    <w:rsid w:val="00D753F1"/>
    <w:rsid w:val="00D823DB"/>
    <w:rsid w:val="00D92ACC"/>
    <w:rsid w:val="00D94232"/>
    <w:rsid w:val="00DB0D8A"/>
    <w:rsid w:val="00DC1195"/>
    <w:rsid w:val="00DC3B61"/>
    <w:rsid w:val="00DC42EF"/>
    <w:rsid w:val="00DC6D1D"/>
    <w:rsid w:val="00DD6DBF"/>
    <w:rsid w:val="00DE1592"/>
    <w:rsid w:val="00DE2DED"/>
    <w:rsid w:val="00DE4866"/>
    <w:rsid w:val="00DE56FC"/>
    <w:rsid w:val="00E002A8"/>
    <w:rsid w:val="00E01416"/>
    <w:rsid w:val="00E0325A"/>
    <w:rsid w:val="00E03716"/>
    <w:rsid w:val="00E056B2"/>
    <w:rsid w:val="00E073B8"/>
    <w:rsid w:val="00E11EB8"/>
    <w:rsid w:val="00E12977"/>
    <w:rsid w:val="00E14336"/>
    <w:rsid w:val="00E21B99"/>
    <w:rsid w:val="00E243B1"/>
    <w:rsid w:val="00E32AD7"/>
    <w:rsid w:val="00E4419B"/>
    <w:rsid w:val="00E47B1B"/>
    <w:rsid w:val="00E56D5A"/>
    <w:rsid w:val="00E70B87"/>
    <w:rsid w:val="00E72B53"/>
    <w:rsid w:val="00E74D1F"/>
    <w:rsid w:val="00E75B13"/>
    <w:rsid w:val="00E853CF"/>
    <w:rsid w:val="00E87EA4"/>
    <w:rsid w:val="00E90E24"/>
    <w:rsid w:val="00E9616F"/>
    <w:rsid w:val="00E97055"/>
    <w:rsid w:val="00EA0C9D"/>
    <w:rsid w:val="00EA65A5"/>
    <w:rsid w:val="00EA76AA"/>
    <w:rsid w:val="00EB2A7A"/>
    <w:rsid w:val="00EB6204"/>
    <w:rsid w:val="00EC1A56"/>
    <w:rsid w:val="00EC4404"/>
    <w:rsid w:val="00EC4BF0"/>
    <w:rsid w:val="00EC5075"/>
    <w:rsid w:val="00EC540F"/>
    <w:rsid w:val="00ED517E"/>
    <w:rsid w:val="00ED6121"/>
    <w:rsid w:val="00ED7B8F"/>
    <w:rsid w:val="00EE7B99"/>
    <w:rsid w:val="00EF15B1"/>
    <w:rsid w:val="00EF3FA9"/>
    <w:rsid w:val="00EF4FBB"/>
    <w:rsid w:val="00EF547B"/>
    <w:rsid w:val="00EF5DEA"/>
    <w:rsid w:val="00F04077"/>
    <w:rsid w:val="00F06CE6"/>
    <w:rsid w:val="00F12300"/>
    <w:rsid w:val="00F15819"/>
    <w:rsid w:val="00F23EFC"/>
    <w:rsid w:val="00F24EED"/>
    <w:rsid w:val="00F335B8"/>
    <w:rsid w:val="00F513C8"/>
    <w:rsid w:val="00F560B2"/>
    <w:rsid w:val="00F6000B"/>
    <w:rsid w:val="00F64CED"/>
    <w:rsid w:val="00F664C7"/>
    <w:rsid w:val="00F7030E"/>
    <w:rsid w:val="00F722E8"/>
    <w:rsid w:val="00F732AC"/>
    <w:rsid w:val="00F750A2"/>
    <w:rsid w:val="00F85C40"/>
    <w:rsid w:val="00F90C95"/>
    <w:rsid w:val="00F92F60"/>
    <w:rsid w:val="00F9477A"/>
    <w:rsid w:val="00F97641"/>
    <w:rsid w:val="00FA0226"/>
    <w:rsid w:val="00FA6CD2"/>
    <w:rsid w:val="00FA7053"/>
    <w:rsid w:val="00FB0F15"/>
    <w:rsid w:val="00FB422E"/>
    <w:rsid w:val="00FB61CA"/>
    <w:rsid w:val="00FC0FF3"/>
    <w:rsid w:val="00FE141C"/>
    <w:rsid w:val="00FE23F4"/>
    <w:rsid w:val="00FE31FB"/>
    <w:rsid w:val="00FE576A"/>
    <w:rsid w:val="00FF1F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8CE66"/>
  <w15:chartTrackingRefBased/>
  <w15:docId w15:val="{40DFC7A7-C8EF-4295-BA09-D24A46F9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E6"/>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1A4EBF"/>
    <w:pPr>
      <w:ind w:left="142" w:right="425"/>
      <w:jc w:val="center"/>
      <w:outlineLvl w:val="0"/>
    </w:pPr>
    <w:rPr>
      <w:rFonts w:asciiTheme="minorHAnsi" w:eastAsiaTheme="majorEastAsia" w:hAnsiTheme="minorHAnsi" w:cstheme="minorHAnsi"/>
      <w:b/>
      <w:bCs/>
      <w:color w:val="2E74B5" w:themeColor="accent1" w:themeShade="BF"/>
      <w:sz w:val="28"/>
      <w:szCs w:val="28"/>
    </w:rPr>
  </w:style>
  <w:style w:type="paragraph" w:styleId="Heading2">
    <w:name w:val="heading 2"/>
    <w:basedOn w:val="Normal"/>
    <w:next w:val="Normal"/>
    <w:link w:val="Heading2Char"/>
    <w:uiPriority w:val="9"/>
    <w:unhideWhenUsed/>
    <w:qFormat/>
    <w:rsid w:val="00B27746"/>
    <w:pPr>
      <w:keepNext/>
      <w:spacing w:before="240" w:after="120"/>
      <w:outlineLvl w:val="1"/>
    </w:pPr>
    <w:rPr>
      <w:rFonts w:asciiTheme="minorHAnsi" w:eastAsia="Calibri" w:hAnsiTheme="minorHAnsi" w:cstheme="minorHAnsi"/>
      <w:b/>
      <w:bCs/>
      <w:i/>
      <w:sz w:val="28"/>
      <w:szCs w:val="28"/>
    </w:rPr>
  </w:style>
  <w:style w:type="paragraph" w:styleId="Heading3">
    <w:name w:val="heading 3"/>
    <w:basedOn w:val="Normal"/>
    <w:next w:val="Normal"/>
    <w:link w:val="Heading3Char"/>
    <w:uiPriority w:val="9"/>
    <w:semiHidden/>
    <w:unhideWhenUsed/>
    <w:qFormat/>
    <w:rsid w:val="00CF38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E34E6"/>
    <w:rPr>
      <w:color w:val="0563C1" w:themeColor="hyperlink"/>
      <w:u w:val="single"/>
    </w:rPr>
  </w:style>
  <w:style w:type="character" w:customStyle="1" w:styleId="apple-converted-space">
    <w:name w:val="apple-converted-space"/>
    <w:basedOn w:val="DefaultParagraphFont"/>
    <w:rsid w:val="00AE34E6"/>
  </w:style>
  <w:style w:type="paragraph" w:styleId="Header">
    <w:name w:val="header"/>
    <w:basedOn w:val="Normal"/>
    <w:link w:val="HeaderChar"/>
    <w:rsid w:val="00AE34E6"/>
    <w:pPr>
      <w:tabs>
        <w:tab w:val="center" w:pos="4513"/>
        <w:tab w:val="right" w:pos="9026"/>
      </w:tabs>
    </w:pPr>
  </w:style>
  <w:style w:type="character" w:customStyle="1" w:styleId="HeaderChar">
    <w:name w:val="Header Char"/>
    <w:basedOn w:val="DefaultParagraphFont"/>
    <w:link w:val="Header"/>
    <w:rsid w:val="00AE34E6"/>
    <w:rPr>
      <w:rFonts w:ascii="Times New Roman" w:eastAsia="Times New Roman" w:hAnsi="Times New Roman" w:cs="Times New Roman"/>
      <w:sz w:val="24"/>
      <w:szCs w:val="24"/>
      <w:lang w:eastAsia="en-AU"/>
    </w:rPr>
  </w:style>
  <w:style w:type="paragraph" w:styleId="Footer">
    <w:name w:val="footer"/>
    <w:basedOn w:val="Normal"/>
    <w:link w:val="FooterChar"/>
    <w:rsid w:val="00AE34E6"/>
    <w:pPr>
      <w:tabs>
        <w:tab w:val="center" w:pos="4513"/>
        <w:tab w:val="right" w:pos="9026"/>
      </w:tabs>
    </w:pPr>
  </w:style>
  <w:style w:type="character" w:customStyle="1" w:styleId="FooterChar">
    <w:name w:val="Footer Char"/>
    <w:basedOn w:val="DefaultParagraphFont"/>
    <w:link w:val="Footer"/>
    <w:rsid w:val="00AE34E6"/>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rsid w:val="001A4EBF"/>
    <w:rPr>
      <w:rFonts w:eastAsiaTheme="majorEastAsia" w:cstheme="minorHAnsi"/>
      <w:b/>
      <w:bCs/>
      <w:color w:val="2E74B5" w:themeColor="accent1" w:themeShade="BF"/>
      <w:sz w:val="28"/>
      <w:szCs w:val="28"/>
      <w:lang w:eastAsia="en-AU"/>
    </w:rPr>
  </w:style>
  <w:style w:type="paragraph" w:styleId="BalloonText">
    <w:name w:val="Balloon Text"/>
    <w:basedOn w:val="Normal"/>
    <w:link w:val="BalloonTextChar"/>
    <w:uiPriority w:val="99"/>
    <w:semiHidden/>
    <w:unhideWhenUsed/>
    <w:rsid w:val="00D92A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ACC"/>
    <w:rPr>
      <w:rFonts w:ascii="Segoe UI" w:eastAsia="Times New Roman" w:hAnsi="Segoe UI" w:cs="Segoe UI"/>
      <w:sz w:val="18"/>
      <w:szCs w:val="18"/>
      <w:lang w:eastAsia="en-AU"/>
    </w:rPr>
  </w:style>
  <w:style w:type="paragraph" w:styleId="CommentText">
    <w:name w:val="annotation text"/>
    <w:basedOn w:val="Normal"/>
    <w:link w:val="CommentTextChar"/>
    <w:uiPriority w:val="99"/>
    <w:unhideWhenUsed/>
    <w:rsid w:val="005A5FC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5A5FC2"/>
    <w:rPr>
      <w:sz w:val="20"/>
      <w:szCs w:val="20"/>
    </w:rPr>
  </w:style>
  <w:style w:type="paragraph" w:customStyle="1" w:styleId="CM13">
    <w:name w:val="CM13"/>
    <w:basedOn w:val="Normal"/>
    <w:next w:val="Normal"/>
    <w:uiPriority w:val="99"/>
    <w:rsid w:val="00E002A8"/>
    <w:pPr>
      <w:autoSpaceDE w:val="0"/>
      <w:autoSpaceDN w:val="0"/>
      <w:adjustRightInd w:val="0"/>
    </w:pPr>
    <w:rPr>
      <w:rFonts w:ascii="Open Sans Light" w:eastAsiaTheme="minorHAnsi" w:hAnsi="Open Sans Light" w:cstheme="minorBidi"/>
      <w:lang w:eastAsia="en-US"/>
    </w:rPr>
  </w:style>
  <w:style w:type="paragraph" w:styleId="PlainText">
    <w:name w:val="Plain Text"/>
    <w:basedOn w:val="Normal"/>
    <w:link w:val="PlainTextChar"/>
    <w:uiPriority w:val="99"/>
    <w:unhideWhenUsed/>
    <w:rsid w:val="009276C3"/>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9276C3"/>
    <w:rPr>
      <w:rFonts w:ascii="Calibri" w:hAnsi="Calibri" w:cs="Calibri"/>
    </w:rPr>
  </w:style>
  <w:style w:type="paragraph" w:customStyle="1" w:styleId="Default">
    <w:name w:val="Default"/>
    <w:basedOn w:val="Normal"/>
    <w:uiPriority w:val="99"/>
    <w:rsid w:val="009276C3"/>
    <w:pPr>
      <w:autoSpaceDE w:val="0"/>
      <w:autoSpaceDN w:val="0"/>
    </w:pPr>
    <w:rPr>
      <w:rFonts w:eastAsiaTheme="minorHAnsi"/>
      <w:color w:val="000000"/>
      <w:lang w:eastAsia="en-US"/>
    </w:rPr>
  </w:style>
  <w:style w:type="character" w:styleId="CommentReference">
    <w:name w:val="annotation reference"/>
    <w:basedOn w:val="DefaultParagraphFont"/>
    <w:uiPriority w:val="99"/>
    <w:semiHidden/>
    <w:unhideWhenUsed/>
    <w:rsid w:val="00FA6CD2"/>
    <w:rPr>
      <w:sz w:val="16"/>
      <w:szCs w:val="16"/>
    </w:rPr>
  </w:style>
  <w:style w:type="paragraph" w:styleId="CommentSubject">
    <w:name w:val="annotation subject"/>
    <w:basedOn w:val="CommentText"/>
    <w:next w:val="CommentText"/>
    <w:link w:val="CommentSubjectChar"/>
    <w:uiPriority w:val="99"/>
    <w:semiHidden/>
    <w:unhideWhenUsed/>
    <w:rsid w:val="00FA6CD2"/>
    <w:pPr>
      <w:spacing w:after="0"/>
    </w:pPr>
    <w:rPr>
      <w:rFonts w:ascii="Times New Roman" w:eastAsia="Times New Roman" w:hAnsi="Times New Roman" w:cs="Times New Roman"/>
      <w:b/>
      <w:bCs/>
      <w:lang w:eastAsia="en-AU"/>
    </w:rPr>
  </w:style>
  <w:style w:type="character" w:customStyle="1" w:styleId="CommentSubjectChar">
    <w:name w:val="Comment Subject Char"/>
    <w:basedOn w:val="CommentTextChar"/>
    <w:link w:val="CommentSubject"/>
    <w:uiPriority w:val="99"/>
    <w:semiHidden/>
    <w:rsid w:val="00FA6CD2"/>
    <w:rPr>
      <w:rFonts w:ascii="Times New Roman" w:eastAsia="Times New Roman" w:hAnsi="Times New Roman" w:cs="Times New Roman"/>
      <w:b/>
      <w:bCs/>
      <w:sz w:val="20"/>
      <w:szCs w:val="20"/>
      <w:lang w:eastAsia="en-AU"/>
    </w:rPr>
  </w:style>
  <w:style w:type="character" w:customStyle="1" w:styleId="Heading2Char">
    <w:name w:val="Heading 2 Char"/>
    <w:basedOn w:val="DefaultParagraphFont"/>
    <w:link w:val="Heading2"/>
    <w:uiPriority w:val="9"/>
    <w:rsid w:val="00B27746"/>
    <w:rPr>
      <w:rFonts w:eastAsia="Calibri" w:cstheme="minorHAnsi"/>
      <w:b/>
      <w:bCs/>
      <w:i/>
      <w:sz w:val="28"/>
      <w:szCs w:val="28"/>
      <w:lang w:eastAsia="en-AU"/>
    </w:rPr>
  </w:style>
  <w:style w:type="paragraph" w:styleId="NormalWeb">
    <w:name w:val="Normal (Web)"/>
    <w:basedOn w:val="Normal"/>
    <w:uiPriority w:val="99"/>
    <w:unhideWhenUsed/>
    <w:rsid w:val="007A55C6"/>
    <w:pPr>
      <w:spacing w:before="100" w:beforeAutospacing="1" w:after="100" w:afterAutospacing="1"/>
    </w:p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604360"/>
    <w:pPr>
      <w:spacing w:after="200" w:line="276" w:lineRule="auto"/>
      <w:ind w:left="720"/>
      <w:contextualSpacing/>
    </w:pPr>
    <w:rPr>
      <w:rFonts w:ascii="Calibri" w:eastAsiaTheme="minorHAnsi" w:hAnsi="Calibri" w:cs="Calibri"/>
      <w:sz w:val="22"/>
      <w:szCs w:val="22"/>
      <w:lang w:eastAsia="en-US"/>
    </w:rPr>
  </w:style>
  <w:style w:type="character" w:customStyle="1" w:styleId="Heading3Char">
    <w:name w:val="Heading 3 Char"/>
    <w:basedOn w:val="DefaultParagraphFont"/>
    <w:link w:val="Heading3"/>
    <w:uiPriority w:val="9"/>
    <w:semiHidden/>
    <w:rsid w:val="00CF3812"/>
    <w:rPr>
      <w:rFonts w:asciiTheme="majorHAnsi" w:eastAsiaTheme="majorEastAsia" w:hAnsiTheme="majorHAnsi" w:cstheme="majorBidi"/>
      <w:color w:val="1F4D78" w:themeColor="accent1" w:themeShade="7F"/>
      <w:sz w:val="24"/>
      <w:szCs w:val="24"/>
      <w:lang w:eastAsia="en-AU"/>
    </w:rPr>
  </w:style>
  <w:style w:type="paragraph" w:styleId="NoSpacing">
    <w:name w:val="No Spacing"/>
    <w:link w:val="NoSpacingChar"/>
    <w:uiPriority w:val="1"/>
    <w:qFormat/>
    <w:rsid w:val="00CF381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F3812"/>
    <w:rPr>
      <w:rFonts w:eastAsiaTheme="minorEastAsia"/>
      <w:lang w:val="en-US"/>
    </w:rPr>
  </w:style>
  <w:style w:type="table" w:styleId="TableGrid">
    <w:name w:val="Table Grid"/>
    <w:basedOn w:val="TableNormal"/>
    <w:uiPriority w:val="39"/>
    <w:rsid w:val="00CB3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CB31B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Accent1">
    <w:name w:val="List Table 1 Light Accent 1"/>
    <w:basedOn w:val="TableNormal"/>
    <w:uiPriority w:val="46"/>
    <w:rsid w:val="00CB31B1"/>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CB31B1"/>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
    <w:name w:val="Body Text"/>
    <w:basedOn w:val="Normal"/>
    <w:link w:val="BodyTextChar"/>
    <w:rsid w:val="00BC6BB7"/>
    <w:pPr>
      <w:spacing w:after="120"/>
    </w:pPr>
    <w:rPr>
      <w:sz w:val="20"/>
      <w:szCs w:val="20"/>
      <w:lang w:eastAsia="zh-CN"/>
    </w:rPr>
  </w:style>
  <w:style w:type="character" w:customStyle="1" w:styleId="BodyTextChar">
    <w:name w:val="Body Text Char"/>
    <w:basedOn w:val="DefaultParagraphFont"/>
    <w:link w:val="BodyText"/>
    <w:rsid w:val="00BC6BB7"/>
    <w:rPr>
      <w:rFonts w:ascii="Times New Roman" w:eastAsia="Times New Roman" w:hAnsi="Times New Roman" w:cs="Times New Roman"/>
      <w:sz w:val="20"/>
      <w:szCs w:val="20"/>
      <w:lang w:eastAsia="zh-CN"/>
    </w:rPr>
  </w:style>
  <w:style w:type="paragraph" w:customStyle="1" w:styleId="m-b-0">
    <w:name w:val="m-b-0"/>
    <w:basedOn w:val="Normal"/>
    <w:rsid w:val="00521785"/>
    <w:pPr>
      <w:spacing w:before="100" w:beforeAutospacing="1" w:after="100" w:afterAutospacing="1"/>
    </w:pPr>
  </w:style>
  <w:style w:type="character" w:styleId="FollowedHyperlink">
    <w:name w:val="FollowedHyperlink"/>
    <w:basedOn w:val="DefaultParagraphFont"/>
    <w:uiPriority w:val="99"/>
    <w:semiHidden/>
    <w:unhideWhenUsed/>
    <w:rsid w:val="0026629E"/>
    <w:rPr>
      <w:color w:val="954F72" w:themeColor="followedHyperlink"/>
      <w:u w:val="single"/>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1EB8"/>
    <w:rPr>
      <w:rFonts w:ascii="Calibri" w:hAnsi="Calibri" w:cs="Calibri"/>
    </w:rPr>
  </w:style>
  <w:style w:type="paragraph" w:styleId="Revision">
    <w:name w:val="Revision"/>
    <w:hidden/>
    <w:uiPriority w:val="99"/>
    <w:semiHidden/>
    <w:rsid w:val="00AA2859"/>
    <w:pPr>
      <w:spacing w:after="0"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966581">
      <w:bodyDiv w:val="1"/>
      <w:marLeft w:val="0"/>
      <w:marRight w:val="0"/>
      <w:marTop w:val="0"/>
      <w:marBottom w:val="0"/>
      <w:divBdr>
        <w:top w:val="none" w:sz="0" w:space="0" w:color="auto"/>
        <w:left w:val="none" w:sz="0" w:space="0" w:color="auto"/>
        <w:bottom w:val="none" w:sz="0" w:space="0" w:color="auto"/>
        <w:right w:val="none" w:sz="0" w:space="0" w:color="auto"/>
      </w:divBdr>
    </w:div>
    <w:div w:id="258217417">
      <w:bodyDiv w:val="1"/>
      <w:marLeft w:val="0"/>
      <w:marRight w:val="0"/>
      <w:marTop w:val="0"/>
      <w:marBottom w:val="0"/>
      <w:divBdr>
        <w:top w:val="none" w:sz="0" w:space="0" w:color="auto"/>
        <w:left w:val="none" w:sz="0" w:space="0" w:color="auto"/>
        <w:bottom w:val="none" w:sz="0" w:space="0" w:color="auto"/>
        <w:right w:val="none" w:sz="0" w:space="0" w:color="auto"/>
      </w:divBdr>
    </w:div>
    <w:div w:id="271322845">
      <w:bodyDiv w:val="1"/>
      <w:marLeft w:val="0"/>
      <w:marRight w:val="0"/>
      <w:marTop w:val="0"/>
      <w:marBottom w:val="0"/>
      <w:divBdr>
        <w:top w:val="none" w:sz="0" w:space="0" w:color="auto"/>
        <w:left w:val="none" w:sz="0" w:space="0" w:color="auto"/>
        <w:bottom w:val="none" w:sz="0" w:space="0" w:color="auto"/>
        <w:right w:val="none" w:sz="0" w:space="0" w:color="auto"/>
      </w:divBdr>
    </w:div>
    <w:div w:id="331488840">
      <w:bodyDiv w:val="1"/>
      <w:marLeft w:val="0"/>
      <w:marRight w:val="0"/>
      <w:marTop w:val="0"/>
      <w:marBottom w:val="0"/>
      <w:divBdr>
        <w:top w:val="none" w:sz="0" w:space="0" w:color="auto"/>
        <w:left w:val="none" w:sz="0" w:space="0" w:color="auto"/>
        <w:bottom w:val="none" w:sz="0" w:space="0" w:color="auto"/>
        <w:right w:val="none" w:sz="0" w:space="0" w:color="auto"/>
      </w:divBdr>
    </w:div>
    <w:div w:id="512955634">
      <w:bodyDiv w:val="1"/>
      <w:marLeft w:val="0"/>
      <w:marRight w:val="0"/>
      <w:marTop w:val="0"/>
      <w:marBottom w:val="0"/>
      <w:divBdr>
        <w:top w:val="none" w:sz="0" w:space="0" w:color="auto"/>
        <w:left w:val="none" w:sz="0" w:space="0" w:color="auto"/>
        <w:bottom w:val="none" w:sz="0" w:space="0" w:color="auto"/>
        <w:right w:val="none" w:sz="0" w:space="0" w:color="auto"/>
      </w:divBdr>
    </w:div>
    <w:div w:id="573975214">
      <w:bodyDiv w:val="1"/>
      <w:marLeft w:val="0"/>
      <w:marRight w:val="0"/>
      <w:marTop w:val="0"/>
      <w:marBottom w:val="0"/>
      <w:divBdr>
        <w:top w:val="none" w:sz="0" w:space="0" w:color="auto"/>
        <w:left w:val="none" w:sz="0" w:space="0" w:color="auto"/>
        <w:bottom w:val="none" w:sz="0" w:space="0" w:color="auto"/>
        <w:right w:val="none" w:sz="0" w:space="0" w:color="auto"/>
      </w:divBdr>
    </w:div>
    <w:div w:id="587345644">
      <w:bodyDiv w:val="1"/>
      <w:marLeft w:val="0"/>
      <w:marRight w:val="0"/>
      <w:marTop w:val="0"/>
      <w:marBottom w:val="0"/>
      <w:divBdr>
        <w:top w:val="none" w:sz="0" w:space="0" w:color="auto"/>
        <w:left w:val="none" w:sz="0" w:space="0" w:color="auto"/>
        <w:bottom w:val="none" w:sz="0" w:space="0" w:color="auto"/>
        <w:right w:val="none" w:sz="0" w:space="0" w:color="auto"/>
      </w:divBdr>
      <w:divsChild>
        <w:div w:id="985623045">
          <w:marLeft w:val="0"/>
          <w:marRight w:val="0"/>
          <w:marTop w:val="225"/>
          <w:marBottom w:val="0"/>
          <w:divBdr>
            <w:top w:val="none" w:sz="0" w:space="0" w:color="auto"/>
            <w:left w:val="none" w:sz="0" w:space="0" w:color="auto"/>
            <w:bottom w:val="none" w:sz="0" w:space="0" w:color="auto"/>
            <w:right w:val="none" w:sz="0" w:space="0" w:color="auto"/>
          </w:divBdr>
          <w:divsChild>
            <w:div w:id="2117403228">
              <w:marLeft w:val="0"/>
              <w:marRight w:val="0"/>
              <w:marTop w:val="0"/>
              <w:marBottom w:val="0"/>
              <w:divBdr>
                <w:top w:val="none" w:sz="0" w:space="0" w:color="auto"/>
                <w:left w:val="none" w:sz="0" w:space="0" w:color="auto"/>
                <w:bottom w:val="none" w:sz="0" w:space="0" w:color="auto"/>
                <w:right w:val="none" w:sz="0" w:space="0" w:color="auto"/>
              </w:divBdr>
            </w:div>
            <w:div w:id="172569935">
              <w:marLeft w:val="0"/>
              <w:marRight w:val="0"/>
              <w:marTop w:val="0"/>
              <w:marBottom w:val="0"/>
              <w:divBdr>
                <w:top w:val="none" w:sz="0" w:space="0" w:color="auto"/>
                <w:left w:val="none" w:sz="0" w:space="0" w:color="auto"/>
                <w:bottom w:val="none" w:sz="0" w:space="0" w:color="auto"/>
                <w:right w:val="none" w:sz="0" w:space="0" w:color="auto"/>
              </w:divBdr>
            </w:div>
          </w:divsChild>
        </w:div>
        <w:div w:id="363411800">
          <w:marLeft w:val="0"/>
          <w:marRight w:val="0"/>
          <w:marTop w:val="225"/>
          <w:marBottom w:val="0"/>
          <w:divBdr>
            <w:top w:val="none" w:sz="0" w:space="0" w:color="auto"/>
            <w:left w:val="none" w:sz="0" w:space="0" w:color="auto"/>
            <w:bottom w:val="none" w:sz="0" w:space="0" w:color="auto"/>
            <w:right w:val="none" w:sz="0" w:space="0" w:color="auto"/>
          </w:divBdr>
          <w:divsChild>
            <w:div w:id="1677154716">
              <w:marLeft w:val="0"/>
              <w:marRight w:val="0"/>
              <w:marTop w:val="0"/>
              <w:marBottom w:val="0"/>
              <w:divBdr>
                <w:top w:val="none" w:sz="0" w:space="0" w:color="auto"/>
                <w:left w:val="none" w:sz="0" w:space="0" w:color="auto"/>
                <w:bottom w:val="none" w:sz="0" w:space="0" w:color="auto"/>
                <w:right w:val="none" w:sz="0" w:space="0" w:color="auto"/>
              </w:divBdr>
            </w:div>
            <w:div w:id="1549100737">
              <w:marLeft w:val="0"/>
              <w:marRight w:val="0"/>
              <w:marTop w:val="0"/>
              <w:marBottom w:val="0"/>
              <w:divBdr>
                <w:top w:val="none" w:sz="0" w:space="0" w:color="auto"/>
                <w:left w:val="none" w:sz="0" w:space="0" w:color="auto"/>
                <w:bottom w:val="none" w:sz="0" w:space="0" w:color="auto"/>
                <w:right w:val="none" w:sz="0" w:space="0" w:color="auto"/>
              </w:divBdr>
            </w:div>
          </w:divsChild>
        </w:div>
        <w:div w:id="1324360265">
          <w:marLeft w:val="0"/>
          <w:marRight w:val="0"/>
          <w:marTop w:val="225"/>
          <w:marBottom w:val="0"/>
          <w:divBdr>
            <w:top w:val="none" w:sz="0" w:space="0" w:color="auto"/>
            <w:left w:val="none" w:sz="0" w:space="0" w:color="auto"/>
            <w:bottom w:val="none" w:sz="0" w:space="0" w:color="auto"/>
            <w:right w:val="none" w:sz="0" w:space="0" w:color="auto"/>
          </w:divBdr>
          <w:divsChild>
            <w:div w:id="2084328724">
              <w:marLeft w:val="0"/>
              <w:marRight w:val="0"/>
              <w:marTop w:val="0"/>
              <w:marBottom w:val="0"/>
              <w:divBdr>
                <w:top w:val="none" w:sz="0" w:space="0" w:color="auto"/>
                <w:left w:val="none" w:sz="0" w:space="0" w:color="auto"/>
                <w:bottom w:val="none" w:sz="0" w:space="0" w:color="auto"/>
                <w:right w:val="none" w:sz="0" w:space="0" w:color="auto"/>
              </w:divBdr>
            </w:div>
            <w:div w:id="2105765511">
              <w:marLeft w:val="0"/>
              <w:marRight w:val="0"/>
              <w:marTop w:val="0"/>
              <w:marBottom w:val="0"/>
              <w:divBdr>
                <w:top w:val="none" w:sz="0" w:space="0" w:color="auto"/>
                <w:left w:val="none" w:sz="0" w:space="0" w:color="auto"/>
                <w:bottom w:val="none" w:sz="0" w:space="0" w:color="auto"/>
                <w:right w:val="none" w:sz="0" w:space="0" w:color="auto"/>
              </w:divBdr>
            </w:div>
          </w:divsChild>
        </w:div>
        <w:div w:id="1753817021">
          <w:marLeft w:val="0"/>
          <w:marRight w:val="0"/>
          <w:marTop w:val="225"/>
          <w:marBottom w:val="0"/>
          <w:divBdr>
            <w:top w:val="none" w:sz="0" w:space="0" w:color="auto"/>
            <w:left w:val="none" w:sz="0" w:space="0" w:color="auto"/>
            <w:bottom w:val="none" w:sz="0" w:space="0" w:color="auto"/>
            <w:right w:val="none" w:sz="0" w:space="0" w:color="auto"/>
          </w:divBdr>
          <w:divsChild>
            <w:div w:id="1689214177">
              <w:marLeft w:val="0"/>
              <w:marRight w:val="0"/>
              <w:marTop w:val="0"/>
              <w:marBottom w:val="0"/>
              <w:divBdr>
                <w:top w:val="none" w:sz="0" w:space="0" w:color="auto"/>
                <w:left w:val="none" w:sz="0" w:space="0" w:color="auto"/>
                <w:bottom w:val="none" w:sz="0" w:space="0" w:color="auto"/>
                <w:right w:val="none" w:sz="0" w:space="0" w:color="auto"/>
              </w:divBdr>
            </w:div>
            <w:div w:id="149599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574751">
      <w:bodyDiv w:val="1"/>
      <w:marLeft w:val="0"/>
      <w:marRight w:val="0"/>
      <w:marTop w:val="0"/>
      <w:marBottom w:val="0"/>
      <w:divBdr>
        <w:top w:val="none" w:sz="0" w:space="0" w:color="auto"/>
        <w:left w:val="none" w:sz="0" w:space="0" w:color="auto"/>
        <w:bottom w:val="none" w:sz="0" w:space="0" w:color="auto"/>
        <w:right w:val="none" w:sz="0" w:space="0" w:color="auto"/>
      </w:divBdr>
    </w:div>
    <w:div w:id="765151175">
      <w:bodyDiv w:val="1"/>
      <w:marLeft w:val="0"/>
      <w:marRight w:val="0"/>
      <w:marTop w:val="0"/>
      <w:marBottom w:val="0"/>
      <w:divBdr>
        <w:top w:val="none" w:sz="0" w:space="0" w:color="auto"/>
        <w:left w:val="none" w:sz="0" w:space="0" w:color="auto"/>
        <w:bottom w:val="none" w:sz="0" w:space="0" w:color="auto"/>
        <w:right w:val="none" w:sz="0" w:space="0" w:color="auto"/>
      </w:divBdr>
    </w:div>
    <w:div w:id="798378837">
      <w:bodyDiv w:val="1"/>
      <w:marLeft w:val="0"/>
      <w:marRight w:val="0"/>
      <w:marTop w:val="0"/>
      <w:marBottom w:val="0"/>
      <w:divBdr>
        <w:top w:val="none" w:sz="0" w:space="0" w:color="auto"/>
        <w:left w:val="none" w:sz="0" w:space="0" w:color="auto"/>
        <w:bottom w:val="none" w:sz="0" w:space="0" w:color="auto"/>
        <w:right w:val="none" w:sz="0" w:space="0" w:color="auto"/>
      </w:divBdr>
    </w:div>
    <w:div w:id="810247375">
      <w:bodyDiv w:val="1"/>
      <w:marLeft w:val="0"/>
      <w:marRight w:val="0"/>
      <w:marTop w:val="0"/>
      <w:marBottom w:val="0"/>
      <w:divBdr>
        <w:top w:val="none" w:sz="0" w:space="0" w:color="auto"/>
        <w:left w:val="none" w:sz="0" w:space="0" w:color="auto"/>
        <w:bottom w:val="none" w:sz="0" w:space="0" w:color="auto"/>
        <w:right w:val="none" w:sz="0" w:space="0" w:color="auto"/>
      </w:divBdr>
    </w:div>
    <w:div w:id="871191342">
      <w:bodyDiv w:val="1"/>
      <w:marLeft w:val="0"/>
      <w:marRight w:val="0"/>
      <w:marTop w:val="0"/>
      <w:marBottom w:val="0"/>
      <w:divBdr>
        <w:top w:val="none" w:sz="0" w:space="0" w:color="auto"/>
        <w:left w:val="none" w:sz="0" w:space="0" w:color="auto"/>
        <w:bottom w:val="none" w:sz="0" w:space="0" w:color="auto"/>
        <w:right w:val="none" w:sz="0" w:space="0" w:color="auto"/>
      </w:divBdr>
    </w:div>
    <w:div w:id="1035616700">
      <w:bodyDiv w:val="1"/>
      <w:marLeft w:val="0"/>
      <w:marRight w:val="0"/>
      <w:marTop w:val="0"/>
      <w:marBottom w:val="0"/>
      <w:divBdr>
        <w:top w:val="none" w:sz="0" w:space="0" w:color="auto"/>
        <w:left w:val="none" w:sz="0" w:space="0" w:color="auto"/>
        <w:bottom w:val="none" w:sz="0" w:space="0" w:color="auto"/>
        <w:right w:val="none" w:sz="0" w:space="0" w:color="auto"/>
      </w:divBdr>
    </w:div>
    <w:div w:id="1291588971">
      <w:bodyDiv w:val="1"/>
      <w:marLeft w:val="0"/>
      <w:marRight w:val="0"/>
      <w:marTop w:val="0"/>
      <w:marBottom w:val="0"/>
      <w:divBdr>
        <w:top w:val="none" w:sz="0" w:space="0" w:color="auto"/>
        <w:left w:val="none" w:sz="0" w:space="0" w:color="auto"/>
        <w:bottom w:val="none" w:sz="0" w:space="0" w:color="auto"/>
        <w:right w:val="none" w:sz="0" w:space="0" w:color="auto"/>
      </w:divBdr>
    </w:div>
    <w:div w:id="1382634375">
      <w:bodyDiv w:val="1"/>
      <w:marLeft w:val="0"/>
      <w:marRight w:val="0"/>
      <w:marTop w:val="0"/>
      <w:marBottom w:val="0"/>
      <w:divBdr>
        <w:top w:val="none" w:sz="0" w:space="0" w:color="auto"/>
        <w:left w:val="none" w:sz="0" w:space="0" w:color="auto"/>
        <w:bottom w:val="none" w:sz="0" w:space="0" w:color="auto"/>
        <w:right w:val="none" w:sz="0" w:space="0" w:color="auto"/>
      </w:divBdr>
    </w:div>
    <w:div w:id="1399589974">
      <w:bodyDiv w:val="1"/>
      <w:marLeft w:val="0"/>
      <w:marRight w:val="0"/>
      <w:marTop w:val="0"/>
      <w:marBottom w:val="0"/>
      <w:divBdr>
        <w:top w:val="none" w:sz="0" w:space="0" w:color="auto"/>
        <w:left w:val="none" w:sz="0" w:space="0" w:color="auto"/>
        <w:bottom w:val="none" w:sz="0" w:space="0" w:color="auto"/>
        <w:right w:val="none" w:sz="0" w:space="0" w:color="auto"/>
      </w:divBdr>
    </w:div>
    <w:div w:id="1459446597">
      <w:bodyDiv w:val="1"/>
      <w:marLeft w:val="0"/>
      <w:marRight w:val="0"/>
      <w:marTop w:val="0"/>
      <w:marBottom w:val="0"/>
      <w:divBdr>
        <w:top w:val="none" w:sz="0" w:space="0" w:color="auto"/>
        <w:left w:val="none" w:sz="0" w:space="0" w:color="auto"/>
        <w:bottom w:val="none" w:sz="0" w:space="0" w:color="auto"/>
        <w:right w:val="none" w:sz="0" w:space="0" w:color="auto"/>
      </w:divBdr>
    </w:div>
    <w:div w:id="1515270282">
      <w:bodyDiv w:val="1"/>
      <w:marLeft w:val="0"/>
      <w:marRight w:val="0"/>
      <w:marTop w:val="0"/>
      <w:marBottom w:val="0"/>
      <w:divBdr>
        <w:top w:val="none" w:sz="0" w:space="0" w:color="auto"/>
        <w:left w:val="none" w:sz="0" w:space="0" w:color="auto"/>
        <w:bottom w:val="none" w:sz="0" w:space="0" w:color="auto"/>
        <w:right w:val="none" w:sz="0" w:space="0" w:color="auto"/>
      </w:divBdr>
    </w:div>
    <w:div w:id="1598515826">
      <w:bodyDiv w:val="1"/>
      <w:marLeft w:val="0"/>
      <w:marRight w:val="0"/>
      <w:marTop w:val="0"/>
      <w:marBottom w:val="0"/>
      <w:divBdr>
        <w:top w:val="none" w:sz="0" w:space="0" w:color="auto"/>
        <w:left w:val="none" w:sz="0" w:space="0" w:color="auto"/>
        <w:bottom w:val="none" w:sz="0" w:space="0" w:color="auto"/>
        <w:right w:val="none" w:sz="0" w:space="0" w:color="auto"/>
      </w:divBdr>
    </w:div>
    <w:div w:id="1666930569">
      <w:bodyDiv w:val="1"/>
      <w:marLeft w:val="0"/>
      <w:marRight w:val="0"/>
      <w:marTop w:val="0"/>
      <w:marBottom w:val="0"/>
      <w:divBdr>
        <w:top w:val="none" w:sz="0" w:space="0" w:color="auto"/>
        <w:left w:val="none" w:sz="0" w:space="0" w:color="auto"/>
        <w:bottom w:val="none" w:sz="0" w:space="0" w:color="auto"/>
        <w:right w:val="none" w:sz="0" w:space="0" w:color="auto"/>
      </w:divBdr>
    </w:div>
    <w:div w:id="1816335889">
      <w:bodyDiv w:val="1"/>
      <w:marLeft w:val="0"/>
      <w:marRight w:val="0"/>
      <w:marTop w:val="0"/>
      <w:marBottom w:val="0"/>
      <w:divBdr>
        <w:top w:val="none" w:sz="0" w:space="0" w:color="auto"/>
        <w:left w:val="none" w:sz="0" w:space="0" w:color="auto"/>
        <w:bottom w:val="none" w:sz="0" w:space="0" w:color="auto"/>
        <w:right w:val="none" w:sz="0" w:space="0" w:color="auto"/>
      </w:divBdr>
    </w:div>
    <w:div w:id="1913351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amilycourt.gov.au/wps/wcm/connect/fcoaweb/reports-and-publications/media-releases/2021/mr300721"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familycourt.gov.au/wps/wcm/connect/fcoaweb/reports-and-publications/media-releases/2021/mr300721"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amilycourt.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62F50A-992D-4123-B107-FD6A4A014F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1282</Words>
  <Characters>7309</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Media Release - Update to the profession: Commencement of the new</vt:lpstr>
    </vt:vector>
  </TitlesOfParts>
  <Company>Federal Court of Australia</Company>
  <LinksUpToDate>false</LinksUpToDate>
  <CharactersWithSpaces>8574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 Update to the family law profession: Commencement of the new Federal Circuit and Family Court of Australia</dc:title>
  <dc:subject/>
  <dc:creator>Family Court of Australia;Federal Circuit Court of Australia</dc:creator>
  <cp:keywords/>
  <dc:description/>
  <cp:lastModifiedBy>Christine Tuff</cp:lastModifiedBy>
  <cp:revision>2</cp:revision>
  <cp:lastPrinted>2021-05-13T05:35:00Z</cp:lastPrinted>
  <dcterms:created xsi:type="dcterms:W3CDTF">2021-08-06T03:23:00Z</dcterms:created>
  <dcterms:modified xsi:type="dcterms:W3CDTF">2021-08-06T03:23:00Z</dcterms:modified>
</cp:coreProperties>
</file>