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0496" w:type="dxa"/>
        <w:tblInd w:w="-4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86"/>
        <w:gridCol w:w="2410"/>
      </w:tblGrid>
      <w:tr w:rsidR="00B00FDE" w14:paraId="77763AA4" w14:textId="77777777" w:rsidTr="003D73CD">
        <w:trPr>
          <w:trHeight w:val="12063"/>
        </w:trPr>
        <w:tc>
          <w:tcPr>
            <w:tcW w:w="8086" w:type="dxa"/>
          </w:tcPr>
          <w:p w14:paraId="60B43E09" w14:textId="37681587" w:rsidR="00C828A4" w:rsidRDefault="00CC39FD" w:rsidP="009D78F5">
            <w:pPr>
              <w:pStyle w:val="Heading1"/>
              <w:spacing w:before="0"/>
              <w:ind w:right="314"/>
              <w:outlineLvl w:val="0"/>
            </w:pPr>
            <w:r>
              <w:t>U</w:t>
            </w:r>
            <w:r w:rsidRPr="00CC39FD">
              <w:t>pdate to the Profession</w:t>
            </w:r>
            <w:r w:rsidR="00A266BB">
              <w:t xml:space="preserve"> </w:t>
            </w:r>
            <w:r w:rsidR="00A003C9">
              <w:t>June</w:t>
            </w:r>
            <w:r>
              <w:t xml:space="preserve"> 2021</w:t>
            </w:r>
          </w:p>
          <w:p w14:paraId="2A0998B8" w14:textId="4B5FB5AE" w:rsidR="00CF04A9" w:rsidRDefault="00DC74A6" w:rsidP="002F09D7">
            <w:pPr>
              <w:jc w:val="both"/>
            </w:pPr>
            <w:r w:rsidRPr="00D908FF">
              <w:rPr>
                <w:b/>
                <w:noProof/>
              </w:rPr>
              <mc:AlternateContent>
                <mc:Choice Requires="wps">
                  <w:drawing>
                    <wp:anchor distT="45720" distB="45720" distL="114300" distR="114300" simplePos="0" relativeHeight="251663360" behindDoc="0" locked="0" layoutInCell="1" allowOverlap="1" wp14:anchorId="6FB3E054" wp14:editId="503E9556">
                      <wp:simplePos x="0" y="0"/>
                      <wp:positionH relativeFrom="column">
                        <wp:posOffset>90584</wp:posOffset>
                      </wp:positionH>
                      <wp:positionV relativeFrom="paragraph">
                        <wp:posOffset>1357685</wp:posOffset>
                      </wp:positionV>
                      <wp:extent cx="4733925" cy="5589270"/>
                      <wp:effectExtent l="0" t="0" r="28575"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3925" cy="5589270"/>
                              </a:xfrm>
                              <a:prstGeom prst="rect">
                                <a:avLst/>
                              </a:prstGeom>
                              <a:solidFill>
                                <a:schemeClr val="accent5">
                                  <a:lumMod val="20000"/>
                                  <a:lumOff val="80000"/>
                                </a:schemeClr>
                              </a:solidFill>
                              <a:ln w="9525">
                                <a:solidFill>
                                  <a:srgbClr val="000000"/>
                                </a:solidFill>
                                <a:miter lim="800000"/>
                                <a:headEnd/>
                                <a:tailEnd/>
                              </a:ln>
                            </wps:spPr>
                            <wps:txbx>
                              <w:txbxContent>
                                <w:p w14:paraId="5FCB060B" w14:textId="17044A1C" w:rsidR="006E4DED" w:rsidRDefault="006E4DED" w:rsidP="00DC74A6">
                                  <w:pPr>
                                    <w:pStyle w:val="Heading2"/>
                                    <w:keepLines w:val="0"/>
                                    <w:spacing w:before="0" w:after="0" w:line="380" w:lineRule="exact"/>
                                  </w:pPr>
                                  <w:r>
                                    <w:t xml:space="preserve">Case Study </w:t>
                                  </w:r>
                                  <w:r w:rsidR="00D75A62">
                                    <w:t xml:space="preserve"># 3 </w:t>
                                  </w:r>
                                </w:p>
                                <w:p w14:paraId="38FA561A" w14:textId="6218E7D4" w:rsidR="00855844" w:rsidRDefault="00855844" w:rsidP="00855844">
                                  <w:pPr>
                                    <w:spacing w:after="0"/>
                                    <w:jc w:val="both"/>
                                  </w:pPr>
                                  <w:r>
                                    <w:t xml:space="preserve">A key aspect of the Evatt List is the ability to provide tailored case management to suit the needs of each parenting matter before the Court. The case study below outlines a recent matter in which early support and guidance through the Court process provided a positive outcome for a family. </w:t>
                                  </w:r>
                                </w:p>
                                <w:p w14:paraId="69F6BDF3" w14:textId="77777777" w:rsidR="00855844" w:rsidRDefault="00855844" w:rsidP="00855844">
                                  <w:pPr>
                                    <w:spacing w:after="0"/>
                                    <w:jc w:val="both"/>
                                  </w:pPr>
                                </w:p>
                                <w:p w14:paraId="76C5F6D6" w14:textId="77777777" w:rsidR="00855844" w:rsidRPr="00855844" w:rsidRDefault="00855844" w:rsidP="00855844">
                                  <w:pPr>
                                    <w:spacing w:after="0"/>
                                    <w:jc w:val="both"/>
                                    <w:rPr>
                                      <w:i/>
                                    </w:rPr>
                                  </w:pPr>
                                  <w:r w:rsidRPr="00855844">
                                    <w:rPr>
                                      <w:i/>
                                    </w:rPr>
                                    <w:t>Facts</w:t>
                                  </w:r>
                                </w:p>
                                <w:p w14:paraId="239B7651" w14:textId="708291A5" w:rsidR="00855844" w:rsidRDefault="00855844" w:rsidP="00855844">
                                  <w:pPr>
                                    <w:spacing w:after="0"/>
                                    <w:jc w:val="both"/>
                                  </w:pPr>
                                  <w:r>
                                    <w:t xml:space="preserve">The Applicant filed an Initiating Application seeking a recovery order of a </w:t>
                                  </w:r>
                                  <w:r w:rsidR="00764489">
                                    <w:t>two</w:t>
                                  </w:r>
                                  <w:r>
                                    <w:t xml:space="preserve"> year old child. After the competition of the risk screen and interview with a Family Counsellor</w:t>
                                  </w:r>
                                  <w:r w:rsidR="00764489">
                                    <w:t>,</w:t>
                                  </w:r>
                                  <w:r>
                                    <w:t xml:space="preserve"> where high risk issues were identified, the matter was placed on the Evatt List and allocated an urgent interim hearing date 11 days after filing. </w:t>
                                  </w:r>
                                </w:p>
                                <w:p w14:paraId="176A243B" w14:textId="77777777" w:rsidR="00855844" w:rsidRDefault="00855844" w:rsidP="00855844">
                                  <w:pPr>
                                    <w:spacing w:after="0"/>
                                    <w:jc w:val="both"/>
                                  </w:pPr>
                                </w:p>
                                <w:p w14:paraId="1E16BD98" w14:textId="77777777" w:rsidR="00855844" w:rsidRPr="00855844" w:rsidRDefault="00855844" w:rsidP="00855844">
                                  <w:pPr>
                                    <w:spacing w:after="0"/>
                                    <w:jc w:val="both"/>
                                    <w:rPr>
                                      <w:i/>
                                    </w:rPr>
                                  </w:pPr>
                                  <w:r w:rsidRPr="00855844">
                                    <w:rPr>
                                      <w:i/>
                                    </w:rPr>
                                    <w:t>Outcome</w:t>
                                  </w:r>
                                </w:p>
                                <w:p w14:paraId="69744496" w14:textId="77777777" w:rsidR="00855844" w:rsidRDefault="00855844" w:rsidP="00855844">
                                  <w:pPr>
                                    <w:spacing w:after="0"/>
                                    <w:jc w:val="both"/>
                                  </w:pPr>
                                  <w:r>
                                    <w:t>Due to tailored case management of the matter the following steps were taken:</w:t>
                                  </w:r>
                                </w:p>
                                <w:p w14:paraId="2C781C90" w14:textId="5C1A5AC7" w:rsidR="00855844" w:rsidRDefault="00855844" w:rsidP="00855844">
                                  <w:pPr>
                                    <w:pStyle w:val="ListParagraph"/>
                                    <w:numPr>
                                      <w:ilvl w:val="0"/>
                                      <w:numId w:val="31"/>
                                    </w:numPr>
                                    <w:spacing w:after="0"/>
                                    <w:jc w:val="both"/>
                                  </w:pPr>
                                  <w:r>
                                    <w:t>Referrals were made to external agencies to support the parties</w:t>
                                  </w:r>
                                  <w:r w:rsidR="00764489">
                                    <w:t>,</w:t>
                                  </w:r>
                                  <w:r>
                                    <w:t xml:space="preserve"> </w:t>
                                  </w:r>
                                </w:p>
                                <w:p w14:paraId="16EC93A3" w14:textId="7A197D99" w:rsidR="00855844" w:rsidRDefault="00855844" w:rsidP="00855844">
                                  <w:pPr>
                                    <w:pStyle w:val="ListParagraph"/>
                                    <w:numPr>
                                      <w:ilvl w:val="0"/>
                                      <w:numId w:val="31"/>
                                    </w:numPr>
                                    <w:spacing w:after="0"/>
                                    <w:jc w:val="both"/>
                                  </w:pPr>
                                  <w:r>
                                    <w:t>Early information was gathered by the Court from co-located officials such as Child Safety and the Queensland Police Service</w:t>
                                  </w:r>
                                  <w:r w:rsidR="00764489">
                                    <w:t>, and</w:t>
                                  </w:r>
                                  <w:r>
                                    <w:t xml:space="preserve"> </w:t>
                                  </w:r>
                                </w:p>
                                <w:p w14:paraId="0CE88718" w14:textId="3F20BF09" w:rsidR="00855844" w:rsidRDefault="00855844" w:rsidP="00855844">
                                  <w:pPr>
                                    <w:pStyle w:val="ListParagraph"/>
                                    <w:numPr>
                                      <w:ilvl w:val="0"/>
                                      <w:numId w:val="31"/>
                                    </w:numPr>
                                    <w:spacing w:after="0"/>
                                    <w:jc w:val="both"/>
                                  </w:pPr>
                                  <w:r>
                                    <w:t>An Independent Children’s Lawyer was appointed.</w:t>
                                  </w:r>
                                </w:p>
                                <w:p w14:paraId="1BDFD9F8" w14:textId="10A02FB1" w:rsidR="006E4DED" w:rsidRDefault="00855844" w:rsidP="00855844">
                                  <w:pPr>
                                    <w:spacing w:after="0"/>
                                    <w:jc w:val="both"/>
                                  </w:pPr>
                                  <w:r>
                                    <w:t>At the urgent interim hearing, with the aid of an oral report from a Family Consultant, coupled with assistance from the Independent Children’s Lawyer and co-located official</w:t>
                                  </w:r>
                                  <w:r w:rsidR="00764489">
                                    <w:t>,</w:t>
                                  </w:r>
                                  <w:r>
                                    <w:t xml:space="preserve"> the parties reached interim consent orders and the child was returned to the Applicant the same day. The matter was then assessed as suitable to be referred to </w:t>
                                  </w:r>
                                  <w:r w:rsidR="00AD7A9C">
                                    <w:t>Family Dispute Resolution (F</w:t>
                                  </w:r>
                                  <w:r>
                                    <w:t xml:space="preserve">DR). </w:t>
                                  </w:r>
                                  <w:r w:rsidR="00AD7A9C">
                                    <w:t>With the assistance of F</w:t>
                                  </w:r>
                                  <w:r>
                                    <w:t xml:space="preserve">DR the parties were able to reach a final child focussed agreement. By utilising the early information gathered and ensuring all parties were informed of the high risk issues in the matter, the Court was able to support the parties in reaching a child focussed final agreement within four months of filing.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FB3E054" id="_x0000_t202" coordsize="21600,21600" o:spt="202" path="m,l,21600r21600,l21600,xe">
                      <v:stroke joinstyle="miter"/>
                      <v:path gradientshapeok="t" o:connecttype="rect"/>
                    </v:shapetype>
                    <v:shape id="Text Box 2" o:spid="_x0000_s1026" type="#_x0000_t202" style="position:absolute;left:0;text-align:left;margin-left:7.15pt;margin-top:106.9pt;width:372.75pt;height:440.1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" fillcolor="#daeef3 [664]">
                      <v:textbox>
                        <w:txbxContent>
                          <w:p w14:paraId="5FCB060B" w14:textId="17044A1C" w:rsidR="006E4DED" w:rsidRDefault="006E4DED" w:rsidP="00DC74A6">
                            <w:pPr>
                              <w:pStyle w:val="Heading2"/>
                              <w:keepLines w:val="0"/>
                              <w:spacing w:before="0" w:after="0" w:line="380" w:lineRule="exact"/>
                            </w:pPr>
                            <w:r>
                              <w:t xml:space="preserve">Case Study </w:t>
                            </w:r>
                            <w:r w:rsidR="00D75A62">
                              <w:t xml:space="preserve"># 3 </w:t>
                            </w:r>
                          </w:p>
                          <w:p w14:paraId="38FA561A" w14:textId="6218E7D4" w:rsidR="00855844" w:rsidRDefault="00855844" w:rsidP="00855844">
                            <w:pPr>
                              <w:spacing w:after="0"/>
                              <w:jc w:val="both"/>
                            </w:pPr>
                            <w:r>
                              <w:t xml:space="preserve">A key aspect of the Evatt List is the ability to provide tailored case management to suit the needs of each parenting matter before the Court. The case study below outlines a recent matter in which early support and guidance through the Court process provided a positive outcome for a family. </w:t>
                            </w:r>
                          </w:p>
                          <w:p w14:paraId="69F6BDF3" w14:textId="77777777" w:rsidR="00855844" w:rsidRDefault="00855844" w:rsidP="00855844">
                            <w:pPr>
                              <w:spacing w:after="0"/>
                              <w:jc w:val="both"/>
                            </w:pPr>
                          </w:p>
                          <w:p w14:paraId="76C5F6D6" w14:textId="77777777" w:rsidR="00855844" w:rsidRPr="00855844" w:rsidRDefault="00855844" w:rsidP="00855844">
                            <w:pPr>
                              <w:spacing w:after="0"/>
                              <w:jc w:val="both"/>
                              <w:rPr>
                                <w:i/>
                              </w:rPr>
                            </w:pPr>
                            <w:r w:rsidRPr="00855844">
                              <w:rPr>
                                <w:i/>
                              </w:rPr>
                              <w:t>Facts</w:t>
                            </w:r>
                          </w:p>
                          <w:p w14:paraId="239B7651" w14:textId="708291A5" w:rsidR="00855844" w:rsidRDefault="00855844" w:rsidP="00855844">
                            <w:pPr>
                              <w:spacing w:after="0"/>
                              <w:jc w:val="both"/>
                            </w:pPr>
                            <w:r>
                              <w:t xml:space="preserve">The Applicant filed an Initiating Application seeking a recovery order of a </w:t>
                            </w:r>
                            <w:r w:rsidR="00764489">
                              <w:t>two</w:t>
                            </w:r>
                            <w:r>
                              <w:t xml:space="preserve"> year old child. After the competition of the risk screen and interview with a Family Counsellor</w:t>
                            </w:r>
                            <w:r w:rsidR="00764489">
                              <w:t>,</w:t>
                            </w:r>
                            <w:r>
                              <w:t xml:space="preserve"> where high risk issues were identified, the matter was placed on the Evatt List and allocated an urgent interim hearing date 11 days after filing. </w:t>
                            </w:r>
                          </w:p>
                          <w:p w14:paraId="176A243B" w14:textId="77777777" w:rsidR="00855844" w:rsidRDefault="00855844" w:rsidP="00855844">
                            <w:pPr>
                              <w:spacing w:after="0"/>
                              <w:jc w:val="both"/>
                            </w:pPr>
                          </w:p>
                          <w:p w14:paraId="1E16BD98" w14:textId="77777777" w:rsidR="00855844" w:rsidRPr="00855844" w:rsidRDefault="00855844" w:rsidP="00855844">
                            <w:pPr>
                              <w:spacing w:after="0"/>
                              <w:jc w:val="both"/>
                              <w:rPr>
                                <w:i/>
                              </w:rPr>
                            </w:pPr>
                            <w:r w:rsidRPr="00855844">
                              <w:rPr>
                                <w:i/>
                              </w:rPr>
                              <w:t>Outcome</w:t>
                            </w:r>
                          </w:p>
                          <w:p w14:paraId="69744496" w14:textId="77777777" w:rsidR="00855844" w:rsidRDefault="00855844" w:rsidP="00855844">
                            <w:pPr>
                              <w:spacing w:after="0"/>
                              <w:jc w:val="both"/>
                            </w:pPr>
                            <w:r>
                              <w:t>Due to tailored case management of the matter the following steps were taken:</w:t>
                            </w:r>
                          </w:p>
                          <w:p w14:paraId="2C781C90" w14:textId="5C1A5AC7" w:rsidR="00855844" w:rsidRDefault="00855844" w:rsidP="00855844">
                            <w:pPr>
                              <w:pStyle w:val="ListParagraph"/>
                              <w:numPr>
                                <w:ilvl w:val="0"/>
                                <w:numId w:val="31"/>
                              </w:numPr>
                              <w:spacing w:after="0"/>
                              <w:jc w:val="both"/>
                            </w:pPr>
                            <w:r>
                              <w:t>Referrals were made to external agencies to support the parties</w:t>
                            </w:r>
                            <w:r w:rsidR="00764489">
                              <w:t>,</w:t>
                            </w:r>
                            <w:r>
                              <w:t xml:space="preserve"> </w:t>
                            </w:r>
                          </w:p>
                          <w:p w14:paraId="16EC93A3" w14:textId="7A197D99" w:rsidR="00855844" w:rsidRDefault="00855844" w:rsidP="00855844">
                            <w:pPr>
                              <w:pStyle w:val="ListParagraph"/>
                              <w:numPr>
                                <w:ilvl w:val="0"/>
                                <w:numId w:val="31"/>
                              </w:numPr>
                              <w:spacing w:after="0"/>
                              <w:jc w:val="both"/>
                            </w:pPr>
                            <w:r>
                              <w:t>Early information was gathered by the Court from co-located officials such as Child Safety and the Queensland Police Service</w:t>
                            </w:r>
                            <w:r w:rsidR="00764489">
                              <w:t>, and</w:t>
                            </w:r>
                            <w:r>
                              <w:t xml:space="preserve"> </w:t>
                            </w:r>
                          </w:p>
                          <w:p w14:paraId="0CE88718" w14:textId="3F20BF09" w:rsidR="00855844" w:rsidRDefault="00855844" w:rsidP="00855844">
                            <w:pPr>
                              <w:pStyle w:val="ListParagraph"/>
                              <w:numPr>
                                <w:ilvl w:val="0"/>
                                <w:numId w:val="31"/>
                              </w:numPr>
                              <w:spacing w:after="0"/>
                              <w:jc w:val="both"/>
                            </w:pPr>
                            <w:r>
                              <w:t>An Independent Children’s Lawyer was appointed.</w:t>
                            </w:r>
                          </w:p>
                          <w:p w14:paraId="1BDFD9F8" w14:textId="10A02FB1" w:rsidR="006E4DED" w:rsidRDefault="00855844" w:rsidP="00855844">
                            <w:pPr>
                              <w:spacing w:after="0"/>
                              <w:jc w:val="both"/>
                            </w:pPr>
                            <w:r>
                              <w:t>At the urgent interim hearing, with the aid of an oral report from a Family Consultant, coupled with assistance from the Independent Children’s Lawyer and co-located official</w:t>
                            </w:r>
                            <w:r w:rsidR="00764489">
                              <w:t>,</w:t>
                            </w:r>
                            <w:r>
                              <w:t xml:space="preserve"> the parties reached interim consent orders and the child was returned to the Applicant the same day. The matter was then assessed as suitable to be referred to </w:t>
                            </w:r>
                            <w:r w:rsidR="00AD7A9C">
                              <w:t>Family Dispute Resolution (F</w:t>
                            </w:r>
                            <w:r>
                              <w:t xml:space="preserve">DR). </w:t>
                            </w:r>
                            <w:r w:rsidR="00AD7A9C">
                              <w:t>With the assistance of F</w:t>
                            </w:r>
                            <w:r>
                              <w:t xml:space="preserve">DR the parties were able to reach a final child focussed agreement. By utilising the early information gathered and ensuring all parties were informed of the high risk issues in the matter, the Court was able to support the parties in reaching a child focussed final agreement within four months of filing. </w:t>
                            </w:r>
                          </w:p>
                        </w:txbxContent>
                      </v:textbox>
                      <w10:wrap type="square"/>
                    </v:shape>
                  </w:pict>
                </mc:Fallback>
              </mc:AlternateContent>
            </w:r>
            <w:r w:rsidR="005D330D">
              <w:t>It is almost six months since the Court</w:t>
            </w:r>
            <w:r w:rsidR="00764489">
              <w:t>’</w:t>
            </w:r>
            <w:r w:rsidR="005D330D">
              <w:t xml:space="preserve">s </w:t>
            </w:r>
            <w:r w:rsidR="00810AF7">
              <w:t xml:space="preserve">Lighthouse Project </w:t>
            </w:r>
            <w:r w:rsidR="005D330D">
              <w:t xml:space="preserve">commenced operation, and during that time, it has been extremely well received and supported by the family law profession and litigants who have engaged with the project. The project team is however, keen to ensure that awareness continues to grow and practitioners communicate the benefits to their clients, such as </w:t>
            </w:r>
            <w:r w:rsidR="00810AF7">
              <w:t xml:space="preserve">targeted support and </w:t>
            </w:r>
            <w:r w:rsidR="005D330D">
              <w:t xml:space="preserve">individualised </w:t>
            </w:r>
            <w:r w:rsidR="00810AF7">
              <w:t>case management that focuses on risk identification and safety</w:t>
            </w:r>
            <w:r w:rsidR="00A003C9">
              <w:t xml:space="preserve">. </w:t>
            </w:r>
          </w:p>
          <w:p w14:paraId="41D82917" w14:textId="41F22A2A" w:rsidR="00A266BB" w:rsidRDefault="00A266BB" w:rsidP="009020DB">
            <w:pPr>
              <w:spacing w:after="200"/>
              <w:jc w:val="both"/>
            </w:pPr>
          </w:p>
          <w:p w14:paraId="20E870AD" w14:textId="3D1389B3" w:rsidR="00C54754" w:rsidRDefault="00AE3897" w:rsidP="00A266BB">
            <w:pPr>
              <w:pStyle w:val="Heading2"/>
              <w:jc w:val="both"/>
              <w:outlineLvl w:val="1"/>
            </w:pPr>
            <w:r>
              <w:lastRenderedPageBreak/>
              <w:t xml:space="preserve">Project </w:t>
            </w:r>
            <w:r w:rsidR="005F2805">
              <w:t>FAQs</w:t>
            </w:r>
          </w:p>
          <w:p w14:paraId="62F336B1" w14:textId="6C5250D2" w:rsidR="00AE3897" w:rsidRDefault="005F2805" w:rsidP="00D71BA3">
            <w:pPr>
              <w:jc w:val="both"/>
            </w:pPr>
            <w:r>
              <w:t>The Project recently met with key stakeholders to provide an update on the Pilot</w:t>
            </w:r>
            <w:r w:rsidR="00F11A4D">
              <w:t xml:space="preserve"> and discuss their experiences </w:t>
            </w:r>
            <w:r w:rsidR="00764489">
              <w:t>with</w:t>
            </w:r>
            <w:r w:rsidR="00F11A4D">
              <w:t xml:space="preserve"> the Pilot</w:t>
            </w:r>
            <w:r>
              <w:t xml:space="preserve">. Below is a summary of the themes and questions that were </w:t>
            </w:r>
            <w:r w:rsidR="00F11A4D">
              <w:t xml:space="preserve">covered. </w:t>
            </w:r>
            <w:r>
              <w:t xml:space="preserve"> </w:t>
            </w:r>
          </w:p>
          <w:p w14:paraId="612C27E8" w14:textId="2CF378FC" w:rsidR="00C54CFA" w:rsidRDefault="00A37C39" w:rsidP="00C17492">
            <w:pPr>
              <w:spacing w:after="0"/>
              <w:jc w:val="both"/>
              <w:rPr>
                <w:b/>
              </w:rPr>
            </w:pPr>
            <w:r>
              <w:rPr>
                <w:b/>
              </w:rPr>
              <w:t xml:space="preserve">What </w:t>
            </w:r>
            <w:r w:rsidR="00EC7591">
              <w:rPr>
                <w:b/>
              </w:rPr>
              <w:t>if a client has concerns that their phone/email is under surveillance by a former partner or other party</w:t>
            </w:r>
            <w:r>
              <w:rPr>
                <w:b/>
              </w:rPr>
              <w:t xml:space="preserve">? </w:t>
            </w:r>
          </w:p>
          <w:p w14:paraId="085E66D7" w14:textId="0DE21E71" w:rsidR="00110A09" w:rsidRDefault="007F7DD7" w:rsidP="00254D9F">
            <w:pPr>
              <w:spacing w:after="0"/>
              <w:jc w:val="both"/>
            </w:pPr>
            <w:r>
              <w:t>The Project</w:t>
            </w:r>
            <w:r w:rsidR="00AD7A9C">
              <w:t>,</w:t>
            </w:r>
            <w:r>
              <w:t xml:space="preserve"> and online risk screening application and communications</w:t>
            </w:r>
            <w:r w:rsidR="00AD7A9C">
              <w:t>,</w:t>
            </w:r>
            <w:r>
              <w:t xml:space="preserve"> were developed knowing that this is a common form of coercive control and domestic and family violence.</w:t>
            </w:r>
            <w:r w:rsidR="00110A09">
              <w:t xml:space="preserve"> The following features and information are embedded in the Pilot to ensure parties who are invited to screen can do so as safely as possible: </w:t>
            </w:r>
          </w:p>
          <w:p w14:paraId="53800195" w14:textId="7356A832" w:rsidR="005D05D7" w:rsidRDefault="00110A09" w:rsidP="00254D9F">
            <w:pPr>
              <w:pStyle w:val="ListParagraph"/>
              <w:numPr>
                <w:ilvl w:val="0"/>
                <w:numId w:val="28"/>
              </w:numPr>
              <w:jc w:val="both"/>
            </w:pPr>
            <w:r>
              <w:t xml:space="preserve">Communications include information about </w:t>
            </w:r>
            <w:hyperlink r:id="rId8" w:history="1">
              <w:r w:rsidRPr="00110A09">
                <w:rPr>
                  <w:rStyle w:val="Hyperlink"/>
                  <w:rFonts w:cstheme="minorBidi"/>
                </w:rPr>
                <w:t>being safe online</w:t>
              </w:r>
            </w:hyperlink>
            <w:r>
              <w:t xml:space="preserve"> and alternative ways to complete the risk screen if the litigant does not wish to do so on their own device. </w:t>
            </w:r>
          </w:p>
          <w:p w14:paraId="3A4B9464" w14:textId="5D5EF44A" w:rsidR="00110A09" w:rsidRDefault="00110A09" w:rsidP="00254D9F">
            <w:pPr>
              <w:pStyle w:val="ListParagraph"/>
              <w:numPr>
                <w:ilvl w:val="0"/>
                <w:numId w:val="28"/>
              </w:numPr>
              <w:jc w:val="both"/>
            </w:pPr>
            <w:r>
              <w:t>The online web application includes a timeout function after inactivity, has the ‘back button’ on the browser disabled, and automatically logs out the user at the completion of the risk screen</w:t>
            </w:r>
            <w:r w:rsidR="00EF2014">
              <w:t xml:space="preserve"> and it cannot be accessed again</w:t>
            </w:r>
            <w:r>
              <w:t xml:space="preserve">. </w:t>
            </w:r>
          </w:p>
          <w:p w14:paraId="04AA2FB9" w14:textId="36B67C17" w:rsidR="00110A09" w:rsidRDefault="00110A09" w:rsidP="00254D9F">
            <w:pPr>
              <w:pStyle w:val="ListParagraph"/>
              <w:numPr>
                <w:ilvl w:val="0"/>
                <w:numId w:val="28"/>
              </w:numPr>
              <w:jc w:val="both"/>
            </w:pPr>
            <w:r>
              <w:t xml:space="preserve">Access to the risk screen is for a finite period, at which time the risk screen ‘expires’ and the litigant must contact the Court to access again. </w:t>
            </w:r>
          </w:p>
          <w:p w14:paraId="4B68CF60" w14:textId="57D58FAD" w:rsidR="00E56BD3" w:rsidRDefault="00E56BD3" w:rsidP="00254D9F">
            <w:pPr>
              <w:jc w:val="both"/>
            </w:pPr>
            <w:r>
              <w:t xml:space="preserve">The Project encourages legal representatives to speak with the client about risk screening. </w:t>
            </w:r>
            <w:r w:rsidR="00D12FF2">
              <w:t>C</w:t>
            </w:r>
            <w:r w:rsidRPr="00E56BD3">
              <w:t xml:space="preserve">lients </w:t>
            </w:r>
            <w:r w:rsidR="00D12FF2">
              <w:t xml:space="preserve">can also </w:t>
            </w:r>
            <w:r w:rsidRPr="00E56BD3">
              <w:t>creat</w:t>
            </w:r>
            <w:r w:rsidR="00D12FF2">
              <w:t>e</w:t>
            </w:r>
            <w:r w:rsidRPr="00E56BD3">
              <w:t xml:space="preserve"> </w:t>
            </w:r>
            <w:r w:rsidR="00D12FF2">
              <w:t xml:space="preserve">a </w:t>
            </w:r>
            <w:r w:rsidRPr="00E56BD3">
              <w:t>secondary email address for the purpose of risk screening which could also be used for the service of Court documents throughout the proceedings</w:t>
            </w:r>
            <w:r>
              <w:t xml:space="preserve"> if a client’s email is compromised.</w:t>
            </w:r>
          </w:p>
          <w:p w14:paraId="74B6B51E" w14:textId="5CB4A916" w:rsidR="00713A87" w:rsidRDefault="00713A87" w:rsidP="00713A87">
            <w:pPr>
              <w:spacing w:after="0"/>
              <w:jc w:val="both"/>
              <w:rPr>
                <w:b/>
              </w:rPr>
            </w:pPr>
            <w:r>
              <w:rPr>
                <w:b/>
              </w:rPr>
              <w:t xml:space="preserve">What if my client raises concerns about the confidentiality of the risk screen? </w:t>
            </w:r>
          </w:p>
          <w:p w14:paraId="75F28A76" w14:textId="556FE306" w:rsidR="00713A87" w:rsidRDefault="00713A87" w:rsidP="00254D9F">
            <w:pPr>
              <w:jc w:val="both"/>
            </w:pPr>
            <w:r>
              <w:t xml:space="preserve">Part IIA </w:t>
            </w:r>
            <w:hyperlink r:id="rId9" w:history="1">
              <w:r w:rsidRPr="00706DF2">
                <w:rPr>
                  <w:rStyle w:val="Hyperlink"/>
                  <w:rFonts w:cstheme="minorBidi"/>
                  <w:i/>
                </w:rPr>
                <w:t>Family Law Act 1975</w:t>
              </w:r>
            </w:hyperlink>
            <w:r>
              <w:rPr>
                <w:i/>
              </w:rPr>
              <w:t xml:space="preserve"> </w:t>
            </w:r>
            <w:r w:rsidR="00706DF2">
              <w:t>prevents the disclosure and admission into evidence information connected with risk screening</w:t>
            </w:r>
            <w:r>
              <w:t xml:space="preserve">. </w:t>
            </w:r>
            <w:r w:rsidR="00706DF2">
              <w:t xml:space="preserve">This part provides that: </w:t>
            </w:r>
          </w:p>
          <w:p w14:paraId="4BCDD85C" w14:textId="77777777" w:rsidR="00706DF2" w:rsidRDefault="00706DF2" w:rsidP="00706DF2">
            <w:pPr>
              <w:pStyle w:val="ListParagraph"/>
              <w:numPr>
                <w:ilvl w:val="0"/>
                <w:numId w:val="29"/>
              </w:numPr>
              <w:jc w:val="both"/>
            </w:pPr>
            <w:r>
              <w:t>a party cannot be asked to disclose whether or not they undertook risk screening</w:t>
            </w:r>
          </w:p>
          <w:p w14:paraId="32F21B43" w14:textId="07C75949" w:rsidR="00706DF2" w:rsidRDefault="00706DF2" w:rsidP="00706DF2">
            <w:pPr>
              <w:pStyle w:val="ListParagraph"/>
              <w:numPr>
                <w:ilvl w:val="0"/>
                <w:numId w:val="29"/>
              </w:numPr>
              <w:jc w:val="both"/>
            </w:pPr>
            <w:r>
              <w:t>the risk screen responses, classification and referrals as a result of the screening process cannot be used as evidence in a proceeding (i.e. subpoenaed), and</w:t>
            </w:r>
          </w:p>
          <w:p w14:paraId="40654CAC" w14:textId="05B90AFB" w:rsidR="00706DF2" w:rsidRDefault="00706DF2" w:rsidP="00254D9F">
            <w:pPr>
              <w:pStyle w:val="ListParagraph"/>
              <w:numPr>
                <w:ilvl w:val="0"/>
                <w:numId w:val="29"/>
              </w:numPr>
              <w:jc w:val="both"/>
            </w:pPr>
            <w:r>
              <w:t>information shared or provided by a party to a family counsellor in the course of conducting risk screening cannot be disclosed, or used as evidence.</w:t>
            </w:r>
          </w:p>
          <w:p w14:paraId="26E70146" w14:textId="4AE5BB4D" w:rsidR="00706DF2" w:rsidRPr="00706DF2" w:rsidRDefault="00706DF2" w:rsidP="00254D9F">
            <w:pPr>
              <w:jc w:val="both"/>
            </w:pPr>
            <w:r>
              <w:t>While there are some exceptions</w:t>
            </w:r>
            <w:r w:rsidR="00DC23C1">
              <w:t xml:space="preserve"> required by law as usually applied</w:t>
            </w:r>
            <w:r>
              <w:t>, such as imminent risk to</w:t>
            </w:r>
            <w:r w:rsidR="00DC23C1">
              <w:t xml:space="preserve"> a child</w:t>
            </w:r>
            <w:r>
              <w:t>, t</w:t>
            </w:r>
            <w:r w:rsidRPr="00706DF2">
              <w:t>hese provisions ensure that parties are able to freely and confidently participate in the family safety risk screening process, without fear that the information they provide may be used against them in other contexts.</w:t>
            </w:r>
          </w:p>
          <w:p w14:paraId="16558DDB" w14:textId="6160E83E" w:rsidR="00713A87" w:rsidRDefault="00713A87" w:rsidP="00713A87">
            <w:pPr>
              <w:spacing w:after="0"/>
              <w:jc w:val="both"/>
              <w:rPr>
                <w:b/>
              </w:rPr>
            </w:pPr>
            <w:r>
              <w:rPr>
                <w:b/>
              </w:rPr>
              <w:t xml:space="preserve">What type of referrals are being made during </w:t>
            </w:r>
            <w:r w:rsidR="00D12FF2">
              <w:rPr>
                <w:b/>
              </w:rPr>
              <w:t>t</w:t>
            </w:r>
            <w:r>
              <w:rPr>
                <w:b/>
              </w:rPr>
              <w:t xml:space="preserve">riage interviews? </w:t>
            </w:r>
          </w:p>
          <w:p w14:paraId="052257C2" w14:textId="1DAC4D50" w:rsidR="000E209A" w:rsidRPr="00254D9F" w:rsidRDefault="00713A87" w:rsidP="00254D9F">
            <w:pPr>
              <w:jc w:val="both"/>
            </w:pPr>
            <w:r>
              <w:t>Referrals to the Family Advocacy and Support Service (FASS) for both legal and family violence support have been the most common referral made, however</w:t>
            </w:r>
            <w:r w:rsidR="00D12FF2">
              <w:t>,</w:t>
            </w:r>
            <w:r>
              <w:t xml:space="preserve"> the referrals are being made to a suite of support services </w:t>
            </w:r>
            <w:r w:rsidR="00D12FF2">
              <w:t>-</w:t>
            </w:r>
            <w:r>
              <w:t xml:space="preserve"> for both men and women. The Pilot has observed that litigants </w:t>
            </w:r>
            <w:r w:rsidRPr="00946780">
              <w:t xml:space="preserve">that are not linked in with services would really benefit from </w:t>
            </w:r>
            <w:r w:rsidRPr="00946780">
              <w:lastRenderedPageBreak/>
              <w:t>structured management support – such as FASS.</w:t>
            </w:r>
            <w:r>
              <w:t xml:space="preserve"> </w:t>
            </w:r>
            <w:r w:rsidR="00DC23C1">
              <w:t xml:space="preserve">Current </w:t>
            </w:r>
            <w:r>
              <w:t xml:space="preserve">feedback indicates that a majority of litigants do pursue these services. </w:t>
            </w:r>
          </w:p>
          <w:p w14:paraId="733192AE" w14:textId="5E7F7FB2" w:rsidR="0078342D" w:rsidRPr="0078342D" w:rsidRDefault="00D679B8" w:rsidP="00C17492">
            <w:pPr>
              <w:spacing w:after="0"/>
              <w:jc w:val="both"/>
              <w:rPr>
                <w:b/>
              </w:rPr>
            </w:pPr>
            <w:r>
              <w:rPr>
                <w:b/>
              </w:rPr>
              <w:t xml:space="preserve">Does early information gathering actually assist Evatt list matters? </w:t>
            </w:r>
          </w:p>
          <w:p w14:paraId="6A04333C" w14:textId="4FFDF808" w:rsidR="0078342D" w:rsidRDefault="00D679B8" w:rsidP="00B44F41">
            <w:pPr>
              <w:jc w:val="both"/>
              <w:rPr>
                <w:b/>
              </w:rPr>
            </w:pPr>
            <w:r>
              <w:t>Yes</w:t>
            </w:r>
            <w:r w:rsidR="00D12FF2">
              <w:t>, e</w:t>
            </w:r>
            <w:r w:rsidRPr="00D679B8">
              <w:t xml:space="preserve">arly information gathering is producing </w:t>
            </w:r>
            <w:r w:rsidR="00D12FF2">
              <w:t>valuable</w:t>
            </w:r>
            <w:r w:rsidRPr="00D679B8">
              <w:t xml:space="preserve"> information for the first court events and assists the Senior Registrars at the first interim hearings</w:t>
            </w:r>
            <w:r>
              <w:t xml:space="preserve">. </w:t>
            </w:r>
            <w:r w:rsidR="00DC23C1">
              <w:t xml:space="preserve">Early feedback indicates that </w:t>
            </w:r>
            <w:r>
              <w:t xml:space="preserve">due to the information gathered and provided so early in the matter, </w:t>
            </w:r>
            <w:r w:rsidRPr="00D679B8">
              <w:t>the Court is more informed about the parties and results in safe Orders being made</w:t>
            </w:r>
            <w:r>
              <w:t>.</w:t>
            </w:r>
          </w:p>
          <w:p w14:paraId="39DFC1C2" w14:textId="0CFD5C99" w:rsidR="000D77DA" w:rsidRDefault="00E30A61" w:rsidP="00C17492">
            <w:pPr>
              <w:spacing w:after="0"/>
              <w:jc w:val="both"/>
              <w:rPr>
                <w:b/>
              </w:rPr>
            </w:pPr>
            <w:r>
              <w:rPr>
                <w:b/>
              </w:rPr>
              <w:t xml:space="preserve">When will the Evaluation conclude?  </w:t>
            </w:r>
          </w:p>
          <w:p w14:paraId="3A575F88" w14:textId="48A029F6" w:rsidR="000D77DA" w:rsidRDefault="000D77DA" w:rsidP="00D71BA3">
            <w:pPr>
              <w:jc w:val="both"/>
              <w:rPr>
                <w:b/>
              </w:rPr>
            </w:pPr>
            <w:r>
              <w:t>The Project</w:t>
            </w:r>
            <w:r w:rsidR="00F33281">
              <w:t>’s</w:t>
            </w:r>
            <w:r>
              <w:t xml:space="preserve"> formal evaluation </w:t>
            </w:r>
            <w:r w:rsidR="00F33281">
              <w:t xml:space="preserve">commenced </w:t>
            </w:r>
            <w:r>
              <w:t xml:space="preserve">in early May and </w:t>
            </w:r>
            <w:r w:rsidR="00E30A61">
              <w:t>is expected to conclude in July</w:t>
            </w:r>
            <w:r w:rsidR="004502F5">
              <w:t xml:space="preserve"> 2021</w:t>
            </w:r>
            <w:r w:rsidR="00E30A61">
              <w:t>. F</w:t>
            </w:r>
            <w:r w:rsidR="00E30A61" w:rsidRPr="00E30A61">
              <w:t>urther updates about progress and recommendations will be provided in due course.</w:t>
            </w:r>
          </w:p>
          <w:p w14:paraId="2EF05330" w14:textId="02BD8CEC" w:rsidR="000D77DA" w:rsidRDefault="000D77DA" w:rsidP="000D77DA">
            <w:pPr>
              <w:pStyle w:val="Heading2"/>
              <w:outlineLvl w:val="1"/>
            </w:pPr>
            <w:r>
              <w:t>Where can I get more</w:t>
            </w:r>
            <w:r w:rsidRPr="00CC39FD">
              <w:t xml:space="preserve"> information</w:t>
            </w:r>
            <w:r>
              <w:t>?</w:t>
            </w:r>
          </w:p>
          <w:p w14:paraId="3CD3E63E" w14:textId="54CD4991" w:rsidR="001C22C1" w:rsidRDefault="001C22C1" w:rsidP="001C22C1">
            <w:r>
              <w:t>The Lighthouse Project Team</w:t>
            </w:r>
            <w:r w:rsidR="000E209A">
              <w:t xml:space="preserve"> is</w:t>
            </w:r>
            <w:r>
              <w:t xml:space="preserve"> available to deliver information sessions to your organisation. We have a suite of presentations on:</w:t>
            </w:r>
          </w:p>
          <w:p w14:paraId="167F62C6" w14:textId="4C6E573C" w:rsidR="001C22C1" w:rsidRDefault="001C22C1" w:rsidP="001C22C1">
            <w:pPr>
              <w:pStyle w:val="ListParagraph"/>
              <w:numPr>
                <w:ilvl w:val="0"/>
                <w:numId w:val="27"/>
              </w:numPr>
            </w:pPr>
            <w:r>
              <w:t xml:space="preserve">The Lighthouse Project – general overview </w:t>
            </w:r>
          </w:p>
          <w:p w14:paraId="401585E5" w14:textId="3A4B9CB5" w:rsidR="001C22C1" w:rsidRDefault="001C22C1" w:rsidP="001C22C1">
            <w:pPr>
              <w:pStyle w:val="ListParagraph"/>
              <w:numPr>
                <w:ilvl w:val="0"/>
                <w:numId w:val="27"/>
              </w:numPr>
            </w:pPr>
            <w:r>
              <w:t>Family DOORS Triage – a detailed look at the Family DOORS Triage risk screening process</w:t>
            </w:r>
          </w:p>
          <w:p w14:paraId="51CD9EC8" w14:textId="3ADA31D4" w:rsidR="00C17492" w:rsidRDefault="001C22C1" w:rsidP="007077A0">
            <w:pPr>
              <w:pStyle w:val="ListParagraph"/>
              <w:numPr>
                <w:ilvl w:val="0"/>
                <w:numId w:val="27"/>
              </w:numPr>
            </w:pPr>
            <w:r>
              <w:t>The Evatt List – a detail</w:t>
            </w:r>
            <w:r w:rsidR="004502F5">
              <w:t>ed</w:t>
            </w:r>
            <w:r>
              <w:t xml:space="preserve"> presentation on Evatt List case management </w:t>
            </w:r>
          </w:p>
          <w:p w14:paraId="2EF92F52" w14:textId="69B1B3F5" w:rsidR="000D77DA" w:rsidRDefault="001C22C1" w:rsidP="007077A0">
            <w:pPr>
              <w:pStyle w:val="ListParagraph"/>
              <w:numPr>
                <w:ilvl w:val="0"/>
                <w:numId w:val="27"/>
              </w:numPr>
            </w:pPr>
            <w:r>
              <w:t xml:space="preserve">We can also tailor presentations to suit your organisation and </w:t>
            </w:r>
            <w:r w:rsidR="00F33281">
              <w:t xml:space="preserve">any </w:t>
            </w:r>
            <w:r>
              <w:t>audience. If you would like to know more contact Elizabeth Evans</w:t>
            </w:r>
            <w:r w:rsidR="004502F5">
              <w:t>, Project Manager</w:t>
            </w:r>
            <w:r>
              <w:t xml:space="preserve"> via </w:t>
            </w:r>
            <w:hyperlink r:id="rId10" w:history="1">
              <w:r w:rsidRPr="00C17492">
                <w:rPr>
                  <w:rStyle w:val="Hyperlink"/>
                  <w:rFonts w:cstheme="minorBidi"/>
                </w:rPr>
                <w:t>LighthouseProject@federalcircuitcourt.gov.au</w:t>
              </w:r>
            </w:hyperlink>
            <w:r>
              <w:t xml:space="preserve">. </w:t>
            </w:r>
          </w:p>
          <w:p w14:paraId="2899294B" w14:textId="1E4F4602" w:rsidR="000D77DA" w:rsidRPr="000947D5" w:rsidRDefault="000D77DA" w:rsidP="00C17492">
            <w:pPr>
              <w:spacing w:after="0"/>
            </w:pPr>
            <w:r w:rsidRPr="000947D5">
              <w:t>The </w:t>
            </w:r>
            <w:hyperlink r:id="rId11" w:history="1">
              <w:r w:rsidRPr="000947D5">
                <w:rPr>
                  <w:rStyle w:val="Hyperlink"/>
                  <w:rFonts w:cstheme="minorBidi"/>
                </w:rPr>
                <w:t>Family DOORS Triage risk screening and case management - Information sheet for parties</w:t>
              </w:r>
            </w:hyperlink>
            <w:r w:rsidRPr="000947D5">
              <w:t> is also available translated into the following languages:</w:t>
            </w:r>
          </w:p>
          <w:p w14:paraId="16D1E72F" w14:textId="4435A5A9" w:rsidR="000D77DA" w:rsidRPr="000947D5" w:rsidRDefault="003D73CD" w:rsidP="000D77DA">
            <w:pPr>
              <w:numPr>
                <w:ilvl w:val="0"/>
                <w:numId w:val="21"/>
              </w:numPr>
              <w:spacing w:after="0" w:line="276" w:lineRule="auto"/>
            </w:pPr>
            <w:hyperlink r:id="rId12" w:history="1">
              <w:r w:rsidR="000D77DA" w:rsidRPr="000947D5">
                <w:rPr>
                  <w:rStyle w:val="Hyperlink"/>
                  <w:rFonts w:cstheme="minorBidi"/>
                </w:rPr>
                <w:t>العربية | Arabic</w:t>
              </w:r>
            </w:hyperlink>
          </w:p>
          <w:p w14:paraId="0D9EADC0" w14:textId="19097DD7" w:rsidR="000D77DA" w:rsidRPr="000947D5" w:rsidRDefault="003D73CD" w:rsidP="000D77DA">
            <w:pPr>
              <w:numPr>
                <w:ilvl w:val="0"/>
                <w:numId w:val="21"/>
              </w:numPr>
              <w:spacing w:after="0" w:line="276" w:lineRule="auto"/>
            </w:pPr>
            <w:hyperlink r:id="rId13" w:history="1">
              <w:r w:rsidR="000D77DA" w:rsidRPr="000947D5">
                <w:rPr>
                  <w:rStyle w:val="Hyperlink"/>
                  <w:rFonts w:ascii="Microsoft JhengHei" w:eastAsia="Microsoft JhengHei" w:hAnsi="Microsoft JhengHei" w:cs="Microsoft JhengHei" w:hint="eastAsia"/>
                </w:rPr>
                <w:t>简</w:t>
              </w:r>
              <w:r w:rsidR="000D77DA" w:rsidRPr="000947D5">
                <w:rPr>
                  <w:rStyle w:val="Hyperlink"/>
                  <w:rFonts w:ascii="MS Gothic" w:eastAsia="MS Gothic" w:hAnsi="MS Gothic" w:cs="MS Gothic" w:hint="eastAsia"/>
                </w:rPr>
                <w:t>体中文</w:t>
              </w:r>
              <w:r w:rsidR="000D77DA" w:rsidRPr="000947D5">
                <w:rPr>
                  <w:rStyle w:val="Hyperlink"/>
                  <w:rFonts w:cstheme="minorBidi"/>
                </w:rPr>
                <w:t> | Chinese Simplified</w:t>
              </w:r>
            </w:hyperlink>
          </w:p>
          <w:p w14:paraId="1B7C50A8" w14:textId="0513C5CB" w:rsidR="000D77DA" w:rsidRPr="000947D5" w:rsidRDefault="003D73CD" w:rsidP="000D77DA">
            <w:pPr>
              <w:numPr>
                <w:ilvl w:val="0"/>
                <w:numId w:val="21"/>
              </w:numPr>
              <w:spacing w:after="0" w:line="276" w:lineRule="auto"/>
            </w:pPr>
            <w:hyperlink r:id="rId14" w:history="1">
              <w:r w:rsidR="000D77DA" w:rsidRPr="000947D5">
                <w:rPr>
                  <w:rStyle w:val="Hyperlink"/>
                  <w:rFonts w:ascii="MS Gothic" w:eastAsia="MS Gothic" w:hAnsi="MS Gothic" w:cs="MS Gothic" w:hint="eastAsia"/>
                </w:rPr>
                <w:t>繁體中文</w:t>
              </w:r>
              <w:r w:rsidR="000D77DA" w:rsidRPr="000947D5">
                <w:rPr>
                  <w:rStyle w:val="Hyperlink"/>
                  <w:rFonts w:cstheme="minorBidi"/>
                </w:rPr>
                <w:t> | Chinese Traditional</w:t>
              </w:r>
            </w:hyperlink>
          </w:p>
          <w:p w14:paraId="0B2EEF76" w14:textId="77FDBB23" w:rsidR="000D77DA" w:rsidRPr="000947D5" w:rsidRDefault="003D73CD" w:rsidP="000D77DA">
            <w:pPr>
              <w:numPr>
                <w:ilvl w:val="0"/>
                <w:numId w:val="21"/>
              </w:numPr>
              <w:spacing w:after="0" w:line="276" w:lineRule="auto"/>
            </w:pPr>
            <w:hyperlink r:id="rId15" w:history="1">
              <w:r w:rsidR="000D77DA" w:rsidRPr="000947D5">
                <w:rPr>
                  <w:rStyle w:val="Hyperlink"/>
                  <w:rFonts w:cstheme="minorBidi"/>
                </w:rPr>
                <w:t>Filipino | Filipino</w:t>
              </w:r>
            </w:hyperlink>
          </w:p>
          <w:p w14:paraId="22A53EB6" w14:textId="478956FC" w:rsidR="000D77DA" w:rsidRPr="000947D5" w:rsidRDefault="003D73CD" w:rsidP="000D77DA">
            <w:pPr>
              <w:numPr>
                <w:ilvl w:val="0"/>
                <w:numId w:val="21"/>
              </w:numPr>
              <w:spacing w:after="0" w:line="276" w:lineRule="auto"/>
            </w:pPr>
            <w:hyperlink r:id="rId16" w:history="1">
              <w:r w:rsidR="000D77DA" w:rsidRPr="000947D5">
                <w:rPr>
                  <w:rStyle w:val="Hyperlink"/>
                  <w:rFonts w:cstheme="minorBidi"/>
                </w:rPr>
                <w:t>Ελληνικά | Greek</w:t>
              </w:r>
            </w:hyperlink>
          </w:p>
          <w:p w14:paraId="3863927A" w14:textId="77777777" w:rsidR="000D77DA" w:rsidRPr="000947D5" w:rsidRDefault="003D73CD" w:rsidP="000D77DA">
            <w:pPr>
              <w:numPr>
                <w:ilvl w:val="0"/>
                <w:numId w:val="21"/>
              </w:numPr>
              <w:spacing w:after="0" w:line="276" w:lineRule="auto"/>
            </w:pPr>
            <w:hyperlink r:id="rId17" w:history="1">
              <w:r w:rsidR="000D77DA" w:rsidRPr="000947D5">
                <w:rPr>
                  <w:rStyle w:val="Hyperlink"/>
                  <w:rFonts w:ascii="Nirmala UI" w:hAnsi="Nirmala UI" w:cs="Nirmala UI"/>
                </w:rPr>
                <w:t>हिंदी</w:t>
              </w:r>
              <w:r w:rsidR="000D77DA" w:rsidRPr="000947D5">
                <w:rPr>
                  <w:rStyle w:val="Hyperlink"/>
                  <w:rFonts w:cstheme="minorBidi"/>
                </w:rPr>
                <w:t xml:space="preserve">  | Hindi</w:t>
              </w:r>
            </w:hyperlink>
          </w:p>
          <w:p w14:paraId="5EF71B4D" w14:textId="697AAE13" w:rsidR="000D77DA" w:rsidRPr="000947D5" w:rsidRDefault="003D73CD" w:rsidP="000D77DA">
            <w:pPr>
              <w:numPr>
                <w:ilvl w:val="0"/>
                <w:numId w:val="21"/>
              </w:numPr>
              <w:spacing w:after="0" w:line="276" w:lineRule="auto"/>
            </w:pPr>
            <w:hyperlink r:id="rId18" w:history="1">
              <w:r w:rsidR="000D77DA" w:rsidRPr="000947D5">
                <w:rPr>
                  <w:rStyle w:val="Hyperlink"/>
                  <w:rFonts w:cstheme="minorBidi"/>
                </w:rPr>
                <w:t>Italiano | Italian</w:t>
              </w:r>
            </w:hyperlink>
          </w:p>
          <w:p w14:paraId="48DF2FAA" w14:textId="68098F1C" w:rsidR="000D77DA" w:rsidRPr="000947D5" w:rsidRDefault="003D73CD" w:rsidP="000D77DA">
            <w:pPr>
              <w:numPr>
                <w:ilvl w:val="0"/>
                <w:numId w:val="21"/>
              </w:numPr>
              <w:spacing w:after="0" w:line="276" w:lineRule="auto"/>
            </w:pPr>
            <w:hyperlink r:id="rId19" w:history="1">
              <w:r w:rsidR="000D77DA" w:rsidRPr="000947D5">
                <w:rPr>
                  <w:rStyle w:val="Hyperlink"/>
                  <w:rFonts w:ascii="Nirmala UI" w:hAnsi="Nirmala UI" w:cs="Nirmala UI"/>
                </w:rPr>
                <w:t>ਪੰਜਾਬੀ</w:t>
              </w:r>
              <w:r w:rsidR="000D77DA" w:rsidRPr="000947D5">
                <w:rPr>
                  <w:rStyle w:val="Hyperlink"/>
                  <w:rFonts w:cstheme="minorBidi"/>
                </w:rPr>
                <w:t> | Punjabi</w:t>
              </w:r>
            </w:hyperlink>
          </w:p>
          <w:p w14:paraId="35346CAB" w14:textId="4FA4E14F" w:rsidR="000D77DA" w:rsidRPr="000947D5" w:rsidRDefault="003D73CD" w:rsidP="000D77DA">
            <w:pPr>
              <w:numPr>
                <w:ilvl w:val="0"/>
                <w:numId w:val="21"/>
              </w:numPr>
              <w:spacing w:after="0" w:line="276" w:lineRule="auto"/>
            </w:pPr>
            <w:hyperlink r:id="rId20" w:history="1">
              <w:r w:rsidR="000D77DA" w:rsidRPr="000947D5">
                <w:rPr>
                  <w:rStyle w:val="Hyperlink"/>
                  <w:rFonts w:cstheme="minorBidi"/>
                </w:rPr>
                <w:t>Türkçe | Turkish</w:t>
              </w:r>
            </w:hyperlink>
          </w:p>
          <w:p w14:paraId="3739A2C8" w14:textId="733E5FF0" w:rsidR="000D77DA" w:rsidRPr="000947D5" w:rsidRDefault="003D73CD" w:rsidP="000D77DA">
            <w:pPr>
              <w:numPr>
                <w:ilvl w:val="0"/>
                <w:numId w:val="21"/>
              </w:numPr>
              <w:spacing w:after="0" w:line="276" w:lineRule="auto"/>
            </w:pPr>
            <w:hyperlink r:id="rId21" w:history="1">
              <w:r w:rsidR="000D77DA" w:rsidRPr="000947D5">
                <w:rPr>
                  <w:rStyle w:val="Hyperlink"/>
                  <w:rFonts w:cstheme="minorBidi"/>
                </w:rPr>
                <w:t>Tiếng Việt | Vietnamese</w:t>
              </w:r>
            </w:hyperlink>
          </w:p>
          <w:p w14:paraId="51855E84" w14:textId="5E52003F" w:rsidR="00286112" w:rsidRDefault="00286112" w:rsidP="000D77DA">
            <w:pPr>
              <w:jc w:val="both"/>
            </w:pPr>
            <w:bookmarkStart w:id="0" w:name="_GoBack"/>
            <w:bookmarkEnd w:id="0"/>
          </w:p>
        </w:tc>
        <w:tc>
          <w:tcPr>
            <w:tcW w:w="2410" w:type="dxa"/>
            <w:shd w:val="clear" w:color="auto" w:fill="43758A"/>
          </w:tcPr>
          <w:p w14:paraId="0487D50F" w14:textId="77777777" w:rsidR="00B00FDE" w:rsidRPr="0069574E" w:rsidRDefault="00547E2D" w:rsidP="00085F7E">
            <w:pPr>
              <w:pStyle w:val="Heading2"/>
              <w:spacing w:before="360" w:after="240"/>
              <w:ind w:left="30"/>
              <w:outlineLvl w:val="1"/>
              <w:rPr>
                <w:rFonts w:ascii="Calibri" w:hAnsi="Calibri" w:cs="Calibri"/>
                <w:color w:val="FFFF99"/>
                <w:sz w:val="28"/>
                <w:szCs w:val="28"/>
              </w:rPr>
            </w:pPr>
            <w:r w:rsidRPr="0069574E">
              <w:rPr>
                <w:rFonts w:ascii="Calibri" w:hAnsi="Calibri" w:cs="Calibri"/>
                <w:color w:val="FFFF99"/>
                <w:sz w:val="28"/>
                <w:szCs w:val="28"/>
              </w:rPr>
              <w:lastRenderedPageBreak/>
              <w:t>ABOUT THE PROJECT</w:t>
            </w:r>
          </w:p>
          <w:p w14:paraId="6A055186" w14:textId="77777777" w:rsidR="00830FC7" w:rsidRDefault="00286112" w:rsidP="00830FC7">
            <w:pPr>
              <w:spacing w:after="120"/>
              <w:ind w:left="28" w:right="170"/>
              <w:rPr>
                <w:color w:val="FFFFFF" w:themeColor="background1"/>
              </w:rPr>
            </w:pPr>
            <w:r w:rsidRPr="00286112">
              <w:rPr>
                <w:color w:val="FFFFFF" w:themeColor="background1"/>
              </w:rPr>
              <w:t>The Lighthouse Pilot commenced in the Federal Circuit Court of Australia on 7 December 2020 in Adelaide, and in Brisbane and</w:t>
            </w:r>
            <w:r w:rsidR="00830FC7">
              <w:rPr>
                <w:color w:val="FFFFFF" w:themeColor="background1"/>
              </w:rPr>
              <w:t xml:space="preserve"> Parramatta on 11 January 2021.</w:t>
            </w:r>
          </w:p>
          <w:p w14:paraId="691580E8" w14:textId="77777777" w:rsidR="00286112" w:rsidRPr="00286112" w:rsidRDefault="00286112" w:rsidP="00830FC7">
            <w:pPr>
              <w:spacing w:after="0"/>
              <w:ind w:left="30" w:right="172"/>
              <w:rPr>
                <w:color w:val="FFFFFF" w:themeColor="background1"/>
              </w:rPr>
            </w:pPr>
            <w:r w:rsidRPr="00286112">
              <w:rPr>
                <w:color w:val="FFFFFF" w:themeColor="background1"/>
              </w:rPr>
              <w:t>The pilot is a new approach to risk screening that focuses on public health and tailored case management for families involved in the family law system. It involves:</w:t>
            </w:r>
          </w:p>
          <w:p w14:paraId="78FF2E74" w14:textId="77777777" w:rsidR="00286112" w:rsidRPr="00085F7E" w:rsidRDefault="00286112" w:rsidP="00830FC7">
            <w:pPr>
              <w:pStyle w:val="ListParagraph"/>
              <w:numPr>
                <w:ilvl w:val="0"/>
                <w:numId w:val="10"/>
              </w:numPr>
              <w:spacing w:before="120" w:after="120"/>
              <w:ind w:left="527" w:right="172" w:hanging="357"/>
              <w:contextualSpacing w:val="0"/>
              <w:rPr>
                <w:color w:val="FFFF99"/>
              </w:rPr>
            </w:pPr>
            <w:r w:rsidRPr="00085F7E">
              <w:rPr>
                <w:color w:val="FFFF99"/>
              </w:rPr>
              <w:t>Early risk screening through a secure online platform.</w:t>
            </w:r>
          </w:p>
          <w:p w14:paraId="70A600BD" w14:textId="77777777" w:rsidR="00286112" w:rsidRPr="00085F7E" w:rsidRDefault="00286112" w:rsidP="00830FC7">
            <w:pPr>
              <w:pStyle w:val="ListParagraph"/>
              <w:numPr>
                <w:ilvl w:val="0"/>
                <w:numId w:val="10"/>
              </w:numPr>
              <w:spacing w:before="120" w:after="120"/>
              <w:ind w:left="527" w:right="172" w:hanging="357"/>
              <w:contextualSpacing w:val="0"/>
              <w:rPr>
                <w:color w:val="FFFFFF" w:themeColor="background1"/>
              </w:rPr>
            </w:pPr>
            <w:r w:rsidRPr="00085F7E">
              <w:rPr>
                <w:color w:val="FFFFFF" w:themeColor="background1"/>
              </w:rPr>
              <w:t>Early identification and development of safety plans and referrals.</w:t>
            </w:r>
          </w:p>
          <w:p w14:paraId="2B774261" w14:textId="77777777" w:rsidR="00286112" w:rsidRPr="00085F7E" w:rsidRDefault="00286112" w:rsidP="00830FC7">
            <w:pPr>
              <w:pStyle w:val="ListParagraph"/>
              <w:numPr>
                <w:ilvl w:val="0"/>
                <w:numId w:val="10"/>
              </w:numPr>
              <w:spacing w:before="120" w:after="120"/>
              <w:ind w:left="527" w:right="172" w:hanging="357"/>
              <w:contextualSpacing w:val="0"/>
              <w:rPr>
                <w:color w:val="FFFF99"/>
              </w:rPr>
            </w:pPr>
            <w:r w:rsidRPr="00085F7E">
              <w:rPr>
                <w:color w:val="FFFF99"/>
              </w:rPr>
              <w:t>Assessment, triage and support of cases by a specialised team of judges, family consultants, senior registrars and registrars.</w:t>
            </w:r>
          </w:p>
          <w:p w14:paraId="193A567C" w14:textId="650861DC" w:rsidR="003A285C" w:rsidRDefault="003A285C" w:rsidP="003A285C">
            <w:pPr>
              <w:pStyle w:val="ListParagraph"/>
              <w:spacing w:before="120" w:after="120"/>
              <w:ind w:left="527" w:right="172"/>
              <w:contextualSpacing w:val="0"/>
              <w:rPr>
                <w:color w:val="FFFFFF" w:themeColor="background1"/>
              </w:rPr>
            </w:pPr>
          </w:p>
          <w:p w14:paraId="6E14A551" w14:textId="4750912F" w:rsidR="00286112" w:rsidRPr="00085F7E" w:rsidRDefault="00286112" w:rsidP="00830FC7">
            <w:pPr>
              <w:pStyle w:val="ListParagraph"/>
              <w:numPr>
                <w:ilvl w:val="0"/>
                <w:numId w:val="10"/>
              </w:numPr>
              <w:spacing w:before="120" w:after="120"/>
              <w:ind w:left="527" w:right="172" w:hanging="357"/>
              <w:contextualSpacing w:val="0"/>
              <w:rPr>
                <w:color w:val="FFFFFF" w:themeColor="background1"/>
              </w:rPr>
            </w:pPr>
            <w:r w:rsidRPr="00085F7E">
              <w:rPr>
                <w:color w:val="FFFFFF" w:themeColor="background1"/>
              </w:rPr>
              <w:t>Tailored case management to suit the needs of each case.</w:t>
            </w:r>
          </w:p>
          <w:p w14:paraId="2916FF33" w14:textId="77777777" w:rsidR="00547E2D" w:rsidRPr="009E354C" w:rsidRDefault="00286112" w:rsidP="00830FC7">
            <w:pPr>
              <w:pStyle w:val="ListParagraph"/>
              <w:numPr>
                <w:ilvl w:val="0"/>
                <w:numId w:val="10"/>
              </w:numPr>
              <w:spacing w:before="120" w:after="120"/>
              <w:ind w:left="527" w:right="172" w:hanging="357"/>
              <w:contextualSpacing w:val="0"/>
              <w:rPr>
                <w:color w:val="FFFFFF" w:themeColor="background1"/>
              </w:rPr>
            </w:pPr>
            <w:r w:rsidRPr="00085F7E">
              <w:rPr>
                <w:color w:val="FFFF99"/>
              </w:rPr>
              <w:t xml:space="preserve">Referral of cases to a dedicated high-risk court list, known as the Evatt List. </w:t>
            </w:r>
          </w:p>
          <w:p w14:paraId="72491B38" w14:textId="720E1E33" w:rsidR="009E354C" w:rsidRDefault="009E354C" w:rsidP="009E354C">
            <w:pPr>
              <w:spacing w:before="120" w:after="120"/>
              <w:ind w:right="172"/>
              <w:rPr>
                <w:color w:val="FFFFFF" w:themeColor="background1"/>
              </w:rPr>
            </w:pPr>
          </w:p>
          <w:p w14:paraId="79A62F6C" w14:textId="635366A5" w:rsidR="009E354C" w:rsidRPr="009E354C" w:rsidRDefault="009E354C" w:rsidP="009E354C">
            <w:pPr>
              <w:spacing w:before="120" w:after="120"/>
              <w:ind w:right="172"/>
              <w:rPr>
                <w:color w:val="FFFFFF" w:themeColor="background1"/>
              </w:rPr>
            </w:pPr>
            <w:r w:rsidRPr="009E354C">
              <w:rPr>
                <w:color w:val="FFFFFF" w:themeColor="background1"/>
              </w:rPr>
              <w:t xml:space="preserve">For more information on the Lighthouse Project, visit the Court’s </w:t>
            </w:r>
            <w:hyperlink r:id="rId22" w:history="1">
              <w:r w:rsidRPr="009E354C">
                <w:rPr>
                  <w:rStyle w:val="Hyperlink"/>
                  <w:rFonts w:cstheme="minorBidi"/>
                </w:rPr>
                <w:t>website</w:t>
              </w:r>
            </w:hyperlink>
            <w:r w:rsidRPr="009E354C">
              <w:rPr>
                <w:color w:val="FFFFFF" w:themeColor="background1"/>
              </w:rPr>
              <w:t>.</w:t>
            </w:r>
          </w:p>
        </w:tc>
      </w:tr>
    </w:tbl>
    <w:p w14:paraId="0DB4A1E3" w14:textId="77777777" w:rsidR="00B00FDE" w:rsidRDefault="00B00FDE" w:rsidP="009D78F5"/>
    <w:sectPr w:rsidR="00B00FDE" w:rsidSect="00C17492">
      <w:headerReference w:type="default" r:id="rId23"/>
      <w:footerReference w:type="default" r:id="rId24"/>
      <w:pgSz w:w="11906" w:h="16838" w:code="9"/>
      <w:pgMar w:top="2977"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74D40D" w14:textId="77777777" w:rsidR="00B52C4F" w:rsidRDefault="00B52C4F" w:rsidP="00287499">
      <w:pPr>
        <w:spacing w:after="0" w:line="240" w:lineRule="auto"/>
      </w:pPr>
      <w:r>
        <w:separator/>
      </w:r>
    </w:p>
  </w:endnote>
  <w:endnote w:type="continuationSeparator" w:id="0">
    <w:p w14:paraId="2AD795A8" w14:textId="77777777" w:rsidR="00B52C4F" w:rsidRDefault="00B52C4F" w:rsidP="002874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MS Gothic">
    <w:altName w:val="ＭＳ ゴシック"/>
    <w:panose1 w:val="020B0609070205080204"/>
    <w:charset w:val="80"/>
    <w:family w:val="modern"/>
    <w:pitch w:val="fixed"/>
    <w:sig w:usb0="E00002FF" w:usb1="6AC7FDFB" w:usb2="08000012" w:usb3="00000000" w:csb0="0002009F" w:csb1="00000000"/>
  </w:font>
  <w:font w:name="Nirmala UI">
    <w:panose1 w:val="020B0502040204020203"/>
    <w:charset w:val="00"/>
    <w:family w:val="swiss"/>
    <w:pitch w:val="variable"/>
    <w:sig w:usb0="80FF8023" w:usb1="0000004A" w:usb2="000002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AF20ED" w14:textId="77777777" w:rsidR="00287499" w:rsidRDefault="00287499">
    <w:pPr>
      <w:pStyle w:val="Footer"/>
    </w:pPr>
    <w:r>
      <w:rPr>
        <w:noProof/>
      </w:rPr>
      <w:drawing>
        <wp:anchor distT="0" distB="0" distL="114300" distR="114300" simplePos="0" relativeHeight="251659264" behindDoc="1" locked="0" layoutInCell="1" allowOverlap="1" wp14:anchorId="4CE5716F" wp14:editId="193D918F">
          <wp:simplePos x="0" y="0"/>
          <wp:positionH relativeFrom="column">
            <wp:posOffset>-682559</wp:posOffset>
          </wp:positionH>
          <wp:positionV relativeFrom="page">
            <wp:posOffset>9932441</wp:posOffset>
          </wp:positionV>
          <wp:extent cx="7095490" cy="651691"/>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HP_update_banner_LHP_update_bottom.png"/>
                  <pic:cNvPicPr/>
                </pic:nvPicPr>
                <pic:blipFill>
                  <a:blip r:embed="rId1">
                    <a:extLst>
                      <a:ext uri="{28A0092B-C50C-407E-A947-70E740481C1C}">
                        <a14:useLocalDpi xmlns:a14="http://schemas.microsoft.com/office/drawing/2010/main" val="0"/>
                      </a:ext>
                    </a:extLst>
                  </a:blip>
                  <a:stretch>
                    <a:fillRect/>
                  </a:stretch>
                </pic:blipFill>
                <pic:spPr>
                  <a:xfrm>
                    <a:off x="0" y="0"/>
                    <a:ext cx="7095490" cy="6516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71C43F" w14:textId="77777777" w:rsidR="00B52C4F" w:rsidRDefault="00B52C4F" w:rsidP="00287499">
      <w:pPr>
        <w:spacing w:after="0" w:line="240" w:lineRule="auto"/>
      </w:pPr>
      <w:r>
        <w:separator/>
      </w:r>
    </w:p>
  </w:footnote>
  <w:footnote w:type="continuationSeparator" w:id="0">
    <w:p w14:paraId="106FEC53" w14:textId="77777777" w:rsidR="00B52C4F" w:rsidRDefault="00B52C4F" w:rsidP="002874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2B211C" w14:textId="77777777" w:rsidR="00287499" w:rsidRDefault="00287499">
    <w:pPr>
      <w:pStyle w:val="Header"/>
    </w:pPr>
    <w:r>
      <w:rPr>
        <w:noProof/>
      </w:rPr>
      <w:drawing>
        <wp:anchor distT="0" distB="0" distL="114300" distR="114300" simplePos="0" relativeHeight="251658240" behindDoc="1" locked="0" layoutInCell="1" allowOverlap="1" wp14:anchorId="10A6D872" wp14:editId="6BCA59D7">
          <wp:simplePos x="0" y="0"/>
          <wp:positionH relativeFrom="column">
            <wp:posOffset>-687070</wp:posOffset>
          </wp:positionH>
          <wp:positionV relativeFrom="page">
            <wp:posOffset>169545</wp:posOffset>
          </wp:positionV>
          <wp:extent cx="7095490" cy="1491615"/>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HP_update_banner_LHP_update_Longlogo2.png"/>
                  <pic:cNvPicPr/>
                </pic:nvPicPr>
                <pic:blipFill>
                  <a:blip r:embed="rId1">
                    <a:extLst>
                      <a:ext uri="{28A0092B-C50C-407E-A947-70E740481C1C}">
                        <a14:useLocalDpi xmlns:a14="http://schemas.microsoft.com/office/drawing/2010/main" val="0"/>
                      </a:ext>
                    </a:extLst>
                  </a:blip>
                  <a:stretch>
                    <a:fillRect/>
                  </a:stretch>
                </pic:blipFill>
                <pic:spPr>
                  <a:xfrm>
                    <a:off x="0" y="0"/>
                    <a:ext cx="7095490" cy="149161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3B4223"/>
    <w:multiLevelType w:val="hybridMultilevel"/>
    <w:tmpl w:val="F2CE85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3D50F04"/>
    <w:multiLevelType w:val="hybridMultilevel"/>
    <w:tmpl w:val="69684060"/>
    <w:lvl w:ilvl="0" w:tplc="0E8A42F2">
      <w:numFmt w:val="bullet"/>
      <w:lvlText w:val=""/>
      <w:lvlJc w:val="left"/>
      <w:pPr>
        <w:ind w:left="532" w:hanging="360"/>
      </w:pPr>
      <w:rPr>
        <w:rFonts w:ascii="Symbol" w:eastAsia="Times New Roman" w:hAnsi="Symbol" w:cs="Times New Roman" w:hint="default"/>
      </w:rPr>
    </w:lvl>
    <w:lvl w:ilvl="1" w:tplc="0C090003" w:tentative="1">
      <w:start w:val="1"/>
      <w:numFmt w:val="bullet"/>
      <w:lvlText w:val="o"/>
      <w:lvlJc w:val="left"/>
      <w:pPr>
        <w:ind w:left="1252" w:hanging="360"/>
      </w:pPr>
      <w:rPr>
        <w:rFonts w:ascii="Courier New" w:hAnsi="Courier New" w:cs="Courier New" w:hint="default"/>
      </w:rPr>
    </w:lvl>
    <w:lvl w:ilvl="2" w:tplc="0C090005" w:tentative="1">
      <w:start w:val="1"/>
      <w:numFmt w:val="bullet"/>
      <w:lvlText w:val=""/>
      <w:lvlJc w:val="left"/>
      <w:pPr>
        <w:ind w:left="1972" w:hanging="360"/>
      </w:pPr>
      <w:rPr>
        <w:rFonts w:ascii="Wingdings" w:hAnsi="Wingdings" w:hint="default"/>
      </w:rPr>
    </w:lvl>
    <w:lvl w:ilvl="3" w:tplc="0C090001" w:tentative="1">
      <w:start w:val="1"/>
      <w:numFmt w:val="bullet"/>
      <w:lvlText w:val=""/>
      <w:lvlJc w:val="left"/>
      <w:pPr>
        <w:ind w:left="2692" w:hanging="360"/>
      </w:pPr>
      <w:rPr>
        <w:rFonts w:ascii="Symbol" w:hAnsi="Symbol" w:hint="default"/>
      </w:rPr>
    </w:lvl>
    <w:lvl w:ilvl="4" w:tplc="0C090003" w:tentative="1">
      <w:start w:val="1"/>
      <w:numFmt w:val="bullet"/>
      <w:lvlText w:val="o"/>
      <w:lvlJc w:val="left"/>
      <w:pPr>
        <w:ind w:left="3412" w:hanging="360"/>
      </w:pPr>
      <w:rPr>
        <w:rFonts w:ascii="Courier New" w:hAnsi="Courier New" w:cs="Courier New" w:hint="default"/>
      </w:rPr>
    </w:lvl>
    <w:lvl w:ilvl="5" w:tplc="0C090005" w:tentative="1">
      <w:start w:val="1"/>
      <w:numFmt w:val="bullet"/>
      <w:lvlText w:val=""/>
      <w:lvlJc w:val="left"/>
      <w:pPr>
        <w:ind w:left="4132" w:hanging="360"/>
      </w:pPr>
      <w:rPr>
        <w:rFonts w:ascii="Wingdings" w:hAnsi="Wingdings" w:hint="default"/>
      </w:rPr>
    </w:lvl>
    <w:lvl w:ilvl="6" w:tplc="0C090001" w:tentative="1">
      <w:start w:val="1"/>
      <w:numFmt w:val="bullet"/>
      <w:lvlText w:val=""/>
      <w:lvlJc w:val="left"/>
      <w:pPr>
        <w:ind w:left="4852" w:hanging="360"/>
      </w:pPr>
      <w:rPr>
        <w:rFonts w:ascii="Symbol" w:hAnsi="Symbol" w:hint="default"/>
      </w:rPr>
    </w:lvl>
    <w:lvl w:ilvl="7" w:tplc="0C090003" w:tentative="1">
      <w:start w:val="1"/>
      <w:numFmt w:val="bullet"/>
      <w:lvlText w:val="o"/>
      <w:lvlJc w:val="left"/>
      <w:pPr>
        <w:ind w:left="5572" w:hanging="360"/>
      </w:pPr>
      <w:rPr>
        <w:rFonts w:ascii="Courier New" w:hAnsi="Courier New" w:cs="Courier New" w:hint="default"/>
      </w:rPr>
    </w:lvl>
    <w:lvl w:ilvl="8" w:tplc="0C090005" w:tentative="1">
      <w:start w:val="1"/>
      <w:numFmt w:val="bullet"/>
      <w:lvlText w:val=""/>
      <w:lvlJc w:val="left"/>
      <w:pPr>
        <w:ind w:left="6292" w:hanging="360"/>
      </w:pPr>
      <w:rPr>
        <w:rFonts w:ascii="Wingdings" w:hAnsi="Wingdings" w:hint="default"/>
      </w:rPr>
    </w:lvl>
  </w:abstractNum>
  <w:abstractNum w:abstractNumId="2" w15:restartNumberingAfterBreak="0">
    <w:nsid w:val="1DC96977"/>
    <w:multiLevelType w:val="hybridMultilevel"/>
    <w:tmpl w:val="87740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DF61990"/>
    <w:multiLevelType w:val="hybridMultilevel"/>
    <w:tmpl w:val="D40ED3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E240C41"/>
    <w:multiLevelType w:val="multilevel"/>
    <w:tmpl w:val="89C613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830634D"/>
    <w:multiLevelType w:val="hybridMultilevel"/>
    <w:tmpl w:val="AA1449B6"/>
    <w:lvl w:ilvl="0" w:tplc="0E8A42F2">
      <w:numFmt w:val="bullet"/>
      <w:lvlText w:val=""/>
      <w:lvlJc w:val="left"/>
      <w:pPr>
        <w:ind w:left="360" w:hanging="360"/>
      </w:pPr>
      <w:rPr>
        <w:rFonts w:ascii="Symbol" w:eastAsia="Times New Roman" w:hAnsi="Symbol" w:cs="Times New Roman"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8476DAB"/>
    <w:multiLevelType w:val="hybridMultilevel"/>
    <w:tmpl w:val="EE0E4B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89B047D"/>
    <w:multiLevelType w:val="hybridMultilevel"/>
    <w:tmpl w:val="AA2853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DB24B87"/>
    <w:multiLevelType w:val="multilevel"/>
    <w:tmpl w:val="D2D8653A"/>
    <w:lvl w:ilvl="0">
      <w:start w:val="4"/>
      <w:numFmt w:val="decimal"/>
      <w:lvlText w:val="%1"/>
      <w:lvlJc w:val="left"/>
      <w:pPr>
        <w:ind w:left="360" w:hanging="360"/>
      </w:pPr>
      <w:rPr>
        <w:rFonts w:hint="default"/>
      </w:rPr>
    </w:lvl>
    <w:lvl w:ilvl="1">
      <w:start w:val="1"/>
      <w:numFmt w:val="decimal"/>
      <w:lvlText w:val="%1.%2"/>
      <w:lvlJc w:val="left"/>
      <w:pPr>
        <w:ind w:left="737" w:hanging="73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E702FF3"/>
    <w:multiLevelType w:val="hybridMultilevel"/>
    <w:tmpl w:val="931AD052"/>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0" w15:restartNumberingAfterBreak="0">
    <w:nsid w:val="2FFC1AA1"/>
    <w:multiLevelType w:val="hybridMultilevel"/>
    <w:tmpl w:val="A3B019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5694615"/>
    <w:multiLevelType w:val="hybridMultilevel"/>
    <w:tmpl w:val="A4FA82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B457D0C"/>
    <w:multiLevelType w:val="hybridMultilevel"/>
    <w:tmpl w:val="1C38074E"/>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3" w15:restartNumberingAfterBreak="0">
    <w:nsid w:val="3FAA2E8C"/>
    <w:multiLevelType w:val="hybridMultilevel"/>
    <w:tmpl w:val="CE2E4878"/>
    <w:lvl w:ilvl="0" w:tplc="0E8A42F2">
      <w:numFmt w:val="bullet"/>
      <w:lvlText w:val=""/>
      <w:lvlJc w:val="left"/>
      <w:pPr>
        <w:ind w:left="535" w:hanging="360"/>
      </w:pPr>
      <w:rPr>
        <w:rFonts w:ascii="Symbol" w:eastAsia="Times New Roman" w:hAnsi="Symbol" w:cs="Times New Roman" w:hint="default"/>
      </w:rPr>
    </w:lvl>
    <w:lvl w:ilvl="1" w:tplc="0C090003" w:tentative="1">
      <w:start w:val="1"/>
      <w:numFmt w:val="bullet"/>
      <w:lvlText w:val="o"/>
      <w:lvlJc w:val="left"/>
      <w:pPr>
        <w:ind w:left="1255" w:hanging="360"/>
      </w:pPr>
      <w:rPr>
        <w:rFonts w:ascii="Courier New" w:hAnsi="Courier New" w:cs="Courier New" w:hint="default"/>
      </w:rPr>
    </w:lvl>
    <w:lvl w:ilvl="2" w:tplc="0C090005" w:tentative="1">
      <w:start w:val="1"/>
      <w:numFmt w:val="bullet"/>
      <w:lvlText w:val=""/>
      <w:lvlJc w:val="left"/>
      <w:pPr>
        <w:ind w:left="1975" w:hanging="360"/>
      </w:pPr>
      <w:rPr>
        <w:rFonts w:ascii="Wingdings" w:hAnsi="Wingdings" w:hint="default"/>
      </w:rPr>
    </w:lvl>
    <w:lvl w:ilvl="3" w:tplc="0C090001" w:tentative="1">
      <w:start w:val="1"/>
      <w:numFmt w:val="bullet"/>
      <w:lvlText w:val=""/>
      <w:lvlJc w:val="left"/>
      <w:pPr>
        <w:ind w:left="2695" w:hanging="360"/>
      </w:pPr>
      <w:rPr>
        <w:rFonts w:ascii="Symbol" w:hAnsi="Symbol" w:hint="default"/>
      </w:rPr>
    </w:lvl>
    <w:lvl w:ilvl="4" w:tplc="0C090003" w:tentative="1">
      <w:start w:val="1"/>
      <w:numFmt w:val="bullet"/>
      <w:lvlText w:val="o"/>
      <w:lvlJc w:val="left"/>
      <w:pPr>
        <w:ind w:left="3415" w:hanging="360"/>
      </w:pPr>
      <w:rPr>
        <w:rFonts w:ascii="Courier New" w:hAnsi="Courier New" w:cs="Courier New" w:hint="default"/>
      </w:rPr>
    </w:lvl>
    <w:lvl w:ilvl="5" w:tplc="0C090005" w:tentative="1">
      <w:start w:val="1"/>
      <w:numFmt w:val="bullet"/>
      <w:lvlText w:val=""/>
      <w:lvlJc w:val="left"/>
      <w:pPr>
        <w:ind w:left="4135" w:hanging="360"/>
      </w:pPr>
      <w:rPr>
        <w:rFonts w:ascii="Wingdings" w:hAnsi="Wingdings" w:hint="default"/>
      </w:rPr>
    </w:lvl>
    <w:lvl w:ilvl="6" w:tplc="0C090001" w:tentative="1">
      <w:start w:val="1"/>
      <w:numFmt w:val="bullet"/>
      <w:lvlText w:val=""/>
      <w:lvlJc w:val="left"/>
      <w:pPr>
        <w:ind w:left="4855" w:hanging="360"/>
      </w:pPr>
      <w:rPr>
        <w:rFonts w:ascii="Symbol" w:hAnsi="Symbol" w:hint="default"/>
      </w:rPr>
    </w:lvl>
    <w:lvl w:ilvl="7" w:tplc="0C090003" w:tentative="1">
      <w:start w:val="1"/>
      <w:numFmt w:val="bullet"/>
      <w:lvlText w:val="o"/>
      <w:lvlJc w:val="left"/>
      <w:pPr>
        <w:ind w:left="5575" w:hanging="360"/>
      </w:pPr>
      <w:rPr>
        <w:rFonts w:ascii="Courier New" w:hAnsi="Courier New" w:cs="Courier New" w:hint="default"/>
      </w:rPr>
    </w:lvl>
    <w:lvl w:ilvl="8" w:tplc="0C090005" w:tentative="1">
      <w:start w:val="1"/>
      <w:numFmt w:val="bullet"/>
      <w:lvlText w:val=""/>
      <w:lvlJc w:val="left"/>
      <w:pPr>
        <w:ind w:left="6295" w:hanging="360"/>
      </w:pPr>
      <w:rPr>
        <w:rFonts w:ascii="Wingdings" w:hAnsi="Wingdings" w:hint="default"/>
      </w:rPr>
    </w:lvl>
  </w:abstractNum>
  <w:abstractNum w:abstractNumId="14" w15:restartNumberingAfterBreak="0">
    <w:nsid w:val="40414C19"/>
    <w:multiLevelType w:val="hybridMultilevel"/>
    <w:tmpl w:val="32A8DD3C"/>
    <w:lvl w:ilvl="0" w:tplc="0E8A42F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48D208F"/>
    <w:multiLevelType w:val="hybridMultilevel"/>
    <w:tmpl w:val="AE3EF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7A30328"/>
    <w:multiLevelType w:val="hybridMultilevel"/>
    <w:tmpl w:val="71287F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D2D6480"/>
    <w:multiLevelType w:val="multilevel"/>
    <w:tmpl w:val="87CC2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DFB4298"/>
    <w:multiLevelType w:val="hybridMultilevel"/>
    <w:tmpl w:val="2AE62D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1BD60AD"/>
    <w:multiLevelType w:val="hybridMultilevel"/>
    <w:tmpl w:val="C950BD44"/>
    <w:lvl w:ilvl="0" w:tplc="78D634CC">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48B7B85"/>
    <w:multiLevelType w:val="hybridMultilevel"/>
    <w:tmpl w:val="CDF48140"/>
    <w:lvl w:ilvl="0" w:tplc="0E8A42F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BD7565D"/>
    <w:multiLevelType w:val="hybridMultilevel"/>
    <w:tmpl w:val="DDFE0402"/>
    <w:lvl w:ilvl="0" w:tplc="0E8A42F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F3924B5"/>
    <w:multiLevelType w:val="multilevel"/>
    <w:tmpl w:val="BE9E32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FB3780D"/>
    <w:multiLevelType w:val="hybridMultilevel"/>
    <w:tmpl w:val="FACABBBA"/>
    <w:lvl w:ilvl="0" w:tplc="65ACDAC8">
      <w:start w:val="1"/>
      <w:numFmt w:val="decimal"/>
      <w:lvlText w:val="%1."/>
      <w:lvlJc w:val="left"/>
      <w:pPr>
        <w:ind w:left="927" w:hanging="360"/>
      </w:pPr>
      <w:rPr>
        <w:b w:val="0"/>
        <w:i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4" w15:restartNumberingAfterBreak="0">
    <w:nsid w:val="6FCA6C83"/>
    <w:multiLevelType w:val="hybridMultilevel"/>
    <w:tmpl w:val="3FD0A2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0263CA3"/>
    <w:multiLevelType w:val="hybridMultilevel"/>
    <w:tmpl w:val="15444A34"/>
    <w:lvl w:ilvl="0" w:tplc="0C090003">
      <w:start w:val="1"/>
      <w:numFmt w:val="bullet"/>
      <w:lvlText w:val="o"/>
      <w:lvlJc w:val="left"/>
      <w:pPr>
        <w:ind w:left="1530" w:hanging="360"/>
      </w:pPr>
      <w:rPr>
        <w:rFonts w:ascii="Courier New" w:hAnsi="Courier New" w:cs="Courier New" w:hint="default"/>
      </w:rPr>
    </w:lvl>
    <w:lvl w:ilvl="1" w:tplc="0C090003">
      <w:start w:val="1"/>
      <w:numFmt w:val="bullet"/>
      <w:lvlText w:val="o"/>
      <w:lvlJc w:val="left"/>
      <w:pPr>
        <w:ind w:left="2250" w:hanging="360"/>
      </w:pPr>
      <w:rPr>
        <w:rFonts w:ascii="Courier New" w:hAnsi="Courier New" w:cs="Courier New" w:hint="default"/>
      </w:rPr>
    </w:lvl>
    <w:lvl w:ilvl="2" w:tplc="0C090005">
      <w:start w:val="1"/>
      <w:numFmt w:val="bullet"/>
      <w:lvlText w:val=""/>
      <w:lvlJc w:val="left"/>
      <w:pPr>
        <w:ind w:left="2970" w:hanging="360"/>
      </w:pPr>
      <w:rPr>
        <w:rFonts w:ascii="Wingdings" w:hAnsi="Wingdings" w:hint="default"/>
      </w:rPr>
    </w:lvl>
    <w:lvl w:ilvl="3" w:tplc="0C090001">
      <w:start w:val="1"/>
      <w:numFmt w:val="bullet"/>
      <w:lvlText w:val=""/>
      <w:lvlJc w:val="left"/>
      <w:pPr>
        <w:ind w:left="3690" w:hanging="360"/>
      </w:pPr>
      <w:rPr>
        <w:rFonts w:ascii="Symbol" w:hAnsi="Symbol" w:hint="default"/>
      </w:rPr>
    </w:lvl>
    <w:lvl w:ilvl="4" w:tplc="0C090003">
      <w:start w:val="1"/>
      <w:numFmt w:val="bullet"/>
      <w:lvlText w:val="o"/>
      <w:lvlJc w:val="left"/>
      <w:pPr>
        <w:ind w:left="4410" w:hanging="360"/>
      </w:pPr>
      <w:rPr>
        <w:rFonts w:ascii="Courier New" w:hAnsi="Courier New" w:cs="Courier New" w:hint="default"/>
      </w:rPr>
    </w:lvl>
    <w:lvl w:ilvl="5" w:tplc="0C090005">
      <w:start w:val="1"/>
      <w:numFmt w:val="bullet"/>
      <w:lvlText w:val=""/>
      <w:lvlJc w:val="left"/>
      <w:pPr>
        <w:ind w:left="5130" w:hanging="360"/>
      </w:pPr>
      <w:rPr>
        <w:rFonts w:ascii="Wingdings" w:hAnsi="Wingdings" w:hint="default"/>
      </w:rPr>
    </w:lvl>
    <w:lvl w:ilvl="6" w:tplc="0C090001">
      <w:start w:val="1"/>
      <w:numFmt w:val="bullet"/>
      <w:lvlText w:val=""/>
      <w:lvlJc w:val="left"/>
      <w:pPr>
        <w:ind w:left="5850" w:hanging="360"/>
      </w:pPr>
      <w:rPr>
        <w:rFonts w:ascii="Symbol" w:hAnsi="Symbol" w:hint="default"/>
      </w:rPr>
    </w:lvl>
    <w:lvl w:ilvl="7" w:tplc="0C090003">
      <w:start w:val="1"/>
      <w:numFmt w:val="bullet"/>
      <w:lvlText w:val="o"/>
      <w:lvlJc w:val="left"/>
      <w:pPr>
        <w:ind w:left="6570" w:hanging="360"/>
      </w:pPr>
      <w:rPr>
        <w:rFonts w:ascii="Courier New" w:hAnsi="Courier New" w:cs="Courier New" w:hint="default"/>
      </w:rPr>
    </w:lvl>
    <w:lvl w:ilvl="8" w:tplc="0C090005">
      <w:start w:val="1"/>
      <w:numFmt w:val="bullet"/>
      <w:lvlText w:val=""/>
      <w:lvlJc w:val="left"/>
      <w:pPr>
        <w:ind w:left="7290" w:hanging="360"/>
      </w:pPr>
      <w:rPr>
        <w:rFonts w:ascii="Wingdings" w:hAnsi="Wingdings" w:hint="default"/>
      </w:rPr>
    </w:lvl>
  </w:abstractNum>
  <w:abstractNum w:abstractNumId="26"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52027E0"/>
    <w:multiLevelType w:val="hybridMultilevel"/>
    <w:tmpl w:val="D3669DA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54B15FD"/>
    <w:multiLevelType w:val="hybridMultilevel"/>
    <w:tmpl w:val="7E4A47FC"/>
    <w:lvl w:ilvl="0" w:tplc="0C090001">
      <w:start w:val="1"/>
      <w:numFmt w:val="bullet"/>
      <w:lvlText w:val=""/>
      <w:lvlJc w:val="left"/>
      <w:pPr>
        <w:ind w:left="772" w:hanging="360"/>
      </w:pPr>
      <w:rPr>
        <w:rFonts w:ascii="Symbol" w:hAnsi="Symbol" w:hint="default"/>
      </w:rPr>
    </w:lvl>
    <w:lvl w:ilvl="1" w:tplc="0C090003" w:tentative="1">
      <w:start w:val="1"/>
      <w:numFmt w:val="bullet"/>
      <w:lvlText w:val="o"/>
      <w:lvlJc w:val="left"/>
      <w:pPr>
        <w:ind w:left="1492" w:hanging="360"/>
      </w:pPr>
      <w:rPr>
        <w:rFonts w:ascii="Courier New" w:hAnsi="Courier New" w:cs="Courier New" w:hint="default"/>
      </w:rPr>
    </w:lvl>
    <w:lvl w:ilvl="2" w:tplc="0C090005" w:tentative="1">
      <w:start w:val="1"/>
      <w:numFmt w:val="bullet"/>
      <w:lvlText w:val=""/>
      <w:lvlJc w:val="left"/>
      <w:pPr>
        <w:ind w:left="2212" w:hanging="360"/>
      </w:pPr>
      <w:rPr>
        <w:rFonts w:ascii="Wingdings" w:hAnsi="Wingdings" w:hint="default"/>
      </w:rPr>
    </w:lvl>
    <w:lvl w:ilvl="3" w:tplc="0C090001" w:tentative="1">
      <w:start w:val="1"/>
      <w:numFmt w:val="bullet"/>
      <w:lvlText w:val=""/>
      <w:lvlJc w:val="left"/>
      <w:pPr>
        <w:ind w:left="2932" w:hanging="360"/>
      </w:pPr>
      <w:rPr>
        <w:rFonts w:ascii="Symbol" w:hAnsi="Symbol" w:hint="default"/>
      </w:rPr>
    </w:lvl>
    <w:lvl w:ilvl="4" w:tplc="0C090003" w:tentative="1">
      <w:start w:val="1"/>
      <w:numFmt w:val="bullet"/>
      <w:lvlText w:val="o"/>
      <w:lvlJc w:val="left"/>
      <w:pPr>
        <w:ind w:left="3652" w:hanging="360"/>
      </w:pPr>
      <w:rPr>
        <w:rFonts w:ascii="Courier New" w:hAnsi="Courier New" w:cs="Courier New" w:hint="default"/>
      </w:rPr>
    </w:lvl>
    <w:lvl w:ilvl="5" w:tplc="0C090005" w:tentative="1">
      <w:start w:val="1"/>
      <w:numFmt w:val="bullet"/>
      <w:lvlText w:val=""/>
      <w:lvlJc w:val="left"/>
      <w:pPr>
        <w:ind w:left="4372" w:hanging="360"/>
      </w:pPr>
      <w:rPr>
        <w:rFonts w:ascii="Wingdings" w:hAnsi="Wingdings" w:hint="default"/>
      </w:rPr>
    </w:lvl>
    <w:lvl w:ilvl="6" w:tplc="0C090001" w:tentative="1">
      <w:start w:val="1"/>
      <w:numFmt w:val="bullet"/>
      <w:lvlText w:val=""/>
      <w:lvlJc w:val="left"/>
      <w:pPr>
        <w:ind w:left="5092" w:hanging="360"/>
      </w:pPr>
      <w:rPr>
        <w:rFonts w:ascii="Symbol" w:hAnsi="Symbol" w:hint="default"/>
      </w:rPr>
    </w:lvl>
    <w:lvl w:ilvl="7" w:tplc="0C090003" w:tentative="1">
      <w:start w:val="1"/>
      <w:numFmt w:val="bullet"/>
      <w:lvlText w:val="o"/>
      <w:lvlJc w:val="left"/>
      <w:pPr>
        <w:ind w:left="5812" w:hanging="360"/>
      </w:pPr>
      <w:rPr>
        <w:rFonts w:ascii="Courier New" w:hAnsi="Courier New" w:cs="Courier New" w:hint="default"/>
      </w:rPr>
    </w:lvl>
    <w:lvl w:ilvl="8" w:tplc="0C090005" w:tentative="1">
      <w:start w:val="1"/>
      <w:numFmt w:val="bullet"/>
      <w:lvlText w:val=""/>
      <w:lvlJc w:val="left"/>
      <w:pPr>
        <w:ind w:left="6532" w:hanging="360"/>
      </w:pPr>
      <w:rPr>
        <w:rFonts w:ascii="Wingdings" w:hAnsi="Wingdings" w:hint="default"/>
      </w:rPr>
    </w:lvl>
  </w:abstractNum>
  <w:abstractNum w:abstractNumId="29" w15:restartNumberingAfterBreak="0">
    <w:nsid w:val="7CCD0FA5"/>
    <w:multiLevelType w:val="hybridMultilevel"/>
    <w:tmpl w:val="CE229B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6"/>
  </w:num>
  <w:num w:numId="2">
    <w:abstractNumId w:val="26"/>
  </w:num>
  <w:num w:numId="3">
    <w:abstractNumId w:val="15"/>
  </w:num>
  <w:num w:numId="4">
    <w:abstractNumId w:val="5"/>
  </w:num>
  <w:num w:numId="5">
    <w:abstractNumId w:val="27"/>
  </w:num>
  <w:num w:numId="6">
    <w:abstractNumId w:val="17"/>
  </w:num>
  <w:num w:numId="7">
    <w:abstractNumId w:val="14"/>
  </w:num>
  <w:num w:numId="8">
    <w:abstractNumId w:val="21"/>
  </w:num>
  <w:num w:numId="9">
    <w:abstractNumId w:val="13"/>
  </w:num>
  <w:num w:numId="10">
    <w:abstractNumId w:val="1"/>
  </w:num>
  <w:num w:numId="11">
    <w:abstractNumId w:val="20"/>
  </w:num>
  <w:num w:numId="12">
    <w:abstractNumId w:val="28"/>
  </w:num>
  <w:num w:numId="13">
    <w:abstractNumId w:val="2"/>
  </w:num>
  <w:num w:numId="14">
    <w:abstractNumId w:val="8"/>
  </w:num>
  <w:num w:numId="15">
    <w:abstractNumId w:val="24"/>
  </w:num>
  <w:num w:numId="16">
    <w:abstractNumId w:val="6"/>
  </w:num>
  <w:num w:numId="17">
    <w:abstractNumId w:val="16"/>
  </w:num>
  <w:num w:numId="18">
    <w:abstractNumId w:val="3"/>
  </w:num>
  <w:num w:numId="19">
    <w:abstractNumId w:val="22"/>
  </w:num>
  <w:num w:numId="20">
    <w:abstractNumId w:val="9"/>
  </w:num>
  <w:num w:numId="21">
    <w:abstractNumId w:val="4"/>
  </w:num>
  <w:num w:numId="22">
    <w:abstractNumId w:val="11"/>
  </w:num>
  <w:num w:numId="23">
    <w:abstractNumId w:val="29"/>
  </w:num>
  <w:num w:numId="24">
    <w:abstractNumId w:val="23"/>
  </w:num>
  <w:num w:numId="25">
    <w:abstractNumId w:val="25"/>
  </w:num>
  <w:num w:numId="26">
    <w:abstractNumId w:val="12"/>
  </w:num>
  <w:num w:numId="27">
    <w:abstractNumId w:val="10"/>
  </w:num>
  <w:num w:numId="28">
    <w:abstractNumId w:val="7"/>
  </w:num>
  <w:num w:numId="29">
    <w:abstractNumId w:val="0"/>
  </w:num>
  <w:num w:numId="30">
    <w:abstractNumId w:val="18"/>
  </w:num>
  <w:num w:numId="3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5121"/>
    <w:rsid w:val="000054B8"/>
    <w:rsid w:val="00005F10"/>
    <w:rsid w:val="000242D9"/>
    <w:rsid w:val="00031BBC"/>
    <w:rsid w:val="00047D01"/>
    <w:rsid w:val="00075E04"/>
    <w:rsid w:val="0007771F"/>
    <w:rsid w:val="00085F7E"/>
    <w:rsid w:val="00086662"/>
    <w:rsid w:val="000947D5"/>
    <w:rsid w:val="00096C3C"/>
    <w:rsid w:val="000A5269"/>
    <w:rsid w:val="000A7557"/>
    <w:rsid w:val="000D59B8"/>
    <w:rsid w:val="000D77DA"/>
    <w:rsid w:val="000E209A"/>
    <w:rsid w:val="000F08C6"/>
    <w:rsid w:val="000F0FFA"/>
    <w:rsid w:val="000F3D9C"/>
    <w:rsid w:val="00110A09"/>
    <w:rsid w:val="00114529"/>
    <w:rsid w:val="0015502B"/>
    <w:rsid w:val="00156A34"/>
    <w:rsid w:val="00160DCA"/>
    <w:rsid w:val="0016325D"/>
    <w:rsid w:val="00186669"/>
    <w:rsid w:val="0019536B"/>
    <w:rsid w:val="00197C57"/>
    <w:rsid w:val="001B3442"/>
    <w:rsid w:val="001C017A"/>
    <w:rsid w:val="001C0547"/>
    <w:rsid w:val="001C22C1"/>
    <w:rsid w:val="001D3929"/>
    <w:rsid w:val="001D4DEA"/>
    <w:rsid w:val="001E5A77"/>
    <w:rsid w:val="001F1493"/>
    <w:rsid w:val="00231523"/>
    <w:rsid w:val="00233BE5"/>
    <w:rsid w:val="0023459F"/>
    <w:rsid w:val="0024327F"/>
    <w:rsid w:val="00251708"/>
    <w:rsid w:val="00254D9F"/>
    <w:rsid w:val="00283DC0"/>
    <w:rsid w:val="00286112"/>
    <w:rsid w:val="00287499"/>
    <w:rsid w:val="00292A7E"/>
    <w:rsid w:val="00292E86"/>
    <w:rsid w:val="002A4357"/>
    <w:rsid w:val="002A4870"/>
    <w:rsid w:val="002A69D5"/>
    <w:rsid w:val="002C0373"/>
    <w:rsid w:val="002C6456"/>
    <w:rsid w:val="002C76A2"/>
    <w:rsid w:val="002E2CCF"/>
    <w:rsid w:val="002E72E2"/>
    <w:rsid w:val="002F09D7"/>
    <w:rsid w:val="002F42C3"/>
    <w:rsid w:val="002F659D"/>
    <w:rsid w:val="0030295F"/>
    <w:rsid w:val="00303CA7"/>
    <w:rsid w:val="00322833"/>
    <w:rsid w:val="00325EEF"/>
    <w:rsid w:val="00333092"/>
    <w:rsid w:val="00340C4B"/>
    <w:rsid w:val="0034556C"/>
    <w:rsid w:val="00377267"/>
    <w:rsid w:val="00377BB3"/>
    <w:rsid w:val="003828E1"/>
    <w:rsid w:val="003A285C"/>
    <w:rsid w:val="003A3F45"/>
    <w:rsid w:val="003A4A35"/>
    <w:rsid w:val="003B2E9B"/>
    <w:rsid w:val="003C46AD"/>
    <w:rsid w:val="003D73CD"/>
    <w:rsid w:val="003F571D"/>
    <w:rsid w:val="00411ACB"/>
    <w:rsid w:val="00421088"/>
    <w:rsid w:val="0044080D"/>
    <w:rsid w:val="004502F5"/>
    <w:rsid w:val="00450751"/>
    <w:rsid w:val="00456322"/>
    <w:rsid w:val="00457B7F"/>
    <w:rsid w:val="00465C81"/>
    <w:rsid w:val="00484BC2"/>
    <w:rsid w:val="004A5FA1"/>
    <w:rsid w:val="004C4B55"/>
    <w:rsid w:val="004C5851"/>
    <w:rsid w:val="004D52DD"/>
    <w:rsid w:val="004D639D"/>
    <w:rsid w:val="004E006B"/>
    <w:rsid w:val="00512563"/>
    <w:rsid w:val="00524124"/>
    <w:rsid w:val="00526974"/>
    <w:rsid w:val="005379BA"/>
    <w:rsid w:val="00540862"/>
    <w:rsid w:val="00547E2D"/>
    <w:rsid w:val="005545B2"/>
    <w:rsid w:val="00565018"/>
    <w:rsid w:val="005775F1"/>
    <w:rsid w:val="00583033"/>
    <w:rsid w:val="00583D8E"/>
    <w:rsid w:val="005873AB"/>
    <w:rsid w:val="00587AF6"/>
    <w:rsid w:val="00593F98"/>
    <w:rsid w:val="00596078"/>
    <w:rsid w:val="005A12E2"/>
    <w:rsid w:val="005A4409"/>
    <w:rsid w:val="005B346C"/>
    <w:rsid w:val="005D05D7"/>
    <w:rsid w:val="005D330D"/>
    <w:rsid w:val="005D5769"/>
    <w:rsid w:val="005F2805"/>
    <w:rsid w:val="00622817"/>
    <w:rsid w:val="00643D61"/>
    <w:rsid w:val="0064453A"/>
    <w:rsid w:val="0064640D"/>
    <w:rsid w:val="006464F3"/>
    <w:rsid w:val="006671ED"/>
    <w:rsid w:val="0069213D"/>
    <w:rsid w:val="0069279C"/>
    <w:rsid w:val="0069574E"/>
    <w:rsid w:val="00696EF2"/>
    <w:rsid w:val="006B5DAB"/>
    <w:rsid w:val="006B7A2A"/>
    <w:rsid w:val="006D0C07"/>
    <w:rsid w:val="006D47E5"/>
    <w:rsid w:val="006E05BF"/>
    <w:rsid w:val="006E0B31"/>
    <w:rsid w:val="006E4DED"/>
    <w:rsid w:val="00706DF2"/>
    <w:rsid w:val="007077A0"/>
    <w:rsid w:val="007117FF"/>
    <w:rsid w:val="00711924"/>
    <w:rsid w:val="00713A87"/>
    <w:rsid w:val="00714384"/>
    <w:rsid w:val="00731638"/>
    <w:rsid w:val="00735A1C"/>
    <w:rsid w:val="00736C10"/>
    <w:rsid w:val="00740F7C"/>
    <w:rsid w:val="00745874"/>
    <w:rsid w:val="00756A3F"/>
    <w:rsid w:val="00764489"/>
    <w:rsid w:val="00771159"/>
    <w:rsid w:val="00771C5B"/>
    <w:rsid w:val="00775051"/>
    <w:rsid w:val="0078342D"/>
    <w:rsid w:val="00792670"/>
    <w:rsid w:val="007967CD"/>
    <w:rsid w:val="007A5356"/>
    <w:rsid w:val="007B1A94"/>
    <w:rsid w:val="007C3A04"/>
    <w:rsid w:val="007D66FB"/>
    <w:rsid w:val="007E5371"/>
    <w:rsid w:val="007F7DD7"/>
    <w:rsid w:val="0080690C"/>
    <w:rsid w:val="008075B3"/>
    <w:rsid w:val="00810AF7"/>
    <w:rsid w:val="008171FD"/>
    <w:rsid w:val="00825BA5"/>
    <w:rsid w:val="00830FC7"/>
    <w:rsid w:val="00840AD0"/>
    <w:rsid w:val="008451A8"/>
    <w:rsid w:val="00855844"/>
    <w:rsid w:val="00856B93"/>
    <w:rsid w:val="00867FD0"/>
    <w:rsid w:val="00872F00"/>
    <w:rsid w:val="00892AA7"/>
    <w:rsid w:val="008A34ED"/>
    <w:rsid w:val="008A582C"/>
    <w:rsid w:val="008B6F61"/>
    <w:rsid w:val="008C3E62"/>
    <w:rsid w:val="008C5F74"/>
    <w:rsid w:val="008D427B"/>
    <w:rsid w:val="008E219D"/>
    <w:rsid w:val="008E2C4A"/>
    <w:rsid w:val="008F0280"/>
    <w:rsid w:val="008F387A"/>
    <w:rsid w:val="008F6888"/>
    <w:rsid w:val="009020DB"/>
    <w:rsid w:val="0091517E"/>
    <w:rsid w:val="00945121"/>
    <w:rsid w:val="00946780"/>
    <w:rsid w:val="00965A79"/>
    <w:rsid w:val="00974B93"/>
    <w:rsid w:val="009760C1"/>
    <w:rsid w:val="00981D2A"/>
    <w:rsid w:val="00984A2C"/>
    <w:rsid w:val="00986750"/>
    <w:rsid w:val="009A3B8E"/>
    <w:rsid w:val="009C0676"/>
    <w:rsid w:val="009D21A6"/>
    <w:rsid w:val="009D78F5"/>
    <w:rsid w:val="009E354C"/>
    <w:rsid w:val="009F0688"/>
    <w:rsid w:val="009F4D10"/>
    <w:rsid w:val="00A003C9"/>
    <w:rsid w:val="00A12458"/>
    <w:rsid w:val="00A266BB"/>
    <w:rsid w:val="00A27FE9"/>
    <w:rsid w:val="00A37C39"/>
    <w:rsid w:val="00A56649"/>
    <w:rsid w:val="00A81B86"/>
    <w:rsid w:val="00A82B72"/>
    <w:rsid w:val="00A92594"/>
    <w:rsid w:val="00A95310"/>
    <w:rsid w:val="00A97B5E"/>
    <w:rsid w:val="00AA511E"/>
    <w:rsid w:val="00AA78B7"/>
    <w:rsid w:val="00AB52C4"/>
    <w:rsid w:val="00AC0621"/>
    <w:rsid w:val="00AC157E"/>
    <w:rsid w:val="00AD7A9C"/>
    <w:rsid w:val="00AD7C6C"/>
    <w:rsid w:val="00AE3897"/>
    <w:rsid w:val="00B00FDE"/>
    <w:rsid w:val="00B10489"/>
    <w:rsid w:val="00B145AC"/>
    <w:rsid w:val="00B14B5C"/>
    <w:rsid w:val="00B16C68"/>
    <w:rsid w:val="00B42CF7"/>
    <w:rsid w:val="00B44F41"/>
    <w:rsid w:val="00B52C4F"/>
    <w:rsid w:val="00B608A8"/>
    <w:rsid w:val="00B82F46"/>
    <w:rsid w:val="00B861A7"/>
    <w:rsid w:val="00B918BD"/>
    <w:rsid w:val="00BA3E69"/>
    <w:rsid w:val="00BC0A71"/>
    <w:rsid w:val="00BC2FE4"/>
    <w:rsid w:val="00BC46FB"/>
    <w:rsid w:val="00BE11E3"/>
    <w:rsid w:val="00C17492"/>
    <w:rsid w:val="00C17928"/>
    <w:rsid w:val="00C2542A"/>
    <w:rsid w:val="00C27CB2"/>
    <w:rsid w:val="00C40CD9"/>
    <w:rsid w:val="00C54754"/>
    <w:rsid w:val="00C54CFA"/>
    <w:rsid w:val="00C5511C"/>
    <w:rsid w:val="00C56523"/>
    <w:rsid w:val="00C6151C"/>
    <w:rsid w:val="00C644FE"/>
    <w:rsid w:val="00C828A4"/>
    <w:rsid w:val="00C9156A"/>
    <w:rsid w:val="00C9372C"/>
    <w:rsid w:val="00CA042F"/>
    <w:rsid w:val="00CA1B7A"/>
    <w:rsid w:val="00CB63C4"/>
    <w:rsid w:val="00CC39FD"/>
    <w:rsid w:val="00CE3157"/>
    <w:rsid w:val="00CF04A9"/>
    <w:rsid w:val="00CF1E85"/>
    <w:rsid w:val="00CF686C"/>
    <w:rsid w:val="00D014B5"/>
    <w:rsid w:val="00D027C4"/>
    <w:rsid w:val="00D12FF2"/>
    <w:rsid w:val="00D268E7"/>
    <w:rsid w:val="00D41FE4"/>
    <w:rsid w:val="00D64103"/>
    <w:rsid w:val="00D679B8"/>
    <w:rsid w:val="00D71BA3"/>
    <w:rsid w:val="00D75A62"/>
    <w:rsid w:val="00D84C59"/>
    <w:rsid w:val="00D85D40"/>
    <w:rsid w:val="00D908FF"/>
    <w:rsid w:val="00DA0160"/>
    <w:rsid w:val="00DA467A"/>
    <w:rsid w:val="00DB059D"/>
    <w:rsid w:val="00DB0D39"/>
    <w:rsid w:val="00DC23C1"/>
    <w:rsid w:val="00DC5546"/>
    <w:rsid w:val="00DC74A6"/>
    <w:rsid w:val="00DD18B2"/>
    <w:rsid w:val="00DD311E"/>
    <w:rsid w:val="00DD4773"/>
    <w:rsid w:val="00DE415A"/>
    <w:rsid w:val="00E1227E"/>
    <w:rsid w:val="00E16479"/>
    <w:rsid w:val="00E26F5E"/>
    <w:rsid w:val="00E30A61"/>
    <w:rsid w:val="00E56BD3"/>
    <w:rsid w:val="00E64867"/>
    <w:rsid w:val="00E764B0"/>
    <w:rsid w:val="00EA01A4"/>
    <w:rsid w:val="00EB2785"/>
    <w:rsid w:val="00EC7591"/>
    <w:rsid w:val="00ED0B2C"/>
    <w:rsid w:val="00ED10A0"/>
    <w:rsid w:val="00ED4DB9"/>
    <w:rsid w:val="00EE0A16"/>
    <w:rsid w:val="00EF2014"/>
    <w:rsid w:val="00F04E92"/>
    <w:rsid w:val="00F11A4D"/>
    <w:rsid w:val="00F1766A"/>
    <w:rsid w:val="00F21845"/>
    <w:rsid w:val="00F22153"/>
    <w:rsid w:val="00F23E84"/>
    <w:rsid w:val="00F250D4"/>
    <w:rsid w:val="00F33281"/>
    <w:rsid w:val="00F35544"/>
    <w:rsid w:val="00F370F0"/>
    <w:rsid w:val="00F551C1"/>
    <w:rsid w:val="00F64B33"/>
    <w:rsid w:val="00F70476"/>
    <w:rsid w:val="00FA56E0"/>
    <w:rsid w:val="00FB28EF"/>
    <w:rsid w:val="00FC4514"/>
    <w:rsid w:val="00FE041D"/>
    <w:rsid w:val="00FF13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0E5F6951"/>
  <w15:chartTrackingRefBased/>
  <w15:docId w15:val="{3C3CD7C6-3077-40C9-89CD-121CF7122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2CF7"/>
    <w:pPr>
      <w:spacing w:after="240"/>
    </w:pPr>
  </w:style>
  <w:style w:type="paragraph" w:styleId="Heading1">
    <w:name w:val="heading 1"/>
    <w:basedOn w:val="Normal"/>
    <w:next w:val="Normal"/>
    <w:link w:val="Heading1Char"/>
    <w:uiPriority w:val="9"/>
    <w:qFormat/>
    <w:rsid w:val="00CC39FD"/>
    <w:pPr>
      <w:keepNext/>
      <w:keepLines/>
      <w:spacing w:before="360"/>
      <w:outlineLvl w:val="0"/>
    </w:pPr>
    <w:rPr>
      <w:rFonts w:ascii="Calibri" w:eastAsiaTheme="majorEastAsia" w:hAnsi="Calibri" w:cstheme="majorBidi"/>
      <w:b/>
      <w:bCs/>
      <w:color w:val="43758A"/>
      <w:sz w:val="32"/>
      <w:szCs w:val="28"/>
    </w:rPr>
  </w:style>
  <w:style w:type="paragraph" w:styleId="Heading2">
    <w:name w:val="heading 2"/>
    <w:basedOn w:val="Normal"/>
    <w:next w:val="Normal"/>
    <w:link w:val="Heading2Char"/>
    <w:uiPriority w:val="9"/>
    <w:unhideWhenUsed/>
    <w:qFormat/>
    <w:rsid w:val="00B42CF7"/>
    <w:pPr>
      <w:keepNext/>
      <w:keepLines/>
      <w:spacing w:before="200" w:after="80"/>
      <w:outlineLvl w:val="1"/>
    </w:pPr>
    <w:rPr>
      <w:rFonts w:ascii="Calibri Light" w:eastAsiaTheme="majorEastAsia" w:hAnsi="Calibri Light" w:cstheme="majorBidi"/>
      <w:b/>
      <w:bCs/>
      <w:color w:val="0B82BD"/>
      <w:sz w:val="26"/>
      <w:szCs w:val="26"/>
    </w:rPr>
  </w:style>
  <w:style w:type="paragraph" w:styleId="Heading3">
    <w:name w:val="heading 3"/>
    <w:basedOn w:val="Normal"/>
    <w:next w:val="Normal"/>
    <w:link w:val="Heading3Char"/>
    <w:uiPriority w:val="9"/>
    <w:semiHidden/>
    <w:unhideWhenUsed/>
    <w:qFormat/>
    <w:rsid w:val="003B2E9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3B2E9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B2E9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39FD"/>
    <w:rPr>
      <w:rFonts w:ascii="Calibri" w:eastAsiaTheme="majorEastAsia" w:hAnsi="Calibri" w:cstheme="majorBidi"/>
      <w:b/>
      <w:bCs/>
      <w:color w:val="43758A"/>
      <w:sz w:val="32"/>
      <w:szCs w:val="28"/>
    </w:rPr>
  </w:style>
  <w:style w:type="character" w:customStyle="1" w:styleId="Heading2Char">
    <w:name w:val="Heading 2 Char"/>
    <w:basedOn w:val="DefaultParagraphFont"/>
    <w:link w:val="Heading2"/>
    <w:uiPriority w:val="9"/>
    <w:rsid w:val="00B42CF7"/>
    <w:rPr>
      <w:rFonts w:ascii="Calibri Light" w:eastAsiaTheme="majorEastAsia" w:hAnsi="Calibri Light" w:cstheme="majorBidi"/>
      <w:b/>
      <w:bCs/>
      <w:color w:val="0B82BD"/>
      <w:sz w:val="26"/>
      <w:szCs w:val="26"/>
    </w:rPr>
  </w:style>
  <w:style w:type="character" w:customStyle="1" w:styleId="Heading3Char">
    <w:name w:val="Heading 3 Char"/>
    <w:basedOn w:val="DefaultParagraphFont"/>
    <w:link w:val="Heading3"/>
    <w:uiPriority w:val="9"/>
    <w:semiHidden/>
    <w:rsid w:val="003B2E9B"/>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3B2E9B"/>
    <w:rPr>
      <w:rFonts w:asciiTheme="majorHAnsi" w:eastAsiaTheme="majorEastAsia" w:hAnsiTheme="majorHAnsi" w:cstheme="majorBidi"/>
      <w:b/>
      <w:bCs/>
      <w:i/>
      <w:iCs/>
      <w:color w:val="4F81BD" w:themeColor="accent1"/>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3B2E9B"/>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3B2E9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B2E9B"/>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3B2E9B"/>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84BC2"/>
    <w:pPr>
      <w:ind w:left="720"/>
      <w:contextualSpacing/>
    </w:pPr>
  </w:style>
  <w:style w:type="paragraph" w:customStyle="1" w:styleId="ARbodytext">
    <w:name w:val="AR body text"/>
    <w:basedOn w:val="Normal"/>
    <w:qFormat/>
    <w:rsid w:val="00484BC2"/>
    <w:pPr>
      <w:spacing w:after="0"/>
    </w:pPr>
    <w:rPr>
      <w:rFonts w:ascii="Arial" w:hAnsi="Arial"/>
      <w:sz w:val="20"/>
    </w:rPr>
  </w:style>
  <w:style w:type="table" w:styleId="TableGrid">
    <w:name w:val="Table Grid"/>
    <w:basedOn w:val="TableNormal"/>
    <w:uiPriority w:val="59"/>
    <w:rsid w:val="00B00F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2F09D7"/>
    <w:rPr>
      <w:i/>
      <w:iCs/>
    </w:rPr>
  </w:style>
  <w:style w:type="character" w:styleId="FollowedHyperlink">
    <w:name w:val="FollowedHyperlink"/>
    <w:basedOn w:val="DefaultParagraphFont"/>
    <w:uiPriority w:val="99"/>
    <w:semiHidden/>
    <w:unhideWhenUsed/>
    <w:rsid w:val="00735A1C"/>
    <w:rPr>
      <w:color w:val="800080" w:themeColor="followedHyperlink"/>
      <w:u w:val="single"/>
    </w:rPr>
  </w:style>
  <w:style w:type="paragraph" w:styleId="NormalWeb">
    <w:name w:val="Normal (Web)"/>
    <w:basedOn w:val="Normal"/>
    <w:uiPriority w:val="99"/>
    <w:semiHidden/>
    <w:unhideWhenUsed/>
    <w:rsid w:val="00587AF6"/>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7744863">
      <w:bodyDiv w:val="1"/>
      <w:marLeft w:val="0"/>
      <w:marRight w:val="0"/>
      <w:marTop w:val="0"/>
      <w:marBottom w:val="0"/>
      <w:divBdr>
        <w:top w:val="none" w:sz="0" w:space="0" w:color="auto"/>
        <w:left w:val="none" w:sz="0" w:space="0" w:color="auto"/>
        <w:bottom w:val="none" w:sz="0" w:space="0" w:color="auto"/>
        <w:right w:val="none" w:sz="0" w:space="0" w:color="auto"/>
      </w:divBdr>
    </w:div>
    <w:div w:id="1230388975">
      <w:bodyDiv w:val="1"/>
      <w:marLeft w:val="0"/>
      <w:marRight w:val="0"/>
      <w:marTop w:val="0"/>
      <w:marBottom w:val="0"/>
      <w:divBdr>
        <w:top w:val="none" w:sz="0" w:space="0" w:color="auto"/>
        <w:left w:val="none" w:sz="0" w:space="0" w:color="auto"/>
        <w:bottom w:val="none" w:sz="0" w:space="0" w:color="auto"/>
        <w:right w:val="none" w:sz="0" w:space="0" w:color="auto"/>
      </w:divBdr>
    </w:div>
    <w:div w:id="1373924673">
      <w:bodyDiv w:val="1"/>
      <w:marLeft w:val="0"/>
      <w:marRight w:val="0"/>
      <w:marTop w:val="0"/>
      <w:marBottom w:val="0"/>
      <w:divBdr>
        <w:top w:val="none" w:sz="0" w:space="0" w:color="auto"/>
        <w:left w:val="none" w:sz="0" w:space="0" w:color="auto"/>
        <w:bottom w:val="none" w:sz="0" w:space="0" w:color="auto"/>
        <w:right w:val="none" w:sz="0" w:space="0" w:color="auto"/>
      </w:divBdr>
      <w:divsChild>
        <w:div w:id="1414163152">
          <w:marLeft w:val="0"/>
          <w:marRight w:val="0"/>
          <w:marTop w:val="0"/>
          <w:marBottom w:val="0"/>
          <w:divBdr>
            <w:top w:val="none" w:sz="0" w:space="0" w:color="auto"/>
            <w:left w:val="none" w:sz="0" w:space="0" w:color="auto"/>
            <w:bottom w:val="none" w:sz="0" w:space="0" w:color="auto"/>
            <w:right w:val="none" w:sz="0" w:space="0" w:color="auto"/>
          </w:divBdr>
          <w:divsChild>
            <w:div w:id="2058815023">
              <w:marLeft w:val="0"/>
              <w:marRight w:val="0"/>
              <w:marTop w:val="0"/>
              <w:marBottom w:val="0"/>
              <w:divBdr>
                <w:top w:val="none" w:sz="0" w:space="0" w:color="auto"/>
                <w:left w:val="none" w:sz="0" w:space="0" w:color="auto"/>
                <w:bottom w:val="none" w:sz="0" w:space="0" w:color="auto"/>
                <w:right w:val="none" w:sz="0" w:space="0" w:color="auto"/>
              </w:divBdr>
              <w:divsChild>
                <w:div w:id="1790470631">
                  <w:marLeft w:val="-225"/>
                  <w:marRight w:val="-225"/>
                  <w:marTop w:val="0"/>
                  <w:marBottom w:val="0"/>
                  <w:divBdr>
                    <w:top w:val="none" w:sz="0" w:space="0" w:color="auto"/>
                    <w:left w:val="none" w:sz="0" w:space="0" w:color="auto"/>
                    <w:bottom w:val="none" w:sz="0" w:space="0" w:color="auto"/>
                    <w:right w:val="none" w:sz="0" w:space="0" w:color="auto"/>
                  </w:divBdr>
                  <w:divsChild>
                    <w:div w:id="189681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5435848">
      <w:bodyDiv w:val="1"/>
      <w:marLeft w:val="0"/>
      <w:marRight w:val="0"/>
      <w:marTop w:val="0"/>
      <w:marBottom w:val="0"/>
      <w:divBdr>
        <w:top w:val="none" w:sz="0" w:space="0" w:color="auto"/>
        <w:left w:val="none" w:sz="0" w:space="0" w:color="auto"/>
        <w:bottom w:val="none" w:sz="0" w:space="0" w:color="auto"/>
        <w:right w:val="none" w:sz="0" w:space="0" w:color="auto"/>
      </w:divBdr>
    </w:div>
    <w:div w:id="1889216892">
      <w:bodyDiv w:val="1"/>
      <w:marLeft w:val="0"/>
      <w:marRight w:val="0"/>
      <w:marTop w:val="0"/>
      <w:marBottom w:val="0"/>
      <w:divBdr>
        <w:top w:val="none" w:sz="0" w:space="0" w:color="auto"/>
        <w:left w:val="none" w:sz="0" w:space="0" w:color="auto"/>
        <w:bottom w:val="none" w:sz="0" w:space="0" w:color="auto"/>
        <w:right w:val="none" w:sz="0" w:space="0" w:color="auto"/>
      </w:divBdr>
      <w:divsChild>
        <w:div w:id="1398674052">
          <w:marLeft w:val="0"/>
          <w:marRight w:val="0"/>
          <w:marTop w:val="0"/>
          <w:marBottom w:val="0"/>
          <w:divBdr>
            <w:top w:val="none" w:sz="0" w:space="0" w:color="auto"/>
            <w:left w:val="none" w:sz="0" w:space="0" w:color="auto"/>
            <w:bottom w:val="none" w:sz="0" w:space="0" w:color="auto"/>
            <w:right w:val="none" w:sz="0" w:space="0" w:color="auto"/>
          </w:divBdr>
          <w:divsChild>
            <w:div w:id="1699895351">
              <w:marLeft w:val="0"/>
              <w:marRight w:val="0"/>
              <w:marTop w:val="0"/>
              <w:marBottom w:val="0"/>
              <w:divBdr>
                <w:top w:val="none" w:sz="0" w:space="0" w:color="auto"/>
                <w:left w:val="none" w:sz="0" w:space="0" w:color="auto"/>
                <w:bottom w:val="none" w:sz="0" w:space="0" w:color="auto"/>
                <w:right w:val="none" w:sz="0" w:space="0" w:color="auto"/>
              </w:divBdr>
              <w:divsChild>
                <w:div w:id="1789349796">
                  <w:marLeft w:val="-225"/>
                  <w:marRight w:val="-225"/>
                  <w:marTop w:val="0"/>
                  <w:marBottom w:val="0"/>
                  <w:divBdr>
                    <w:top w:val="none" w:sz="0" w:space="0" w:color="auto"/>
                    <w:left w:val="none" w:sz="0" w:space="0" w:color="auto"/>
                    <w:bottom w:val="none" w:sz="0" w:space="0" w:color="auto"/>
                    <w:right w:val="none" w:sz="0" w:space="0" w:color="auto"/>
                  </w:divBdr>
                  <w:divsChild>
                    <w:div w:id="906187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ederalcircuitcourt.gov.au/wps/wcm/connect/fccweb/family-law-matters/family-violence/lighthouse-project/lighthouse-staying-safe-online" TargetMode="External"/><Relationship Id="rId13" Type="http://schemas.openxmlformats.org/officeDocument/2006/relationships/hyperlink" Target="http://www.federalcircuitcourt.gov.au/wps/wcm/connect/f7371f56-5322-4265-8643-af513fb2410a/Chinese+Simplified_LHP_InfoSheetParties_1120V1_WEB.pdf?MOD=AJPERES&amp;CVID=" TargetMode="External"/><Relationship Id="rId18" Type="http://schemas.openxmlformats.org/officeDocument/2006/relationships/hyperlink" Target="http://www.federalcircuitcourt.gov.au/wps/wcm/connect/0880562e-9fc2-4bb5-aff4-1b063719d817/Italian_LHP_InfoSheetParties_1120V1_WEB.pdf?MOD=AJPERES&amp;CVID="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federalcircuitcourt.gov.au/wps/wcm/connect/bfd5bb57-67a1-4dd3-a44b-ccfa72ea68e3/Vietnamese_LHP_InfoSheetParties_1120V1_WEB.pdf?MOD=AJPERES&amp;CVID=" TargetMode="External"/><Relationship Id="rId7" Type="http://schemas.openxmlformats.org/officeDocument/2006/relationships/endnotes" Target="endnotes.xml"/><Relationship Id="rId12" Type="http://schemas.openxmlformats.org/officeDocument/2006/relationships/hyperlink" Target="http://www.federalcircuitcourt.gov.au/wps/wcm/connect/a7cf0b69-2766-4730-a775-bc15ade03105/Arabic_LHP_InfoSheetParties_1120V1_WEB.pdf?MOD=AJPERES&amp;CVID=" TargetMode="External"/><Relationship Id="rId17" Type="http://schemas.openxmlformats.org/officeDocument/2006/relationships/hyperlink" Target="http://www.federalcircuitcourt.gov.au/wps/wcm/connect/b13ceb7c-a628-45ea-95b4-a27f3d9d7787/Hindi_LHP_InfoSheetParties_1120V1_WEB.pdf?MOD=AJPERES&amp;CVID="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federalcircuitcourt.gov.au/wps/wcm/connect/be6fb156-fe60-4081-8e15-c038542f9592/Greek_LHP_InfoSheetParties_1120V1_WEB.pdf?MOD=AJPERES&amp;CVID=" TargetMode="External"/><Relationship Id="rId20" Type="http://schemas.openxmlformats.org/officeDocument/2006/relationships/hyperlink" Target="http://www.federalcircuitcourt.gov.au/wps/wcm/connect/a8b12f63-f341-4262-8610-d2d7959daca8/Turkish_LHP_InfoSheetParties_1120V1_WEB.pdf?MOD=AJPERES&amp;CVID="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ederalcircuitcourt.gov.au/wps/wcm/connect/fccweb/reports-and-publications/publications/lighthouse-project/doors-infosheet-parties"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federalcircuitcourt.gov.au/wps/wcm/connect/8d01b164-306e-483b-80a2-3e1f68fdf2be/Filipino_LHP_InfoSheetParties_1120V1_WEB.pdf?MOD=AJPERES&amp;CVID=" TargetMode="External"/><Relationship Id="rId23" Type="http://schemas.openxmlformats.org/officeDocument/2006/relationships/header" Target="header1.xml"/><Relationship Id="rId10" Type="http://schemas.openxmlformats.org/officeDocument/2006/relationships/hyperlink" Target="mailto:LighthouseProject@federalcircuitcourt.gov.au" TargetMode="External"/><Relationship Id="rId19" Type="http://schemas.openxmlformats.org/officeDocument/2006/relationships/hyperlink" Target="http://www.federalcircuitcourt.gov.au/wps/wcm/connect/77f05ce7-ded8-4e9d-9850-4e876713cd09/Punjabi_LHP_InfoSheetParties_1120V1_WEB.pdf?MOD=AJPERES&amp;CVID=" TargetMode="External"/><Relationship Id="rId4" Type="http://schemas.openxmlformats.org/officeDocument/2006/relationships/settings" Target="settings.xml"/><Relationship Id="rId9" Type="http://schemas.openxmlformats.org/officeDocument/2006/relationships/hyperlink" Target="http://www.federalcircuitcourt.gov.au/wps/wcm/connect/fccweb/rules-and-legislation/acts/family-law-act-1975" TargetMode="External"/><Relationship Id="rId14" Type="http://schemas.openxmlformats.org/officeDocument/2006/relationships/hyperlink" Target="http://www.federalcircuitcourt.gov.au/wps/wcm/connect/8b7d1595-3536-40d3-a15a-71a02db01cef/Chinese+Traditional_LHP_InfoSheetParties_1120V1_WEB.pdf?MOD=AJPERES&amp;CVID=" TargetMode="External"/><Relationship Id="rId22" Type="http://schemas.openxmlformats.org/officeDocument/2006/relationships/hyperlink" Target="http://www.federalcircuitcourt.gov.au/wps/wcm/connect/fccweb/family-law-matters/family-violence/lighthouse-project/lighthouse-projec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B8FBB6-3B98-4ACB-A5B8-9318A3F59D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1281</Words>
  <Characters>6922</Characters>
  <Application>Microsoft Office Word</Application>
  <DocSecurity>4</DocSecurity>
  <Lines>125</Lines>
  <Paragraphs>80</Paragraphs>
  <ScaleCrop>false</ScaleCrop>
  <HeadingPairs>
    <vt:vector size="2" baseType="variant">
      <vt:variant>
        <vt:lpstr>Title</vt:lpstr>
      </vt:variant>
      <vt:variant>
        <vt:i4>1</vt:i4>
      </vt:variant>
    </vt:vector>
  </HeadingPairs>
  <TitlesOfParts>
    <vt:vector size="1" baseType="lpstr">
      <vt:lpstr>Lighthouse Project update</vt:lpstr>
    </vt:vector>
  </TitlesOfParts>
  <Company>Federal Court of Australia</Company>
  <LinksUpToDate>false</LinksUpToDate>
  <CharactersWithSpaces>8123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Lighthouse Project update</dc:title>
  <dc:subject/>
  <dc:creator>Kate Naylor</dc:creator>
  <cp:keywords/>
  <dc:description/>
  <cp:lastModifiedBy>Christine Tuff</cp:lastModifiedBy>
  <cp:revision>2</cp:revision>
  <cp:lastPrinted>2021-05-26T05:39:00Z</cp:lastPrinted>
  <dcterms:created xsi:type="dcterms:W3CDTF">2021-06-28T02:52:00Z</dcterms:created>
  <dcterms:modified xsi:type="dcterms:W3CDTF">2021-06-28T02:52:00Z</dcterms:modified>
</cp:coreProperties>
</file>