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411AE" w:rsidRPr="00556D18" w:rsidRDefault="001E7F51" w:rsidP="00C37737">
      <w:pPr>
        <w:jc w:val="right"/>
      </w:pPr>
      <w:bookmarkStart w:id="0" w:name="_GoBack"/>
      <w:bookmarkEnd w:id="0"/>
      <w:r w:rsidRPr="00556D18">
        <w:t>FACT SHEET</w:t>
      </w:r>
    </w:p>
    <w:p w:rsidR="006550F6" w:rsidRPr="00C37737" w:rsidRDefault="00E411AE" w:rsidP="00C37737">
      <w:pPr>
        <w:pStyle w:val="Heading1"/>
      </w:pPr>
      <w:r w:rsidRPr="00C37737">
        <w:t xml:space="preserve">General </w:t>
      </w:r>
      <w:r w:rsidR="008639C9">
        <w:t>f</w:t>
      </w:r>
      <w:r w:rsidRPr="00C37737">
        <w:t xml:space="preserve">ederal </w:t>
      </w:r>
      <w:r w:rsidR="008639C9">
        <w:t>l</w:t>
      </w:r>
      <w:r w:rsidRPr="00C37737">
        <w:t xml:space="preserve">aw </w:t>
      </w:r>
      <w:r w:rsidR="008639C9">
        <w:t>m</w:t>
      </w:r>
      <w:r w:rsidRPr="00C37737">
        <w:t>atters</w:t>
      </w:r>
    </w:p>
    <w:p w:rsidR="00E411AE" w:rsidRPr="0021614A" w:rsidRDefault="00E411AE" w:rsidP="00C37737">
      <w:r w:rsidRPr="0021614A">
        <w:t>The Federal</w:t>
      </w:r>
      <w:r w:rsidR="00E371A8" w:rsidRPr="0021614A">
        <w:t xml:space="preserve"> </w:t>
      </w:r>
      <w:r w:rsidRPr="0021614A">
        <w:t>Circuit</w:t>
      </w:r>
      <w:r w:rsidR="00C52157">
        <w:t xml:space="preserve"> and </w:t>
      </w:r>
      <w:r w:rsidR="001E780C">
        <w:t>Family</w:t>
      </w:r>
      <w:r w:rsidR="001E780C" w:rsidRPr="001E780C">
        <w:t xml:space="preserve"> Court</w:t>
      </w:r>
      <w:r w:rsidRPr="0021614A">
        <w:t xml:space="preserve"> of Australia (the Court) deals with a wide range of matters, sharing jurisdiction with the Federal Court of Australia and, in some cases, state courts. The Court’s rules and procedures are simpler and less formal, and aim to reduce the cost and number of</w:t>
      </w:r>
      <w:r w:rsidR="00E0598A" w:rsidRPr="0021614A">
        <w:t xml:space="preserve"> court appearances for clients.</w:t>
      </w:r>
    </w:p>
    <w:p w:rsidR="00E411AE" w:rsidRPr="0021614A" w:rsidRDefault="00E411AE" w:rsidP="00C37737">
      <w:r w:rsidRPr="0021614A">
        <w:t xml:space="preserve">The Court can hear and decide matters relating to administrative, admiralty, bankruptcy, copyright, migration, privacy, consumer, unlawful discrimination and workplace relations law and any </w:t>
      </w:r>
      <w:r w:rsidR="00DB3888">
        <w:t>proceedings</w:t>
      </w:r>
      <w:r w:rsidR="00DB3888" w:rsidRPr="0021614A">
        <w:t xml:space="preserve"> </w:t>
      </w:r>
      <w:r w:rsidRPr="0021614A">
        <w:t>transferred from the Federal Court</w:t>
      </w:r>
      <w:r w:rsidR="00DB3888">
        <w:t xml:space="preserve"> of Australia</w:t>
      </w:r>
      <w:r w:rsidRPr="0021614A">
        <w:t>. Where the Court is given jurisdiction in relation to a matter, it also has jurisdiction to determine associated or inseverable claims which would otherwise not be within jurisdiction.</w:t>
      </w:r>
    </w:p>
    <w:p w:rsidR="00E411AE" w:rsidRPr="00C37737" w:rsidRDefault="00C37737" w:rsidP="00C37737">
      <w:pPr>
        <w:pStyle w:val="Heading2"/>
      </w:pPr>
      <w:r w:rsidRPr="00C37737">
        <w:t xml:space="preserve">Administrative </w:t>
      </w:r>
      <w:r w:rsidR="008639C9">
        <w:t>l</w:t>
      </w:r>
      <w:r w:rsidRPr="00C37737">
        <w:t>aw</w:t>
      </w:r>
    </w:p>
    <w:p w:rsidR="00E411AE" w:rsidRPr="007E4B83" w:rsidRDefault="00E411AE" w:rsidP="00556D18">
      <w:pPr>
        <w:pStyle w:val="ListParagraph"/>
        <w:numPr>
          <w:ilvl w:val="0"/>
          <w:numId w:val="16"/>
        </w:numPr>
        <w:rPr>
          <w:rFonts w:cstheme="minorHAnsi"/>
          <w:i/>
        </w:rPr>
      </w:pPr>
      <w:r w:rsidRPr="0021614A">
        <w:rPr>
          <w:rFonts w:cstheme="minorHAnsi"/>
        </w:rPr>
        <w:t xml:space="preserve">Matters under the </w:t>
      </w:r>
      <w:r w:rsidRPr="007E4B83">
        <w:rPr>
          <w:rFonts w:cstheme="minorHAnsi"/>
          <w:i/>
        </w:rPr>
        <w:t xml:space="preserve">Administrative Decisions (Judicial Review) Act 1997. </w:t>
      </w:r>
    </w:p>
    <w:p w:rsidR="00247F63" w:rsidRPr="0021614A" w:rsidRDefault="00247F63" w:rsidP="0021614A">
      <w:pPr>
        <w:pStyle w:val="ListParagraph"/>
        <w:numPr>
          <w:ilvl w:val="0"/>
          <w:numId w:val="16"/>
        </w:numPr>
        <w:rPr>
          <w:rFonts w:cstheme="minorHAnsi"/>
        </w:rPr>
      </w:pPr>
      <w:r w:rsidRPr="0021614A">
        <w:rPr>
          <w:rFonts w:cstheme="minorHAnsi"/>
        </w:rPr>
        <w:t>An appeal from a decision of the Administrative Appeals Tribunal (AAT) in a child support first review</w:t>
      </w:r>
    </w:p>
    <w:p w:rsidR="0067036E" w:rsidRPr="0021614A" w:rsidRDefault="00E411AE">
      <w:pPr>
        <w:pStyle w:val="ListParagraph"/>
        <w:numPr>
          <w:ilvl w:val="0"/>
          <w:numId w:val="16"/>
        </w:numPr>
        <w:rPr>
          <w:rFonts w:cstheme="minorHAnsi"/>
        </w:rPr>
      </w:pPr>
      <w:r w:rsidRPr="0021614A">
        <w:rPr>
          <w:rFonts w:cstheme="minorHAnsi"/>
        </w:rPr>
        <w:t>Appeals from the Administrative Appeals Tribunal remitted from the Federal Court of Australia</w:t>
      </w:r>
    </w:p>
    <w:p w:rsidR="00E411AE" w:rsidRPr="00C37737" w:rsidRDefault="00C37737" w:rsidP="00C37737">
      <w:pPr>
        <w:pStyle w:val="Heading2"/>
      </w:pPr>
      <w:r w:rsidRPr="00C37737">
        <w:t>Admiralty</w:t>
      </w:r>
    </w:p>
    <w:p w:rsidR="00E411AE" w:rsidRPr="0021614A" w:rsidRDefault="00E411AE" w:rsidP="00556D18">
      <w:pPr>
        <w:pStyle w:val="ListParagraph"/>
        <w:numPr>
          <w:ilvl w:val="0"/>
          <w:numId w:val="17"/>
        </w:numPr>
        <w:rPr>
          <w:rFonts w:cstheme="minorHAnsi"/>
        </w:rPr>
      </w:pPr>
      <w:r w:rsidRPr="0021614A">
        <w:rPr>
          <w:rFonts w:cstheme="minorHAnsi"/>
          <w:i/>
          <w:iCs/>
        </w:rPr>
        <w:t xml:space="preserve">In personam </w:t>
      </w:r>
      <w:r w:rsidRPr="0021614A">
        <w:rPr>
          <w:rFonts w:cstheme="minorHAnsi"/>
        </w:rPr>
        <w:t xml:space="preserve">actions (claims against a specific person or company) such as freight claims, damage claims and seafarers’ wages. </w:t>
      </w:r>
    </w:p>
    <w:p w:rsidR="00E411AE" w:rsidRPr="0021614A" w:rsidRDefault="00E411AE" w:rsidP="00556D18">
      <w:pPr>
        <w:pStyle w:val="ListParagraph"/>
        <w:numPr>
          <w:ilvl w:val="0"/>
          <w:numId w:val="17"/>
        </w:numPr>
        <w:rPr>
          <w:rFonts w:cstheme="minorHAnsi"/>
        </w:rPr>
      </w:pPr>
      <w:r w:rsidRPr="0021614A">
        <w:rPr>
          <w:rFonts w:cstheme="minorHAnsi"/>
          <w:i/>
          <w:iCs/>
        </w:rPr>
        <w:t xml:space="preserve">In rem </w:t>
      </w:r>
      <w:r w:rsidRPr="0021614A">
        <w:rPr>
          <w:rFonts w:cstheme="minorHAnsi"/>
        </w:rPr>
        <w:t xml:space="preserve">actions remitted by the Federal Court of Australia and state Supreme Courts. </w:t>
      </w:r>
    </w:p>
    <w:p w:rsidR="00E411AE" w:rsidRPr="00C37737" w:rsidRDefault="001C7213" w:rsidP="00C37737">
      <w:pPr>
        <w:pStyle w:val="Heading2"/>
      </w:pPr>
      <w:r w:rsidRPr="00C37737">
        <w:t>Bankruptcy</w:t>
      </w:r>
    </w:p>
    <w:p w:rsidR="00E411AE" w:rsidRDefault="00E411AE" w:rsidP="00556D18">
      <w:pPr>
        <w:pStyle w:val="ListParagraph"/>
        <w:numPr>
          <w:ilvl w:val="0"/>
          <w:numId w:val="18"/>
        </w:numPr>
        <w:rPr>
          <w:rFonts w:cstheme="minorHAnsi"/>
        </w:rPr>
      </w:pPr>
      <w:r w:rsidRPr="0021614A">
        <w:rPr>
          <w:rFonts w:cstheme="minorHAnsi"/>
        </w:rPr>
        <w:t xml:space="preserve">All civil claims and matters under the </w:t>
      </w:r>
      <w:r w:rsidRPr="0021614A">
        <w:rPr>
          <w:rFonts w:cstheme="minorHAnsi"/>
          <w:i/>
          <w:iCs/>
        </w:rPr>
        <w:t>Bankruptcy Act 1966</w:t>
      </w:r>
      <w:r w:rsidRPr="0021614A">
        <w:rPr>
          <w:rFonts w:cstheme="minorHAnsi"/>
        </w:rPr>
        <w:t xml:space="preserve">, except those requiring jury trials. </w:t>
      </w:r>
    </w:p>
    <w:p w:rsidR="00E411AE" w:rsidRPr="00C37737" w:rsidRDefault="00C37737" w:rsidP="00C37737">
      <w:pPr>
        <w:pStyle w:val="Heading2"/>
      </w:pPr>
      <w:r w:rsidRPr="00C37737">
        <w:t xml:space="preserve">Consumer </w:t>
      </w:r>
      <w:r w:rsidR="008639C9">
        <w:t>l</w:t>
      </w:r>
      <w:r w:rsidRPr="00C37737">
        <w:t>aw</w:t>
      </w:r>
    </w:p>
    <w:p w:rsidR="00E411AE" w:rsidRPr="0021614A" w:rsidRDefault="00E411AE" w:rsidP="00556D18">
      <w:pPr>
        <w:rPr>
          <w:rFonts w:cstheme="minorHAnsi"/>
        </w:rPr>
      </w:pPr>
      <w:r w:rsidRPr="0021614A">
        <w:rPr>
          <w:rFonts w:cstheme="minorHAnsi"/>
        </w:rPr>
        <w:t xml:space="preserve">The Court has civil jurisdiction with respect to claims under the following provisions of the </w:t>
      </w:r>
      <w:r w:rsidRPr="0021614A">
        <w:rPr>
          <w:rFonts w:cstheme="minorHAnsi"/>
          <w:i/>
          <w:iCs/>
        </w:rPr>
        <w:t>Competition and Consumer Act 2010</w:t>
      </w:r>
      <w:r w:rsidRPr="0021614A">
        <w:rPr>
          <w:rFonts w:cstheme="minorHAnsi"/>
        </w:rPr>
        <w:t xml:space="preserve">, (formerly the </w:t>
      </w:r>
      <w:r w:rsidRPr="0021614A">
        <w:rPr>
          <w:rFonts w:cstheme="minorHAnsi"/>
          <w:i/>
          <w:iCs/>
        </w:rPr>
        <w:t>Trade Practices Act 1974</w:t>
      </w:r>
      <w:r w:rsidRPr="0021614A">
        <w:rPr>
          <w:rFonts w:cstheme="minorHAnsi"/>
        </w:rPr>
        <w:t xml:space="preserve">): </w:t>
      </w:r>
    </w:p>
    <w:p w:rsidR="00E411AE" w:rsidRPr="0021614A" w:rsidRDefault="00E411AE" w:rsidP="00556D18">
      <w:pPr>
        <w:pStyle w:val="ListParagraph"/>
        <w:numPr>
          <w:ilvl w:val="0"/>
          <w:numId w:val="18"/>
        </w:numPr>
        <w:rPr>
          <w:rFonts w:cstheme="minorHAnsi"/>
        </w:rPr>
      </w:pPr>
      <w:r w:rsidRPr="0021614A">
        <w:rPr>
          <w:rFonts w:cstheme="minorHAnsi"/>
        </w:rPr>
        <w:t xml:space="preserve">Section 46 (Misuse of Market Power) </w:t>
      </w:r>
    </w:p>
    <w:p w:rsidR="00E411AE" w:rsidRPr="0021614A" w:rsidRDefault="00E411AE" w:rsidP="00556D18">
      <w:pPr>
        <w:pStyle w:val="ListParagraph"/>
        <w:numPr>
          <w:ilvl w:val="0"/>
          <w:numId w:val="18"/>
        </w:numPr>
        <w:rPr>
          <w:rFonts w:cstheme="minorHAnsi"/>
        </w:rPr>
      </w:pPr>
      <w:r w:rsidRPr="0021614A">
        <w:rPr>
          <w:rFonts w:cstheme="minorHAnsi"/>
        </w:rPr>
        <w:t xml:space="preserve">Section IVB (Industry Codes) </w:t>
      </w:r>
    </w:p>
    <w:p w:rsidR="00E411AE" w:rsidRPr="0021614A" w:rsidRDefault="00E411AE" w:rsidP="00556D18">
      <w:pPr>
        <w:pStyle w:val="ListParagraph"/>
        <w:numPr>
          <w:ilvl w:val="0"/>
          <w:numId w:val="18"/>
        </w:numPr>
        <w:rPr>
          <w:rFonts w:cstheme="minorHAnsi"/>
        </w:rPr>
      </w:pPr>
      <w:r w:rsidRPr="0021614A">
        <w:rPr>
          <w:rFonts w:cstheme="minorHAnsi"/>
        </w:rPr>
        <w:t xml:space="preserve">Part XI (Application of the Australian Consumer Law as a law of the Commonwealth), and </w:t>
      </w:r>
    </w:p>
    <w:p w:rsidR="00E411AE" w:rsidRPr="0021614A" w:rsidRDefault="00E411AE" w:rsidP="00556D18">
      <w:pPr>
        <w:pStyle w:val="ListParagraph"/>
        <w:numPr>
          <w:ilvl w:val="0"/>
          <w:numId w:val="18"/>
        </w:numPr>
        <w:rPr>
          <w:rFonts w:cstheme="minorHAnsi"/>
        </w:rPr>
      </w:pPr>
      <w:r w:rsidRPr="0021614A">
        <w:rPr>
          <w:rFonts w:cstheme="minorHAnsi"/>
        </w:rPr>
        <w:t>Schedu</w:t>
      </w:r>
      <w:r w:rsidR="005F04D0" w:rsidRPr="0021614A">
        <w:rPr>
          <w:rFonts w:cstheme="minorHAnsi"/>
        </w:rPr>
        <w:t>le 2 (Australian Consumer Law).</w:t>
      </w:r>
    </w:p>
    <w:p w:rsidR="00E411AE" w:rsidRPr="0021614A" w:rsidRDefault="00E411AE" w:rsidP="00FB4452">
      <w:pPr>
        <w:rPr>
          <w:rFonts w:cstheme="minorHAnsi"/>
        </w:rPr>
      </w:pPr>
      <w:r w:rsidRPr="0021614A">
        <w:rPr>
          <w:rFonts w:cstheme="minorHAnsi"/>
        </w:rPr>
        <w:t xml:space="preserve">The Court can provide injunctive relief and award damages up to $750,000. </w:t>
      </w:r>
    </w:p>
    <w:p w:rsidR="00E411AE" w:rsidRPr="0021614A" w:rsidRDefault="00E411AE" w:rsidP="004C5F17">
      <w:pPr>
        <w:rPr>
          <w:rFonts w:cstheme="minorHAnsi"/>
        </w:rPr>
      </w:pPr>
      <w:r w:rsidRPr="0021614A">
        <w:rPr>
          <w:rFonts w:cstheme="minorHAnsi"/>
        </w:rPr>
        <w:t xml:space="preserve">The Court also has civil jurisdiction with respect to claims under the </w:t>
      </w:r>
      <w:r w:rsidRPr="0021614A">
        <w:rPr>
          <w:rFonts w:cstheme="minorHAnsi"/>
          <w:i/>
        </w:rPr>
        <w:t>National Consumer Credit Protection Act 2009</w:t>
      </w:r>
      <w:r w:rsidRPr="0021614A">
        <w:rPr>
          <w:rFonts w:cstheme="minorHAnsi"/>
        </w:rPr>
        <w:t xml:space="preserve">. </w:t>
      </w:r>
    </w:p>
    <w:p w:rsidR="00E411AE" w:rsidRPr="0021614A" w:rsidRDefault="00E411AE" w:rsidP="006A4365">
      <w:pPr>
        <w:rPr>
          <w:rFonts w:cstheme="minorHAnsi"/>
        </w:rPr>
      </w:pPr>
      <w:r w:rsidRPr="0021614A">
        <w:rPr>
          <w:rFonts w:cstheme="minorHAnsi"/>
        </w:rPr>
        <w:t>There is provision in certain proceedings for a litigant to elect that an application for compensation be dealt with as a small claims pr</w:t>
      </w:r>
      <w:r w:rsidR="005F04D0" w:rsidRPr="0021614A">
        <w:rPr>
          <w:rFonts w:cstheme="minorHAnsi"/>
        </w:rPr>
        <w:t>oceeding.</w:t>
      </w:r>
    </w:p>
    <w:p w:rsidR="00E411AE" w:rsidRPr="00C37737" w:rsidRDefault="00E411AE" w:rsidP="00C37737">
      <w:pPr>
        <w:pStyle w:val="Heading2"/>
      </w:pPr>
      <w:r w:rsidRPr="00C37737">
        <w:lastRenderedPageBreak/>
        <w:t>Hum</w:t>
      </w:r>
      <w:r w:rsidR="00C37737" w:rsidRPr="00C37737">
        <w:t xml:space="preserve">an </w:t>
      </w:r>
      <w:r w:rsidR="008639C9">
        <w:t>r</w:t>
      </w:r>
      <w:r w:rsidR="00C37737" w:rsidRPr="00C37737">
        <w:t>ights</w:t>
      </w:r>
    </w:p>
    <w:p w:rsidR="00E411AE" w:rsidRPr="0021614A" w:rsidRDefault="00E411AE" w:rsidP="00556D18">
      <w:pPr>
        <w:pStyle w:val="ListParagraph"/>
        <w:numPr>
          <w:ilvl w:val="0"/>
          <w:numId w:val="18"/>
        </w:numPr>
        <w:rPr>
          <w:rFonts w:cstheme="minorHAnsi"/>
        </w:rPr>
      </w:pPr>
      <w:r w:rsidRPr="0021614A">
        <w:rPr>
          <w:rFonts w:cstheme="minorHAnsi"/>
        </w:rPr>
        <w:t xml:space="preserve">Federal unlawful discrimination matters under the </w:t>
      </w:r>
      <w:r w:rsidRPr="0021614A">
        <w:rPr>
          <w:rFonts w:cstheme="minorHAnsi"/>
          <w:i/>
        </w:rPr>
        <w:t>Australian Human Rights Commissions Act 1986</w:t>
      </w:r>
      <w:r w:rsidRPr="0021614A">
        <w:rPr>
          <w:rFonts w:cstheme="minorHAnsi"/>
        </w:rPr>
        <w:t xml:space="preserve"> relating to complaints under the: </w:t>
      </w:r>
    </w:p>
    <w:p w:rsidR="00E411AE" w:rsidRPr="00A36947" w:rsidRDefault="00E411AE" w:rsidP="00556D18">
      <w:pPr>
        <w:pStyle w:val="ListParagraph"/>
        <w:numPr>
          <w:ilvl w:val="1"/>
          <w:numId w:val="19"/>
        </w:numPr>
        <w:rPr>
          <w:rFonts w:cstheme="minorHAnsi"/>
          <w:i/>
        </w:rPr>
      </w:pPr>
      <w:r w:rsidRPr="00A36947">
        <w:rPr>
          <w:rFonts w:cstheme="minorHAnsi"/>
          <w:i/>
        </w:rPr>
        <w:t xml:space="preserve">Age Discrimination Act 2004 </w:t>
      </w:r>
    </w:p>
    <w:p w:rsidR="00E411AE" w:rsidRPr="00A36947" w:rsidRDefault="00E411AE" w:rsidP="0021614A">
      <w:pPr>
        <w:pStyle w:val="ListParagraph"/>
        <w:numPr>
          <w:ilvl w:val="1"/>
          <w:numId w:val="19"/>
        </w:numPr>
        <w:rPr>
          <w:rFonts w:cstheme="minorHAnsi"/>
          <w:i/>
        </w:rPr>
      </w:pPr>
      <w:r w:rsidRPr="00A36947">
        <w:rPr>
          <w:rFonts w:cstheme="minorHAnsi"/>
          <w:i/>
        </w:rPr>
        <w:t xml:space="preserve">Disability Discrimination Act 1992 </w:t>
      </w:r>
    </w:p>
    <w:p w:rsidR="00E411AE" w:rsidRPr="00A36947" w:rsidRDefault="00E411AE">
      <w:pPr>
        <w:pStyle w:val="ListParagraph"/>
        <w:numPr>
          <w:ilvl w:val="1"/>
          <w:numId w:val="19"/>
        </w:numPr>
        <w:rPr>
          <w:rFonts w:cstheme="minorHAnsi"/>
          <w:i/>
        </w:rPr>
      </w:pPr>
      <w:r w:rsidRPr="00A36947">
        <w:rPr>
          <w:rFonts w:cstheme="minorHAnsi"/>
          <w:i/>
        </w:rPr>
        <w:t>Racial Discrimination Act 1975</w:t>
      </w:r>
      <w:r w:rsidR="00CD2B8A" w:rsidRPr="00A36947">
        <w:rPr>
          <w:rFonts w:cstheme="minorHAnsi"/>
          <w:i/>
        </w:rPr>
        <w:t>,</w:t>
      </w:r>
      <w:r w:rsidR="00CD2B8A" w:rsidRPr="00A36947">
        <w:rPr>
          <w:rFonts w:cstheme="minorHAnsi"/>
        </w:rPr>
        <w:t xml:space="preserve"> and</w:t>
      </w:r>
      <w:r w:rsidRPr="00A36947">
        <w:rPr>
          <w:rFonts w:cstheme="minorHAnsi"/>
        </w:rPr>
        <w:t xml:space="preserve"> </w:t>
      </w:r>
    </w:p>
    <w:p w:rsidR="00210EF3" w:rsidRPr="00A36947" w:rsidRDefault="00E411AE">
      <w:pPr>
        <w:pStyle w:val="ListParagraph"/>
        <w:numPr>
          <w:ilvl w:val="1"/>
          <w:numId w:val="19"/>
        </w:numPr>
        <w:rPr>
          <w:rFonts w:cstheme="minorHAnsi"/>
          <w:i/>
        </w:rPr>
      </w:pPr>
      <w:r w:rsidRPr="00A36947">
        <w:rPr>
          <w:rFonts w:cstheme="minorHAnsi"/>
          <w:i/>
        </w:rPr>
        <w:t>Sex Discrimination Act 1984</w:t>
      </w:r>
      <w:r w:rsidR="00CD2B8A" w:rsidRPr="00A36947">
        <w:rPr>
          <w:rFonts w:cstheme="minorHAnsi"/>
          <w:i/>
        </w:rPr>
        <w:t>.</w:t>
      </w:r>
    </w:p>
    <w:p w:rsidR="00E411AE" w:rsidRPr="00C37737" w:rsidRDefault="00E411AE" w:rsidP="00C37737">
      <w:pPr>
        <w:pStyle w:val="Heading2"/>
      </w:pPr>
      <w:r w:rsidRPr="00C37737">
        <w:t xml:space="preserve">Industrial </w:t>
      </w:r>
      <w:r w:rsidR="008639C9">
        <w:t>l</w:t>
      </w:r>
      <w:r w:rsidRPr="00C37737">
        <w:t xml:space="preserve">aw </w:t>
      </w:r>
    </w:p>
    <w:p w:rsidR="00922DB6" w:rsidRPr="0021614A" w:rsidRDefault="00922DB6" w:rsidP="00556D18">
      <w:pPr>
        <w:rPr>
          <w:rFonts w:cstheme="minorHAnsi"/>
        </w:rPr>
      </w:pPr>
      <w:r w:rsidRPr="0021614A">
        <w:rPr>
          <w:rFonts w:cstheme="minorHAnsi"/>
        </w:rPr>
        <w:t xml:space="preserve">The </w:t>
      </w:r>
      <w:r w:rsidR="00DB3888">
        <w:rPr>
          <w:rFonts w:cstheme="minorHAnsi"/>
        </w:rPr>
        <w:t>Court</w:t>
      </w:r>
      <w:r w:rsidRPr="0021614A">
        <w:rPr>
          <w:rFonts w:cstheme="minorHAnsi"/>
        </w:rPr>
        <w:t xml:space="preserve"> has concurrent jurisdiction with the Federal Court </w:t>
      </w:r>
      <w:r w:rsidR="00DB3888">
        <w:rPr>
          <w:rFonts w:cstheme="minorHAnsi"/>
        </w:rPr>
        <w:t xml:space="preserve">of Australia </w:t>
      </w:r>
      <w:r w:rsidRPr="0021614A">
        <w:rPr>
          <w:rFonts w:cstheme="minorHAnsi"/>
        </w:rPr>
        <w:t>for matters under the:</w:t>
      </w:r>
    </w:p>
    <w:p w:rsidR="00922DB6" w:rsidRPr="00A36947" w:rsidRDefault="00922DB6" w:rsidP="00556D18">
      <w:pPr>
        <w:pStyle w:val="ListParagraph"/>
        <w:numPr>
          <w:ilvl w:val="0"/>
          <w:numId w:val="24"/>
        </w:numPr>
        <w:rPr>
          <w:rFonts w:cstheme="minorHAnsi"/>
          <w:i/>
        </w:rPr>
      </w:pPr>
      <w:r w:rsidRPr="00A36947">
        <w:rPr>
          <w:rFonts w:cstheme="minorHAnsi"/>
          <w:i/>
        </w:rPr>
        <w:t xml:space="preserve">Fair Work Act 2009 </w:t>
      </w:r>
    </w:p>
    <w:p w:rsidR="00210EF3" w:rsidRPr="00A36947" w:rsidRDefault="00922DB6" w:rsidP="00556D18">
      <w:pPr>
        <w:pStyle w:val="ListParagraph"/>
        <w:numPr>
          <w:ilvl w:val="0"/>
          <w:numId w:val="24"/>
        </w:numPr>
        <w:rPr>
          <w:rFonts w:cstheme="minorHAnsi"/>
          <w:i/>
        </w:rPr>
      </w:pPr>
      <w:r w:rsidRPr="00A36947">
        <w:rPr>
          <w:rFonts w:cstheme="minorHAnsi"/>
          <w:i/>
        </w:rPr>
        <w:t>Fair Work (Transitional Provisions and Consequential Amendments) Act 2009</w:t>
      </w:r>
    </w:p>
    <w:p w:rsidR="00210EF3" w:rsidRPr="0021614A" w:rsidRDefault="00210EF3" w:rsidP="00556D18">
      <w:pPr>
        <w:pStyle w:val="ListParagraph"/>
        <w:numPr>
          <w:ilvl w:val="0"/>
          <w:numId w:val="24"/>
        </w:numPr>
        <w:rPr>
          <w:rFonts w:cstheme="minorHAnsi"/>
        </w:rPr>
      </w:pPr>
      <w:r w:rsidRPr="00A36947">
        <w:rPr>
          <w:rFonts w:cstheme="minorHAnsi"/>
          <w:i/>
        </w:rPr>
        <w:t>Work Health and Safety Act 2011</w:t>
      </w:r>
      <w:r w:rsidRPr="0021614A">
        <w:rPr>
          <w:rFonts w:cstheme="minorHAnsi"/>
        </w:rPr>
        <w:t xml:space="preserve">, and </w:t>
      </w:r>
    </w:p>
    <w:p w:rsidR="00922DB6" w:rsidRPr="00A36947" w:rsidRDefault="00210EF3" w:rsidP="00556D18">
      <w:pPr>
        <w:pStyle w:val="ListParagraph"/>
        <w:numPr>
          <w:ilvl w:val="0"/>
          <w:numId w:val="24"/>
        </w:numPr>
        <w:rPr>
          <w:rFonts w:cstheme="minorHAnsi"/>
          <w:i/>
        </w:rPr>
      </w:pPr>
      <w:r w:rsidRPr="00A36947">
        <w:rPr>
          <w:rFonts w:cstheme="minorHAnsi"/>
          <w:i/>
        </w:rPr>
        <w:t>Fair Work Regulations 2009</w:t>
      </w:r>
      <w:r w:rsidR="00A36947">
        <w:rPr>
          <w:rFonts w:cstheme="minorHAnsi"/>
          <w:i/>
        </w:rPr>
        <w:t>.</w:t>
      </w:r>
    </w:p>
    <w:p w:rsidR="00922DB6" w:rsidRPr="0021614A" w:rsidRDefault="00922DB6" w:rsidP="00FB4452">
      <w:pPr>
        <w:rPr>
          <w:rFonts w:cstheme="minorHAnsi"/>
        </w:rPr>
      </w:pPr>
      <w:r w:rsidRPr="0021614A">
        <w:rPr>
          <w:rFonts w:cstheme="minorHAnsi"/>
        </w:rPr>
        <w:t>This jurisdiction is to be exercised by the Fair Work Division of the Court.</w:t>
      </w:r>
    </w:p>
    <w:p w:rsidR="00922DB6" w:rsidRPr="0021614A" w:rsidRDefault="00922DB6" w:rsidP="006A4365">
      <w:pPr>
        <w:rPr>
          <w:rFonts w:cstheme="minorHAnsi"/>
        </w:rPr>
      </w:pPr>
      <w:r w:rsidRPr="0021614A">
        <w:rPr>
          <w:rFonts w:cstheme="minorHAnsi"/>
        </w:rPr>
        <w:t xml:space="preserve">The </w:t>
      </w:r>
      <w:r w:rsidRPr="0021614A">
        <w:rPr>
          <w:rFonts w:cstheme="minorHAnsi"/>
          <w:i/>
          <w:iCs/>
        </w:rPr>
        <w:t>Fair Work Act 2009</w:t>
      </w:r>
      <w:r w:rsidRPr="0021614A">
        <w:rPr>
          <w:rFonts w:cstheme="minorHAnsi"/>
        </w:rPr>
        <w:t xml:space="preserve"> confers small claims jurisdiction on the Court for various matters if the compensation is not more than $20,000. </w:t>
      </w:r>
    </w:p>
    <w:p w:rsidR="00922DB6" w:rsidRPr="0021614A" w:rsidRDefault="00922DB6" w:rsidP="006A4365">
      <w:pPr>
        <w:rPr>
          <w:rFonts w:cstheme="minorHAnsi"/>
        </w:rPr>
      </w:pPr>
      <w:r w:rsidRPr="0021614A">
        <w:rPr>
          <w:rFonts w:cstheme="minorHAnsi"/>
        </w:rPr>
        <w:t xml:space="preserve">The Court also has jurisdiction in relation to certain matters under the </w:t>
      </w:r>
      <w:r w:rsidRPr="00A36947">
        <w:rPr>
          <w:rFonts w:cstheme="minorHAnsi"/>
          <w:i/>
          <w:iCs/>
        </w:rPr>
        <w:t>Independent Contractors Act 2006</w:t>
      </w:r>
      <w:r w:rsidR="000A7248" w:rsidRPr="00A36947">
        <w:rPr>
          <w:rFonts w:cstheme="minorHAnsi"/>
          <w:i/>
        </w:rPr>
        <w:t xml:space="preserve"> and the Fair Work (Registered Organisations) Act 2009 </w:t>
      </w:r>
      <w:r w:rsidR="000A7248" w:rsidRPr="0021614A">
        <w:rPr>
          <w:rFonts w:cstheme="minorHAnsi"/>
        </w:rPr>
        <w:t>(ss 337BB, 337BD, 337BE)</w:t>
      </w:r>
      <w:r w:rsidR="005D543E" w:rsidRPr="0021614A">
        <w:rPr>
          <w:rFonts w:cstheme="minorHAnsi"/>
        </w:rPr>
        <w:t xml:space="preserve"> and the </w:t>
      </w:r>
      <w:r w:rsidR="005D543E" w:rsidRPr="00A36947">
        <w:rPr>
          <w:rFonts w:cstheme="minorHAnsi"/>
          <w:i/>
          <w:iCs/>
        </w:rPr>
        <w:t>Building and Construction Industry (Improving Productivity) Act 2016.</w:t>
      </w:r>
    </w:p>
    <w:p w:rsidR="00E411AE" w:rsidRPr="00C37737" w:rsidRDefault="00E411AE" w:rsidP="00C37737">
      <w:pPr>
        <w:pStyle w:val="Heading2"/>
      </w:pPr>
      <w:r w:rsidRPr="00C37737">
        <w:t xml:space="preserve">Intellectual </w:t>
      </w:r>
      <w:r w:rsidR="008639C9">
        <w:t>p</w:t>
      </w:r>
      <w:r w:rsidRPr="00C37737">
        <w:t xml:space="preserve">roperty </w:t>
      </w:r>
      <w:r w:rsidR="00922DB6" w:rsidRPr="00C37737">
        <w:t>(including copyright, trade mark and design</w:t>
      </w:r>
      <w:r w:rsidR="00256359" w:rsidRPr="00C37737">
        <w:t>)</w:t>
      </w:r>
    </w:p>
    <w:p w:rsidR="00E411AE" w:rsidRPr="00C37737" w:rsidRDefault="00E411AE" w:rsidP="00C37737">
      <w:pPr>
        <w:pStyle w:val="Heading3"/>
      </w:pPr>
      <w:r w:rsidRPr="00C37737">
        <w:t>C</w:t>
      </w:r>
      <w:r w:rsidR="008639C9">
        <w:t>opyright</w:t>
      </w:r>
    </w:p>
    <w:p w:rsidR="00FB4452" w:rsidRPr="0021614A" w:rsidRDefault="00E411AE" w:rsidP="00556D18">
      <w:pPr>
        <w:pStyle w:val="ListParagraph"/>
        <w:numPr>
          <w:ilvl w:val="0"/>
          <w:numId w:val="18"/>
        </w:numPr>
        <w:rPr>
          <w:rFonts w:cstheme="minorHAnsi"/>
        </w:rPr>
      </w:pPr>
      <w:r w:rsidRPr="0021614A">
        <w:rPr>
          <w:rFonts w:cstheme="minorHAnsi"/>
        </w:rPr>
        <w:t>Civil claims and matters under Parts V</w:t>
      </w:r>
      <w:r w:rsidR="00DB3888">
        <w:rPr>
          <w:rFonts w:cstheme="minorHAnsi"/>
        </w:rPr>
        <w:t xml:space="preserve"> (except section 115A)</w:t>
      </w:r>
      <w:r w:rsidRPr="0021614A">
        <w:rPr>
          <w:rFonts w:cstheme="minorHAnsi"/>
        </w:rPr>
        <w:t xml:space="preserve">, VAA, IX and </w:t>
      </w:r>
      <w:r w:rsidR="00DB3888">
        <w:rPr>
          <w:rFonts w:cstheme="minorHAnsi"/>
        </w:rPr>
        <w:t>s</w:t>
      </w:r>
      <w:r w:rsidRPr="0021614A">
        <w:rPr>
          <w:rFonts w:cstheme="minorHAnsi"/>
        </w:rPr>
        <w:t xml:space="preserve">ection 248J of the </w:t>
      </w:r>
      <w:r w:rsidRPr="0021614A">
        <w:rPr>
          <w:rFonts w:cstheme="minorHAnsi"/>
          <w:i/>
          <w:iCs/>
        </w:rPr>
        <w:t>Copyright Act 1968</w:t>
      </w:r>
      <w:r w:rsidRPr="0021614A">
        <w:rPr>
          <w:rFonts w:cstheme="minorHAnsi"/>
        </w:rPr>
        <w:t>, such as claims for injunctions and damages for breach of copyright</w:t>
      </w:r>
    </w:p>
    <w:p w:rsidR="00E411AE" w:rsidRPr="00C37737" w:rsidRDefault="008639C9" w:rsidP="00C37737">
      <w:pPr>
        <w:pStyle w:val="Heading3"/>
      </w:pPr>
      <w:r>
        <w:t>Trade Marks</w:t>
      </w:r>
    </w:p>
    <w:p w:rsidR="00E411AE" w:rsidRPr="00A36947" w:rsidRDefault="00E411AE" w:rsidP="00556D18">
      <w:pPr>
        <w:rPr>
          <w:rFonts w:cstheme="minorHAnsi"/>
          <w:i/>
        </w:rPr>
      </w:pPr>
      <w:r w:rsidRPr="00A36947">
        <w:rPr>
          <w:rFonts w:cstheme="minorHAnsi"/>
          <w:i/>
        </w:rPr>
        <w:t>Trade Marks Act 1995</w:t>
      </w:r>
    </w:p>
    <w:p w:rsidR="00E411AE" w:rsidRPr="0021614A" w:rsidRDefault="00E411AE" w:rsidP="00556D18">
      <w:pPr>
        <w:pStyle w:val="ListParagraph"/>
        <w:numPr>
          <w:ilvl w:val="0"/>
          <w:numId w:val="18"/>
        </w:numPr>
        <w:rPr>
          <w:rFonts w:cstheme="minorHAnsi"/>
        </w:rPr>
      </w:pPr>
      <w:r w:rsidRPr="0021614A">
        <w:rPr>
          <w:rFonts w:cstheme="minorHAnsi"/>
        </w:rPr>
        <w:t>Appeals from decisions of the Registrar of Trade Marks: ss 35,</w:t>
      </w:r>
      <w:r w:rsidR="00DB3888">
        <w:rPr>
          <w:rFonts w:cstheme="minorHAnsi"/>
        </w:rPr>
        <w:t xml:space="preserve"> </w:t>
      </w:r>
      <w:r w:rsidRPr="0021614A">
        <w:rPr>
          <w:rFonts w:cstheme="minorHAnsi"/>
        </w:rPr>
        <w:t>56, 67, 83(2), 83A(8), 84A–84D and 104</w:t>
      </w:r>
    </w:p>
    <w:p w:rsidR="00E411AE" w:rsidRPr="0021614A" w:rsidRDefault="00E411AE" w:rsidP="00556D18">
      <w:pPr>
        <w:pStyle w:val="ListParagraph"/>
        <w:numPr>
          <w:ilvl w:val="0"/>
          <w:numId w:val="18"/>
        </w:numPr>
        <w:rPr>
          <w:rFonts w:cstheme="minorHAnsi"/>
        </w:rPr>
      </w:pPr>
      <w:r w:rsidRPr="0021614A">
        <w:rPr>
          <w:rFonts w:cstheme="minorHAnsi"/>
        </w:rPr>
        <w:t>Infringement actions ss 120–128 and under ss 129 and 130</w:t>
      </w:r>
    </w:p>
    <w:p w:rsidR="00E411AE" w:rsidRPr="0021614A" w:rsidRDefault="0076117F" w:rsidP="00556D18">
      <w:pPr>
        <w:pStyle w:val="ListParagraph"/>
        <w:numPr>
          <w:ilvl w:val="0"/>
          <w:numId w:val="18"/>
        </w:numPr>
        <w:rPr>
          <w:rFonts w:cstheme="minorHAnsi"/>
        </w:rPr>
      </w:pPr>
      <w:r w:rsidRPr="0021614A">
        <w:rPr>
          <w:rFonts w:cstheme="minorHAnsi"/>
        </w:rPr>
        <w:t>R</w:t>
      </w:r>
      <w:r w:rsidR="00E411AE" w:rsidRPr="0021614A">
        <w:rPr>
          <w:rFonts w:cstheme="minorHAnsi"/>
        </w:rPr>
        <w:t>evocation of registration under: ss 88 and 89</w:t>
      </w:r>
    </w:p>
    <w:p w:rsidR="00E411AE" w:rsidRPr="0021614A" w:rsidRDefault="0076117F" w:rsidP="00556D18">
      <w:pPr>
        <w:pStyle w:val="ListParagraph"/>
        <w:numPr>
          <w:ilvl w:val="0"/>
          <w:numId w:val="18"/>
        </w:numPr>
        <w:rPr>
          <w:rFonts w:cstheme="minorHAnsi"/>
        </w:rPr>
      </w:pPr>
      <w:r w:rsidRPr="0021614A">
        <w:rPr>
          <w:rFonts w:cstheme="minorHAnsi"/>
        </w:rPr>
        <w:t>D</w:t>
      </w:r>
      <w:r w:rsidR="00E411AE" w:rsidRPr="0021614A">
        <w:rPr>
          <w:rFonts w:cstheme="minorHAnsi"/>
        </w:rPr>
        <w:t>ecision on whether a person has used a trade mark under s 7</w:t>
      </w:r>
    </w:p>
    <w:p w:rsidR="00E411AE" w:rsidRPr="0021614A" w:rsidRDefault="00E411AE" w:rsidP="00556D18">
      <w:pPr>
        <w:pStyle w:val="ListParagraph"/>
        <w:numPr>
          <w:ilvl w:val="0"/>
          <w:numId w:val="18"/>
        </w:numPr>
        <w:rPr>
          <w:rFonts w:cstheme="minorHAnsi"/>
        </w:rPr>
      </w:pPr>
      <w:r w:rsidRPr="0021614A">
        <w:rPr>
          <w:rFonts w:cstheme="minorHAnsi"/>
        </w:rPr>
        <w:t xml:space="preserve">Determining whether </w:t>
      </w:r>
      <w:r w:rsidR="00DB3888">
        <w:rPr>
          <w:rFonts w:cstheme="minorHAnsi"/>
        </w:rPr>
        <w:t>a t</w:t>
      </w:r>
      <w:r w:rsidRPr="0021614A">
        <w:rPr>
          <w:rFonts w:cstheme="minorHAnsi"/>
        </w:rPr>
        <w:t xml:space="preserve">rade </w:t>
      </w:r>
      <w:r w:rsidR="00DB3888">
        <w:rPr>
          <w:rFonts w:cstheme="minorHAnsi"/>
        </w:rPr>
        <w:t>m</w:t>
      </w:r>
      <w:r w:rsidRPr="0021614A">
        <w:rPr>
          <w:rFonts w:cstheme="minorHAnsi"/>
        </w:rPr>
        <w:t xml:space="preserve">ark has become </w:t>
      </w:r>
      <w:r w:rsidR="00DB3888">
        <w:rPr>
          <w:rFonts w:cstheme="minorHAnsi"/>
        </w:rPr>
        <w:t>g</w:t>
      </w:r>
      <w:r w:rsidRPr="0021614A">
        <w:rPr>
          <w:rFonts w:cstheme="minorHAnsi"/>
        </w:rPr>
        <w:t>eneric: ss 24, 87 and 89</w:t>
      </w:r>
    </w:p>
    <w:p w:rsidR="00E411AE" w:rsidRPr="0021614A" w:rsidRDefault="00E411AE" w:rsidP="00556D18">
      <w:pPr>
        <w:pStyle w:val="ListParagraph"/>
        <w:numPr>
          <w:ilvl w:val="0"/>
          <w:numId w:val="18"/>
        </w:numPr>
        <w:rPr>
          <w:rFonts w:cstheme="minorHAnsi"/>
        </w:rPr>
      </w:pPr>
      <w:r w:rsidRPr="0021614A">
        <w:rPr>
          <w:rFonts w:cstheme="minorHAnsi"/>
        </w:rPr>
        <w:t xml:space="preserve">Amendment or </w:t>
      </w:r>
      <w:r w:rsidR="00DB3888">
        <w:rPr>
          <w:rFonts w:cstheme="minorHAnsi"/>
        </w:rPr>
        <w:t>c</w:t>
      </w:r>
      <w:r w:rsidRPr="0021614A">
        <w:rPr>
          <w:rFonts w:cstheme="minorHAnsi"/>
        </w:rPr>
        <w:t xml:space="preserve">ancellation of </w:t>
      </w:r>
      <w:r w:rsidR="00DB3888">
        <w:rPr>
          <w:rFonts w:cstheme="minorHAnsi"/>
        </w:rPr>
        <w:t>r</w:t>
      </w:r>
      <w:r w:rsidRPr="0021614A">
        <w:rPr>
          <w:rFonts w:cstheme="minorHAnsi"/>
        </w:rPr>
        <w:t>egistration under ss 85 and 86</w:t>
      </w:r>
    </w:p>
    <w:p w:rsidR="00E411AE" w:rsidRPr="0021614A" w:rsidRDefault="00E411AE" w:rsidP="0021614A">
      <w:pPr>
        <w:pStyle w:val="ListParagraph"/>
        <w:numPr>
          <w:ilvl w:val="0"/>
          <w:numId w:val="18"/>
        </w:numPr>
        <w:rPr>
          <w:rFonts w:cstheme="minorHAnsi"/>
        </w:rPr>
      </w:pPr>
      <w:r w:rsidRPr="0021614A">
        <w:rPr>
          <w:rFonts w:cstheme="minorHAnsi"/>
        </w:rPr>
        <w:t xml:space="preserve">Application for an </w:t>
      </w:r>
      <w:r w:rsidR="00DB3888">
        <w:rPr>
          <w:rFonts w:cstheme="minorHAnsi"/>
        </w:rPr>
        <w:t>o</w:t>
      </w:r>
      <w:r w:rsidRPr="0021614A">
        <w:rPr>
          <w:rFonts w:cstheme="minorHAnsi"/>
        </w:rPr>
        <w:t xml:space="preserve">rder to </w:t>
      </w:r>
      <w:r w:rsidR="00DB3888">
        <w:rPr>
          <w:rFonts w:cstheme="minorHAnsi"/>
        </w:rPr>
        <w:t>r</w:t>
      </w:r>
      <w:r w:rsidRPr="0021614A">
        <w:rPr>
          <w:rFonts w:cstheme="minorHAnsi"/>
        </w:rPr>
        <w:t xml:space="preserve">emove a </w:t>
      </w:r>
      <w:r w:rsidR="00DB3888">
        <w:rPr>
          <w:rFonts w:cstheme="minorHAnsi"/>
        </w:rPr>
        <w:t>t</w:t>
      </w:r>
      <w:r w:rsidRPr="0021614A">
        <w:rPr>
          <w:rFonts w:cstheme="minorHAnsi"/>
        </w:rPr>
        <w:t xml:space="preserve">rade </w:t>
      </w:r>
      <w:r w:rsidR="00DB3888">
        <w:rPr>
          <w:rFonts w:cstheme="minorHAnsi"/>
        </w:rPr>
        <w:t>m</w:t>
      </w:r>
      <w:r w:rsidRPr="0021614A">
        <w:rPr>
          <w:rFonts w:cstheme="minorHAnsi"/>
        </w:rPr>
        <w:t xml:space="preserve">ark </w:t>
      </w:r>
      <w:r w:rsidR="00DB3888">
        <w:rPr>
          <w:rFonts w:cstheme="minorHAnsi"/>
        </w:rPr>
        <w:t>r</w:t>
      </w:r>
      <w:r w:rsidRPr="0021614A">
        <w:rPr>
          <w:rFonts w:cstheme="minorHAnsi"/>
        </w:rPr>
        <w:t xml:space="preserve">egistration for </w:t>
      </w:r>
      <w:r w:rsidR="00DB3888">
        <w:rPr>
          <w:rFonts w:cstheme="minorHAnsi"/>
        </w:rPr>
        <w:t>n</w:t>
      </w:r>
      <w:r w:rsidRPr="0021614A">
        <w:rPr>
          <w:rFonts w:cstheme="minorHAnsi"/>
        </w:rPr>
        <w:t xml:space="preserve">on </w:t>
      </w:r>
      <w:r w:rsidR="00DB3888">
        <w:rPr>
          <w:rFonts w:cstheme="minorHAnsi"/>
        </w:rPr>
        <w:t>u</w:t>
      </w:r>
      <w:r w:rsidRPr="0021614A">
        <w:rPr>
          <w:rFonts w:cstheme="minorHAnsi"/>
        </w:rPr>
        <w:t>se: s 92(3)</w:t>
      </w:r>
    </w:p>
    <w:p w:rsidR="00E411AE" w:rsidRPr="0021614A" w:rsidRDefault="00E411AE">
      <w:pPr>
        <w:pStyle w:val="ListParagraph"/>
        <w:numPr>
          <w:ilvl w:val="0"/>
          <w:numId w:val="18"/>
        </w:numPr>
        <w:rPr>
          <w:rFonts w:cstheme="minorHAnsi"/>
        </w:rPr>
      </w:pPr>
      <w:r w:rsidRPr="0021614A">
        <w:rPr>
          <w:rFonts w:cstheme="minorHAnsi"/>
        </w:rPr>
        <w:t>Application for rect</w:t>
      </w:r>
      <w:r w:rsidR="00922DB6" w:rsidRPr="0021614A">
        <w:rPr>
          <w:rFonts w:cstheme="minorHAnsi"/>
        </w:rPr>
        <w:t>i</w:t>
      </w:r>
      <w:r w:rsidRPr="0021614A">
        <w:rPr>
          <w:rFonts w:cstheme="minorHAnsi"/>
        </w:rPr>
        <w:t>fication of Register</w:t>
      </w:r>
      <w:r w:rsidR="00DB3888">
        <w:rPr>
          <w:rFonts w:cstheme="minorHAnsi"/>
        </w:rPr>
        <w:t xml:space="preserve"> of Trade Marks</w:t>
      </w:r>
      <w:r w:rsidRPr="0021614A">
        <w:rPr>
          <w:rFonts w:cstheme="minorHAnsi"/>
        </w:rPr>
        <w:t xml:space="preserve"> by order of court under s 181</w:t>
      </w:r>
    </w:p>
    <w:p w:rsidR="00FB4452" w:rsidRPr="0021614A" w:rsidRDefault="00E411AE">
      <w:pPr>
        <w:pStyle w:val="ListParagraph"/>
        <w:numPr>
          <w:ilvl w:val="0"/>
          <w:numId w:val="18"/>
        </w:numPr>
        <w:rPr>
          <w:rFonts w:cstheme="minorHAnsi"/>
        </w:rPr>
      </w:pPr>
      <w:r w:rsidRPr="0021614A">
        <w:rPr>
          <w:rFonts w:cstheme="minorHAnsi"/>
        </w:rPr>
        <w:t>Variation of rules governing use of certification trade mark under s 182</w:t>
      </w:r>
    </w:p>
    <w:p w:rsidR="00E411AE" w:rsidRPr="00C37737" w:rsidRDefault="00256359" w:rsidP="00C37737">
      <w:pPr>
        <w:pStyle w:val="Heading3"/>
      </w:pPr>
      <w:r w:rsidRPr="00C37737">
        <w:t>D</w:t>
      </w:r>
      <w:r w:rsidR="008639C9">
        <w:t>esign</w:t>
      </w:r>
    </w:p>
    <w:p w:rsidR="00E411AE" w:rsidRPr="00A36947" w:rsidRDefault="00E411AE" w:rsidP="00FB4452">
      <w:pPr>
        <w:rPr>
          <w:rFonts w:cstheme="minorHAnsi"/>
          <w:i/>
        </w:rPr>
      </w:pPr>
      <w:r w:rsidRPr="00A36947">
        <w:rPr>
          <w:rFonts w:cstheme="minorHAnsi"/>
          <w:i/>
        </w:rPr>
        <w:t>Designs Act 2003</w:t>
      </w:r>
    </w:p>
    <w:p w:rsidR="00E411AE" w:rsidRPr="0021614A" w:rsidRDefault="00E411AE" w:rsidP="0021614A">
      <w:pPr>
        <w:pStyle w:val="ListParagraph"/>
        <w:numPr>
          <w:ilvl w:val="0"/>
          <w:numId w:val="21"/>
        </w:numPr>
        <w:rPr>
          <w:rFonts w:cstheme="minorHAnsi"/>
        </w:rPr>
      </w:pPr>
      <w:r w:rsidRPr="0021614A">
        <w:rPr>
          <w:rFonts w:cstheme="minorHAnsi"/>
        </w:rPr>
        <w:lastRenderedPageBreak/>
        <w:t>Appeals from Decisions of the Regist</w:t>
      </w:r>
      <w:r w:rsidR="00DB3888">
        <w:rPr>
          <w:rFonts w:cstheme="minorHAnsi"/>
        </w:rPr>
        <w:t>rar</w:t>
      </w:r>
      <w:r w:rsidRPr="0021614A">
        <w:rPr>
          <w:rFonts w:cstheme="minorHAnsi"/>
        </w:rPr>
        <w:t xml:space="preserve"> of Designs: ss 28(5), 67(4), 68(6), 50(6), 52(7) and 54(4)</w:t>
      </w:r>
    </w:p>
    <w:p w:rsidR="00E411AE" w:rsidRPr="0021614A" w:rsidRDefault="00E411AE">
      <w:pPr>
        <w:pStyle w:val="ListParagraph"/>
        <w:numPr>
          <w:ilvl w:val="0"/>
          <w:numId w:val="21"/>
        </w:numPr>
        <w:rPr>
          <w:rFonts w:cstheme="minorHAnsi"/>
        </w:rPr>
      </w:pPr>
      <w:r w:rsidRPr="0021614A">
        <w:rPr>
          <w:rFonts w:cstheme="minorHAnsi"/>
        </w:rPr>
        <w:t>Ability to make a determination of the entitled person during proceedings before the court under s 53</w:t>
      </w:r>
    </w:p>
    <w:p w:rsidR="00E411AE" w:rsidRPr="0021614A" w:rsidRDefault="00E411AE">
      <w:pPr>
        <w:pStyle w:val="ListParagraph"/>
        <w:numPr>
          <w:ilvl w:val="0"/>
          <w:numId w:val="21"/>
        </w:numPr>
        <w:rPr>
          <w:rFonts w:cstheme="minorHAnsi"/>
        </w:rPr>
      </w:pPr>
      <w:r w:rsidRPr="0021614A">
        <w:rPr>
          <w:rFonts w:cstheme="minorHAnsi"/>
        </w:rPr>
        <w:t>Infringement actions under ss 71–76</w:t>
      </w:r>
    </w:p>
    <w:p w:rsidR="00E411AE" w:rsidRPr="0021614A" w:rsidRDefault="00E411AE">
      <w:pPr>
        <w:pStyle w:val="ListParagraph"/>
        <w:numPr>
          <w:ilvl w:val="0"/>
          <w:numId w:val="21"/>
        </w:numPr>
        <w:rPr>
          <w:rFonts w:cstheme="minorHAnsi"/>
        </w:rPr>
      </w:pPr>
      <w:r w:rsidRPr="0021614A">
        <w:rPr>
          <w:rFonts w:cstheme="minorHAnsi"/>
        </w:rPr>
        <w:t xml:space="preserve">Applications for </w:t>
      </w:r>
      <w:r w:rsidR="00DB3888">
        <w:rPr>
          <w:rFonts w:cstheme="minorHAnsi"/>
        </w:rPr>
        <w:t>r</w:t>
      </w:r>
      <w:r w:rsidRPr="0021614A">
        <w:rPr>
          <w:rFonts w:cstheme="minorHAnsi"/>
        </w:rPr>
        <w:t xml:space="preserve">elief from </w:t>
      </w:r>
      <w:r w:rsidR="00DB3888">
        <w:rPr>
          <w:rFonts w:cstheme="minorHAnsi"/>
        </w:rPr>
        <w:t>u</w:t>
      </w:r>
      <w:r w:rsidRPr="0021614A">
        <w:rPr>
          <w:rFonts w:cstheme="minorHAnsi"/>
        </w:rPr>
        <w:t xml:space="preserve">njustified </w:t>
      </w:r>
      <w:r w:rsidR="00DB3888">
        <w:rPr>
          <w:rFonts w:cstheme="minorHAnsi"/>
        </w:rPr>
        <w:t>t</w:t>
      </w:r>
      <w:r w:rsidRPr="0021614A">
        <w:rPr>
          <w:rFonts w:cstheme="minorHAnsi"/>
        </w:rPr>
        <w:t>hreats under ss 77–81</w:t>
      </w:r>
    </w:p>
    <w:p w:rsidR="00E411AE" w:rsidRPr="0021614A" w:rsidRDefault="00E411AE">
      <w:pPr>
        <w:pStyle w:val="ListParagraph"/>
        <w:numPr>
          <w:ilvl w:val="0"/>
          <w:numId w:val="21"/>
        </w:numPr>
        <w:rPr>
          <w:rFonts w:cstheme="minorHAnsi"/>
        </w:rPr>
      </w:pPr>
      <w:r w:rsidRPr="0021614A">
        <w:rPr>
          <w:rFonts w:cstheme="minorHAnsi"/>
        </w:rPr>
        <w:t xml:space="preserve">Application for </w:t>
      </w:r>
      <w:r w:rsidR="00DB3888">
        <w:rPr>
          <w:rFonts w:cstheme="minorHAnsi"/>
        </w:rPr>
        <w:t>c</w:t>
      </w:r>
      <w:r w:rsidRPr="0021614A">
        <w:rPr>
          <w:rFonts w:cstheme="minorHAnsi"/>
        </w:rPr>
        <w:t xml:space="preserve">ompulsory </w:t>
      </w:r>
      <w:r w:rsidR="00DB3888">
        <w:rPr>
          <w:rFonts w:cstheme="minorHAnsi"/>
        </w:rPr>
        <w:t>l</w:t>
      </w:r>
      <w:r w:rsidRPr="0021614A">
        <w:rPr>
          <w:rFonts w:cstheme="minorHAnsi"/>
        </w:rPr>
        <w:t>icences under s 90-92</w:t>
      </w:r>
    </w:p>
    <w:p w:rsidR="00E411AE" w:rsidRPr="0021614A" w:rsidRDefault="00E411AE">
      <w:pPr>
        <w:pStyle w:val="ListParagraph"/>
        <w:numPr>
          <w:ilvl w:val="0"/>
          <w:numId w:val="21"/>
        </w:numPr>
        <w:rPr>
          <w:rFonts w:cstheme="minorHAnsi"/>
        </w:rPr>
      </w:pPr>
      <w:r w:rsidRPr="0021614A">
        <w:rPr>
          <w:rFonts w:cstheme="minorHAnsi"/>
        </w:rPr>
        <w:t xml:space="preserve">Revocation of </w:t>
      </w:r>
      <w:r w:rsidR="00DB3888">
        <w:rPr>
          <w:rFonts w:cstheme="minorHAnsi"/>
        </w:rPr>
        <w:t>r</w:t>
      </w:r>
      <w:r w:rsidRPr="0021614A">
        <w:rPr>
          <w:rFonts w:cstheme="minorHAnsi"/>
        </w:rPr>
        <w:t>egistration under s 93</w:t>
      </w:r>
    </w:p>
    <w:p w:rsidR="00E411AE" w:rsidRPr="0021614A" w:rsidRDefault="00E411AE">
      <w:pPr>
        <w:pStyle w:val="ListParagraph"/>
        <w:numPr>
          <w:ilvl w:val="0"/>
          <w:numId w:val="21"/>
        </w:numPr>
        <w:rPr>
          <w:rFonts w:cstheme="minorHAnsi"/>
        </w:rPr>
      </w:pPr>
      <w:r w:rsidRPr="0021614A">
        <w:rPr>
          <w:rFonts w:cstheme="minorHAnsi"/>
        </w:rPr>
        <w:t>For Crown use provisions, provide a determination of the term of use of a design under s 98</w:t>
      </w:r>
    </w:p>
    <w:p w:rsidR="00E411AE" w:rsidRPr="0021614A" w:rsidRDefault="00E411AE">
      <w:pPr>
        <w:pStyle w:val="ListParagraph"/>
        <w:numPr>
          <w:ilvl w:val="0"/>
          <w:numId w:val="21"/>
        </w:numPr>
        <w:rPr>
          <w:rFonts w:cstheme="minorHAnsi"/>
        </w:rPr>
      </w:pPr>
      <w:r w:rsidRPr="0021614A">
        <w:rPr>
          <w:rFonts w:cstheme="minorHAnsi"/>
        </w:rPr>
        <w:t>Application for a declaration by a court of any Crown use under s 101</w:t>
      </w:r>
    </w:p>
    <w:p w:rsidR="00E411AE" w:rsidRPr="0021614A" w:rsidRDefault="00E411AE">
      <w:pPr>
        <w:pStyle w:val="ListParagraph"/>
        <w:numPr>
          <w:ilvl w:val="0"/>
          <w:numId w:val="21"/>
        </w:numPr>
        <w:rPr>
          <w:rFonts w:cstheme="minorHAnsi"/>
        </w:rPr>
      </w:pPr>
      <w:r w:rsidRPr="0021614A">
        <w:rPr>
          <w:rFonts w:cstheme="minorHAnsi"/>
        </w:rPr>
        <w:t>Application for the cessation of Crown use of a design under s 102</w:t>
      </w:r>
    </w:p>
    <w:p w:rsidR="00E411AE" w:rsidRPr="0021614A" w:rsidRDefault="00E411AE">
      <w:pPr>
        <w:pStyle w:val="ListParagraph"/>
        <w:numPr>
          <w:ilvl w:val="0"/>
          <w:numId w:val="21"/>
        </w:numPr>
        <w:rPr>
          <w:rFonts w:cstheme="minorHAnsi"/>
        </w:rPr>
      </w:pPr>
      <w:r w:rsidRPr="0021614A">
        <w:rPr>
          <w:rFonts w:cstheme="minorHAnsi"/>
        </w:rPr>
        <w:t xml:space="preserve">Rectification of Register </w:t>
      </w:r>
      <w:r w:rsidR="00DB3888">
        <w:rPr>
          <w:rFonts w:cstheme="minorHAnsi"/>
        </w:rPr>
        <w:t xml:space="preserve">of Designs </w:t>
      </w:r>
      <w:r w:rsidRPr="0021614A">
        <w:rPr>
          <w:rFonts w:cstheme="minorHAnsi"/>
        </w:rPr>
        <w:t>under s 120.</w:t>
      </w:r>
    </w:p>
    <w:p w:rsidR="00CB3EE4" w:rsidRPr="0021614A" w:rsidRDefault="00C73AB0" w:rsidP="00FB4452">
      <w:pPr>
        <w:rPr>
          <w:rFonts w:cstheme="minorHAnsi"/>
        </w:rPr>
      </w:pPr>
      <w:r w:rsidRPr="0021614A">
        <w:rPr>
          <w:rFonts w:cstheme="minorHAnsi"/>
        </w:rPr>
        <w:t xml:space="preserve">On </w:t>
      </w:r>
      <w:r w:rsidR="00CB3EE4" w:rsidRPr="0021614A">
        <w:rPr>
          <w:rFonts w:cstheme="minorHAnsi"/>
        </w:rPr>
        <w:t>25 August 2015</w:t>
      </w:r>
      <w:r w:rsidR="000C088E">
        <w:rPr>
          <w:rFonts w:cstheme="minorHAnsi"/>
        </w:rPr>
        <w:t>, the intellectual p</w:t>
      </w:r>
      <w:r w:rsidR="00CB3EE4" w:rsidRPr="0021614A">
        <w:rPr>
          <w:rFonts w:cstheme="minorHAnsi"/>
        </w:rPr>
        <w:t xml:space="preserve">roperty jurisdiction of the Court </w:t>
      </w:r>
      <w:r w:rsidR="00654F2F">
        <w:rPr>
          <w:rFonts w:cstheme="minorHAnsi"/>
        </w:rPr>
        <w:t xml:space="preserve">was </w:t>
      </w:r>
      <w:r w:rsidRPr="0021614A">
        <w:rPr>
          <w:rFonts w:cstheme="minorHAnsi"/>
        </w:rPr>
        <w:t>extended</w:t>
      </w:r>
      <w:r w:rsidR="00CB3EE4" w:rsidRPr="0021614A">
        <w:rPr>
          <w:rFonts w:cstheme="minorHAnsi"/>
        </w:rPr>
        <w:t xml:space="preserve"> to hear matters under the </w:t>
      </w:r>
      <w:r w:rsidR="00CB3EE4" w:rsidRPr="0021614A">
        <w:rPr>
          <w:rFonts w:cstheme="minorHAnsi"/>
          <w:i/>
        </w:rPr>
        <w:t>Plant Breeder’s Rights Act 1994</w:t>
      </w:r>
      <w:r w:rsidR="00CB3EE4" w:rsidRPr="0021614A">
        <w:rPr>
          <w:rFonts w:cstheme="minorHAnsi"/>
        </w:rPr>
        <w:t>.</w:t>
      </w:r>
    </w:p>
    <w:p w:rsidR="00E411AE" w:rsidRPr="0021614A" w:rsidRDefault="00E411AE" w:rsidP="00C37737">
      <w:pPr>
        <w:pStyle w:val="Heading2"/>
      </w:pPr>
      <w:r w:rsidRPr="0021614A">
        <w:t xml:space="preserve">Migration </w:t>
      </w:r>
    </w:p>
    <w:p w:rsidR="00E411AE" w:rsidRPr="0021614A" w:rsidRDefault="00E411AE" w:rsidP="00556D18">
      <w:pPr>
        <w:pStyle w:val="ListParagraph"/>
        <w:numPr>
          <w:ilvl w:val="0"/>
          <w:numId w:val="22"/>
        </w:numPr>
        <w:rPr>
          <w:rFonts w:cstheme="minorHAnsi"/>
        </w:rPr>
      </w:pPr>
      <w:r w:rsidRPr="0021614A">
        <w:rPr>
          <w:rFonts w:cstheme="minorHAnsi"/>
        </w:rPr>
        <w:t>Most first instance judicial reviews of visa-related decisions of the</w:t>
      </w:r>
      <w:r w:rsidR="00FB4452" w:rsidRPr="0021614A">
        <w:rPr>
          <w:rFonts w:cstheme="minorHAnsi"/>
        </w:rPr>
        <w:t xml:space="preserve"> Minister of Immigration, </w:t>
      </w:r>
      <w:r w:rsidR="00556D18" w:rsidRPr="00556D18">
        <w:rPr>
          <w:rFonts w:cstheme="minorHAnsi"/>
        </w:rPr>
        <w:t>Citizenship</w:t>
      </w:r>
      <w:r w:rsidR="00FB4452" w:rsidRPr="0021614A">
        <w:rPr>
          <w:rFonts w:cstheme="minorHAnsi"/>
        </w:rPr>
        <w:t>, Migrant Services and Multicultural Affairs,</w:t>
      </w:r>
      <w:r w:rsidRPr="0021614A">
        <w:rPr>
          <w:rFonts w:cstheme="minorHAnsi"/>
        </w:rPr>
        <w:t xml:space="preserve"> Administrative Appeals Tribunal</w:t>
      </w:r>
      <w:r w:rsidR="00922DB6" w:rsidRPr="0021614A">
        <w:rPr>
          <w:rFonts w:cstheme="minorHAnsi"/>
        </w:rPr>
        <w:t xml:space="preserve"> and the Immigr</w:t>
      </w:r>
      <w:r w:rsidR="004D6707">
        <w:rPr>
          <w:rFonts w:cstheme="minorHAnsi"/>
        </w:rPr>
        <w:t>ation Assessment Authority</w:t>
      </w:r>
      <w:r w:rsidRPr="0021614A">
        <w:rPr>
          <w:rFonts w:cstheme="minorHAnsi"/>
        </w:rPr>
        <w:t>. The Court does not have jurisdiction to undertake a merits review of these types of decisions.</w:t>
      </w:r>
    </w:p>
    <w:p w:rsidR="00E411AE" w:rsidRPr="00C37737" w:rsidRDefault="00E411AE" w:rsidP="00C37737">
      <w:pPr>
        <w:pStyle w:val="Heading2"/>
      </w:pPr>
      <w:r w:rsidRPr="00C37737">
        <w:t xml:space="preserve">Privacy </w:t>
      </w:r>
    </w:p>
    <w:p w:rsidR="00E411AE" w:rsidRPr="0021614A" w:rsidRDefault="00E411AE" w:rsidP="00556D18">
      <w:pPr>
        <w:pStyle w:val="ListParagraph"/>
        <w:numPr>
          <w:ilvl w:val="0"/>
          <w:numId w:val="22"/>
        </w:numPr>
        <w:rPr>
          <w:rFonts w:cstheme="minorHAnsi"/>
        </w:rPr>
      </w:pPr>
      <w:r w:rsidRPr="0021614A">
        <w:rPr>
          <w:rFonts w:cstheme="minorHAnsi"/>
        </w:rPr>
        <w:t xml:space="preserve">Enforcing determinations of the Privacy Commissioner and private sector adjudicators under the </w:t>
      </w:r>
      <w:r w:rsidRPr="0021614A">
        <w:rPr>
          <w:rFonts w:cstheme="minorHAnsi"/>
          <w:i/>
          <w:iCs/>
        </w:rPr>
        <w:t>Privacy Act 1988</w:t>
      </w:r>
      <w:r w:rsidRPr="0021614A">
        <w:rPr>
          <w:rFonts w:cstheme="minorHAnsi"/>
        </w:rPr>
        <w:t>.</w:t>
      </w:r>
    </w:p>
    <w:p w:rsidR="00E411AE" w:rsidRDefault="00E411AE" w:rsidP="00FB4452">
      <w:pPr>
        <w:rPr>
          <w:rFonts w:cstheme="minorHAnsi"/>
        </w:rPr>
      </w:pPr>
    </w:p>
    <w:p w:rsidR="00C37737" w:rsidRDefault="00C37737" w:rsidP="00FB4452">
      <w:pPr>
        <w:rPr>
          <w:rFonts w:cstheme="minorHAnsi"/>
        </w:rPr>
      </w:pPr>
    </w:p>
    <w:p w:rsidR="00C37737" w:rsidRPr="00C37737" w:rsidRDefault="00C37737" w:rsidP="00C37737">
      <w:pPr>
        <w:rPr>
          <w:sz w:val="16"/>
          <w:szCs w:val="16"/>
        </w:rPr>
      </w:pPr>
      <w:r w:rsidRPr="00C37737">
        <w:rPr>
          <w:sz w:val="16"/>
          <w:szCs w:val="16"/>
        </w:rPr>
        <w:t>This fact sheet provides information only and is not a substitute for legal advice.</w:t>
      </w:r>
    </w:p>
    <w:p w:rsidR="00C37737" w:rsidRPr="00C37737" w:rsidRDefault="00C37737" w:rsidP="00C37737">
      <w:pPr>
        <w:rPr>
          <w:sz w:val="16"/>
          <w:szCs w:val="16"/>
        </w:rPr>
      </w:pPr>
      <w:r w:rsidRPr="00C37737">
        <w:rPr>
          <w:sz w:val="16"/>
          <w:szCs w:val="16"/>
        </w:rPr>
        <w:t>FEDERAL CIRCUIT AND FAMILY COURT OF AUSTRALIA</w:t>
      </w:r>
      <w:r w:rsidRPr="00C37737">
        <w:rPr>
          <w:sz w:val="16"/>
          <w:szCs w:val="16"/>
        </w:rPr>
        <w:tab/>
      </w:r>
      <w:r w:rsidRPr="00C37737">
        <w:rPr>
          <w:sz w:val="16"/>
          <w:szCs w:val="16"/>
        </w:rPr>
        <w:tab/>
      </w:r>
      <w:r w:rsidRPr="00C37737">
        <w:rPr>
          <w:sz w:val="16"/>
          <w:szCs w:val="16"/>
        </w:rPr>
        <w:tab/>
      </w:r>
      <w:r w:rsidRPr="00C37737">
        <w:rPr>
          <w:sz w:val="16"/>
          <w:szCs w:val="16"/>
        </w:rPr>
        <w:tab/>
        <w:t>0921V1</w:t>
      </w:r>
    </w:p>
    <w:p w:rsidR="00C37737" w:rsidRPr="0021614A" w:rsidRDefault="00C37737" w:rsidP="00FB4452">
      <w:pPr>
        <w:rPr>
          <w:rFonts w:cstheme="minorHAnsi"/>
        </w:rPr>
      </w:pPr>
    </w:p>
    <w:sectPr w:rsidR="00C37737" w:rsidRPr="0021614A" w:rsidSect="0076117F">
      <w:headerReference w:type="even" r:id="rId8"/>
      <w:headerReference w:type="default" r:id="rId9"/>
      <w:footerReference w:type="even" r:id="rId10"/>
      <w:footerReference w:type="default" r:id="rId11"/>
      <w:headerReference w:type="first" r:id="rId12"/>
      <w:footerReference w:type="first" r:id="rId13"/>
      <w:pgSz w:w="11906" w:h="16838"/>
      <w:pgMar w:top="1134" w:right="1134" w:bottom="1134" w:left="1134" w:header="709" w:footer="33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77F4C" w:rsidRDefault="00C77F4C" w:rsidP="00FB4452">
      <w:r>
        <w:separator/>
      </w:r>
    </w:p>
  </w:endnote>
  <w:endnote w:type="continuationSeparator" w:id="0">
    <w:p w:rsidR="00C77F4C" w:rsidRDefault="00C77F4C" w:rsidP="00FB44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Gill Sans MT Light">
    <w:charset w:val="00"/>
    <w:family w:val="swiss"/>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GillSans">
    <w:altName w:val="Century Gothic"/>
    <w:charset w:val="00"/>
    <w:family w:val="swiss"/>
    <w:pitch w:val="variable"/>
    <w:sig w:usb0="00000001" w:usb1="00000000" w:usb2="00000000" w:usb3="00000000" w:csb0="00000093" w:csb1="00000000"/>
  </w:font>
  <w:font w:name="Helvetica">
    <w:panose1 w:val="020B0604020202020204"/>
    <w:charset w:val="00"/>
    <w:family w:val="swiss"/>
    <w:pitch w:val="variable"/>
    <w:sig w:usb0="E0002EFF" w:usb1="C000785B" w:usb2="00000009" w:usb3="00000000" w:csb0="000001FF" w:csb1="00000000"/>
  </w:font>
  <w:font w:name="Zapf Dingbats ITC">
    <w:altName w:val="Arial Unicode MS"/>
    <w:panose1 w:val="00000000000000000000"/>
    <w:charset w:val="00"/>
    <w:family w:val="auto"/>
    <w:notTrueType/>
    <w:pitch w:val="default"/>
    <w:sig w:usb0="00000003" w:usb1="00000000" w:usb2="00000000" w:usb3="00000000" w:csb0="00000001" w:csb1="00000000"/>
  </w:font>
  <w:font w:name="AGaramond">
    <w:altName w:val="AGaramond"/>
    <w:panose1 w:val="00000000000000000000"/>
    <w:charset w:val="00"/>
    <w:family w:val="roman"/>
    <w:notTrueType/>
    <w:pitch w:val="default"/>
    <w:sig w:usb0="00000003" w:usb1="00000000" w:usb2="00000000" w:usb3="00000000" w:csb0="00000001" w:csb1="00000000"/>
  </w:font>
  <w:font w:name="GillSans Light">
    <w:altName w:val="GillSans Light"/>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dobe Garamond Pro">
    <w:panose1 w:val="00000000000000000000"/>
    <w:charset w:val="00"/>
    <w:family w:val="roman"/>
    <w:notTrueType/>
    <w:pitch w:val="variable"/>
    <w:sig w:usb0="00000007" w:usb1="00000001"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55E1B" w:rsidRDefault="00D55E1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55E1B" w:rsidRDefault="00D55E1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55E1B" w:rsidRDefault="00D55E1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77F4C" w:rsidRDefault="00C77F4C" w:rsidP="00FB4452">
      <w:r>
        <w:separator/>
      </w:r>
    </w:p>
  </w:footnote>
  <w:footnote w:type="continuationSeparator" w:id="0">
    <w:p w:rsidR="00C77F4C" w:rsidRDefault="00C77F4C" w:rsidP="00FB445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55E1B" w:rsidRDefault="00D55E1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55E1B" w:rsidRDefault="00D55E1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55E1B" w:rsidRDefault="00D55E1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3C1ED6B8"/>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73F8689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551A3994"/>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F5A20120"/>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3F0AB5F6"/>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1E6547C"/>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6161266"/>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596583A"/>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F8EC018"/>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ED46B0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0F53ED"/>
    <w:multiLevelType w:val="hybridMultilevel"/>
    <w:tmpl w:val="CC0A43B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01956BF8"/>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12" w15:restartNumberingAfterBreak="0">
    <w:nsid w:val="0E3E0CFE"/>
    <w:multiLevelType w:val="hybridMultilevel"/>
    <w:tmpl w:val="43407814"/>
    <w:lvl w:ilvl="0" w:tplc="0132431C">
      <w:start w:val="1"/>
      <w:numFmt w:val="bullet"/>
      <w:pStyle w:val="bulletform"/>
      <w:lvlText w:val=""/>
      <w:lvlJc w:val="left"/>
      <w:pPr>
        <w:tabs>
          <w:tab w:val="num" w:pos="833"/>
        </w:tabs>
        <w:ind w:left="833" w:hanging="360"/>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17AD6B36"/>
    <w:multiLevelType w:val="hybridMultilevel"/>
    <w:tmpl w:val="679414A6"/>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AD64A80"/>
    <w:multiLevelType w:val="hybridMultilevel"/>
    <w:tmpl w:val="BAF25EE2"/>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6472EC6"/>
    <w:multiLevelType w:val="hybridMultilevel"/>
    <w:tmpl w:val="5478E5F0"/>
    <w:lvl w:ilvl="0" w:tplc="0C090001">
      <w:start w:val="1"/>
      <w:numFmt w:val="bullet"/>
      <w:lvlText w:val=""/>
      <w:lvlJc w:val="left"/>
      <w:pPr>
        <w:tabs>
          <w:tab w:val="num" w:pos="720"/>
        </w:tabs>
        <w:ind w:left="720" w:hanging="360"/>
      </w:pPr>
      <w:rPr>
        <w:rFonts w:ascii="Symbol" w:hAnsi="Symbol" w:hint="default"/>
      </w:rPr>
    </w:lvl>
    <w:lvl w:ilvl="1" w:tplc="0C090003">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1606585"/>
    <w:multiLevelType w:val="hybridMultilevel"/>
    <w:tmpl w:val="13A273CE"/>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39C131B"/>
    <w:multiLevelType w:val="hybridMultilevel"/>
    <w:tmpl w:val="FF3EB34C"/>
    <w:lvl w:ilvl="0" w:tplc="113EFE00">
      <w:start w:val="2"/>
      <w:numFmt w:val="bullet"/>
      <w:lvlText w:val="–"/>
      <w:lvlJc w:val="left"/>
      <w:pPr>
        <w:tabs>
          <w:tab w:val="num" w:pos="1080"/>
        </w:tabs>
        <w:ind w:left="1080" w:hanging="360"/>
      </w:pPr>
      <w:rPr>
        <w:rFonts w:ascii="Arial" w:eastAsia="Times New Roman" w:hAnsi="Arial" w:cs="Arial" w:hint="default"/>
      </w:rPr>
    </w:lvl>
    <w:lvl w:ilvl="1" w:tplc="0C090003" w:tentative="1">
      <w:start w:val="1"/>
      <w:numFmt w:val="bullet"/>
      <w:lvlText w:val="o"/>
      <w:lvlJc w:val="left"/>
      <w:pPr>
        <w:tabs>
          <w:tab w:val="num" w:pos="1800"/>
        </w:tabs>
        <w:ind w:left="1800" w:hanging="360"/>
      </w:pPr>
      <w:rPr>
        <w:rFonts w:ascii="Courier New" w:hAnsi="Courier New" w:cs="Courier New" w:hint="default"/>
      </w:rPr>
    </w:lvl>
    <w:lvl w:ilvl="2" w:tplc="0C090005" w:tentative="1">
      <w:start w:val="1"/>
      <w:numFmt w:val="bullet"/>
      <w:lvlText w:val=""/>
      <w:lvlJc w:val="left"/>
      <w:pPr>
        <w:tabs>
          <w:tab w:val="num" w:pos="2520"/>
        </w:tabs>
        <w:ind w:left="2520" w:hanging="360"/>
      </w:pPr>
      <w:rPr>
        <w:rFonts w:ascii="Wingdings" w:hAnsi="Wingdings" w:hint="default"/>
      </w:rPr>
    </w:lvl>
    <w:lvl w:ilvl="3" w:tplc="0C090001" w:tentative="1">
      <w:start w:val="1"/>
      <w:numFmt w:val="bullet"/>
      <w:lvlText w:val=""/>
      <w:lvlJc w:val="left"/>
      <w:pPr>
        <w:tabs>
          <w:tab w:val="num" w:pos="3240"/>
        </w:tabs>
        <w:ind w:left="3240" w:hanging="360"/>
      </w:pPr>
      <w:rPr>
        <w:rFonts w:ascii="Symbol" w:hAnsi="Symbol" w:hint="default"/>
      </w:rPr>
    </w:lvl>
    <w:lvl w:ilvl="4" w:tplc="0C090003" w:tentative="1">
      <w:start w:val="1"/>
      <w:numFmt w:val="bullet"/>
      <w:lvlText w:val="o"/>
      <w:lvlJc w:val="left"/>
      <w:pPr>
        <w:tabs>
          <w:tab w:val="num" w:pos="3960"/>
        </w:tabs>
        <w:ind w:left="3960" w:hanging="360"/>
      </w:pPr>
      <w:rPr>
        <w:rFonts w:ascii="Courier New" w:hAnsi="Courier New" w:cs="Courier New" w:hint="default"/>
      </w:rPr>
    </w:lvl>
    <w:lvl w:ilvl="5" w:tplc="0C090005" w:tentative="1">
      <w:start w:val="1"/>
      <w:numFmt w:val="bullet"/>
      <w:lvlText w:val=""/>
      <w:lvlJc w:val="left"/>
      <w:pPr>
        <w:tabs>
          <w:tab w:val="num" w:pos="4680"/>
        </w:tabs>
        <w:ind w:left="4680" w:hanging="360"/>
      </w:pPr>
      <w:rPr>
        <w:rFonts w:ascii="Wingdings" w:hAnsi="Wingdings" w:hint="default"/>
      </w:rPr>
    </w:lvl>
    <w:lvl w:ilvl="6" w:tplc="0C090001" w:tentative="1">
      <w:start w:val="1"/>
      <w:numFmt w:val="bullet"/>
      <w:lvlText w:val=""/>
      <w:lvlJc w:val="left"/>
      <w:pPr>
        <w:tabs>
          <w:tab w:val="num" w:pos="5400"/>
        </w:tabs>
        <w:ind w:left="5400" w:hanging="360"/>
      </w:pPr>
      <w:rPr>
        <w:rFonts w:ascii="Symbol" w:hAnsi="Symbol" w:hint="default"/>
      </w:rPr>
    </w:lvl>
    <w:lvl w:ilvl="7" w:tplc="0C090003" w:tentative="1">
      <w:start w:val="1"/>
      <w:numFmt w:val="bullet"/>
      <w:lvlText w:val="o"/>
      <w:lvlJc w:val="left"/>
      <w:pPr>
        <w:tabs>
          <w:tab w:val="num" w:pos="6120"/>
        </w:tabs>
        <w:ind w:left="6120" w:hanging="360"/>
      </w:pPr>
      <w:rPr>
        <w:rFonts w:ascii="Courier New" w:hAnsi="Courier New" w:cs="Courier New" w:hint="default"/>
      </w:rPr>
    </w:lvl>
    <w:lvl w:ilvl="8" w:tplc="0C090005" w:tentative="1">
      <w:start w:val="1"/>
      <w:numFmt w:val="bullet"/>
      <w:lvlText w:val=""/>
      <w:lvlJc w:val="left"/>
      <w:pPr>
        <w:tabs>
          <w:tab w:val="num" w:pos="6840"/>
        </w:tabs>
        <w:ind w:left="6840" w:hanging="360"/>
      </w:pPr>
      <w:rPr>
        <w:rFonts w:ascii="Wingdings" w:hAnsi="Wingdings" w:hint="default"/>
      </w:rPr>
    </w:lvl>
  </w:abstractNum>
  <w:abstractNum w:abstractNumId="18" w15:restartNumberingAfterBreak="0">
    <w:nsid w:val="3A725FB7"/>
    <w:multiLevelType w:val="hybridMultilevel"/>
    <w:tmpl w:val="6EF423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4DC41BD2"/>
    <w:multiLevelType w:val="hybridMultilevel"/>
    <w:tmpl w:val="129A05CE"/>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55C413B7"/>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21" w15:restartNumberingAfterBreak="0">
    <w:nsid w:val="613504CC"/>
    <w:multiLevelType w:val="hybridMultilevel"/>
    <w:tmpl w:val="704A56BE"/>
    <w:lvl w:ilvl="0" w:tplc="74F8E3B0">
      <w:start w:val="1"/>
      <w:numFmt w:val="bullet"/>
      <w:pStyle w:val="Bodytext2dotpoint"/>
      <w:lvlText w:val=""/>
      <w:lvlJc w:val="left"/>
      <w:pPr>
        <w:tabs>
          <w:tab w:val="num" w:pos="360"/>
        </w:tabs>
        <w:ind w:left="357" w:hanging="357"/>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669A6A96"/>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3" w15:restartNumberingAfterBreak="0">
    <w:nsid w:val="7E234F90"/>
    <w:multiLevelType w:val="hybridMultilevel"/>
    <w:tmpl w:val="1584B40C"/>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num w:numId="1">
    <w:abstractNumId w:val="9"/>
  </w:num>
  <w:num w:numId="2">
    <w:abstractNumId w:val="8"/>
  </w:num>
  <w:num w:numId="3">
    <w:abstractNumId w:val="11"/>
  </w:num>
  <w:num w:numId="4">
    <w:abstractNumId w:val="22"/>
  </w:num>
  <w:num w:numId="5">
    <w:abstractNumId w:val="20"/>
  </w:num>
  <w:num w:numId="6">
    <w:abstractNumId w:val="21"/>
  </w:num>
  <w:num w:numId="7">
    <w:abstractNumId w:val="12"/>
  </w:num>
  <w:num w:numId="8">
    <w:abstractNumId w:val="7"/>
  </w:num>
  <w:num w:numId="9">
    <w:abstractNumId w:val="6"/>
  </w:num>
  <w:num w:numId="10">
    <w:abstractNumId w:val="5"/>
  </w:num>
  <w:num w:numId="11">
    <w:abstractNumId w:val="4"/>
  </w:num>
  <w:num w:numId="12">
    <w:abstractNumId w:val="3"/>
  </w:num>
  <w:num w:numId="13">
    <w:abstractNumId w:val="2"/>
  </w:num>
  <w:num w:numId="14">
    <w:abstractNumId w:val="1"/>
  </w:num>
  <w:num w:numId="15">
    <w:abstractNumId w:val="0"/>
  </w:num>
  <w:num w:numId="16">
    <w:abstractNumId w:val="13"/>
  </w:num>
  <w:num w:numId="17">
    <w:abstractNumId w:val="19"/>
  </w:num>
  <w:num w:numId="18">
    <w:abstractNumId w:val="23"/>
  </w:num>
  <w:num w:numId="19">
    <w:abstractNumId w:val="15"/>
  </w:num>
  <w:num w:numId="20">
    <w:abstractNumId w:val="17"/>
  </w:num>
  <w:num w:numId="21">
    <w:abstractNumId w:val="14"/>
  </w:num>
  <w:num w:numId="22">
    <w:abstractNumId w:val="16"/>
  </w:num>
  <w:num w:numId="23">
    <w:abstractNumId w:val="10"/>
  </w:num>
  <w:num w:numId="24">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stylePaneFormatFilter w:val="1704" w:allStyles="0" w:customStyles="0" w:latentStyles="1" w:stylesInUse="0" w:headingStyles="0" w:numberingStyles="0" w:tableStyles="0" w:directFormattingOnRuns="1" w:directFormattingOnParagraphs="1" w:directFormattingOnNumbering="1" w:directFormattingOnTables="0" w:clearFormatting="1" w:top3HeadingStyles="0"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411AE"/>
    <w:rsid w:val="00001392"/>
    <w:rsid w:val="00002AAF"/>
    <w:rsid w:val="0000453E"/>
    <w:rsid w:val="00005243"/>
    <w:rsid w:val="00006625"/>
    <w:rsid w:val="000115DC"/>
    <w:rsid w:val="000129ED"/>
    <w:rsid w:val="000136EA"/>
    <w:rsid w:val="00020158"/>
    <w:rsid w:val="00021792"/>
    <w:rsid w:val="00025D51"/>
    <w:rsid w:val="000277FB"/>
    <w:rsid w:val="00037B9C"/>
    <w:rsid w:val="00042568"/>
    <w:rsid w:val="0004737C"/>
    <w:rsid w:val="00052A8E"/>
    <w:rsid w:val="000572B9"/>
    <w:rsid w:val="00061C65"/>
    <w:rsid w:val="00067743"/>
    <w:rsid w:val="00075D6A"/>
    <w:rsid w:val="00077F9B"/>
    <w:rsid w:val="00084EDF"/>
    <w:rsid w:val="00093280"/>
    <w:rsid w:val="0009578D"/>
    <w:rsid w:val="000957AB"/>
    <w:rsid w:val="00097478"/>
    <w:rsid w:val="000A1D87"/>
    <w:rsid w:val="000A278A"/>
    <w:rsid w:val="000A5ADD"/>
    <w:rsid w:val="000A7248"/>
    <w:rsid w:val="000C088E"/>
    <w:rsid w:val="000C0FCD"/>
    <w:rsid w:val="000C59F4"/>
    <w:rsid w:val="000C6FE0"/>
    <w:rsid w:val="000D0C6F"/>
    <w:rsid w:val="000D72C8"/>
    <w:rsid w:val="000E16B4"/>
    <w:rsid w:val="000E3DC0"/>
    <w:rsid w:val="000F04A0"/>
    <w:rsid w:val="000F1B71"/>
    <w:rsid w:val="000F3993"/>
    <w:rsid w:val="000F507A"/>
    <w:rsid w:val="0010480E"/>
    <w:rsid w:val="00114729"/>
    <w:rsid w:val="00137CAB"/>
    <w:rsid w:val="00140087"/>
    <w:rsid w:val="0015053F"/>
    <w:rsid w:val="00162C67"/>
    <w:rsid w:val="00167055"/>
    <w:rsid w:val="00167C17"/>
    <w:rsid w:val="0017158E"/>
    <w:rsid w:val="001746F0"/>
    <w:rsid w:val="0017538D"/>
    <w:rsid w:val="0017585B"/>
    <w:rsid w:val="00181A32"/>
    <w:rsid w:val="001864B8"/>
    <w:rsid w:val="001871DD"/>
    <w:rsid w:val="00191555"/>
    <w:rsid w:val="00193148"/>
    <w:rsid w:val="001A0336"/>
    <w:rsid w:val="001A095D"/>
    <w:rsid w:val="001A2B71"/>
    <w:rsid w:val="001A73FF"/>
    <w:rsid w:val="001B30BA"/>
    <w:rsid w:val="001C1354"/>
    <w:rsid w:val="001C7213"/>
    <w:rsid w:val="001C79AF"/>
    <w:rsid w:val="001D0BC2"/>
    <w:rsid w:val="001D19B5"/>
    <w:rsid w:val="001D3619"/>
    <w:rsid w:val="001E0529"/>
    <w:rsid w:val="001E3881"/>
    <w:rsid w:val="001E780C"/>
    <w:rsid w:val="001E7F51"/>
    <w:rsid w:val="001F0D47"/>
    <w:rsid w:val="001F2E89"/>
    <w:rsid w:val="001F5217"/>
    <w:rsid w:val="0020436A"/>
    <w:rsid w:val="00210EF3"/>
    <w:rsid w:val="0021614A"/>
    <w:rsid w:val="002223B4"/>
    <w:rsid w:val="0023018E"/>
    <w:rsid w:val="002336BF"/>
    <w:rsid w:val="002457CB"/>
    <w:rsid w:val="0024746F"/>
    <w:rsid w:val="00247F63"/>
    <w:rsid w:val="002502F6"/>
    <w:rsid w:val="0025232F"/>
    <w:rsid w:val="00256359"/>
    <w:rsid w:val="00260E64"/>
    <w:rsid w:val="00261874"/>
    <w:rsid w:val="002666C7"/>
    <w:rsid w:val="00270A33"/>
    <w:rsid w:val="00272219"/>
    <w:rsid w:val="00283380"/>
    <w:rsid w:val="002857D2"/>
    <w:rsid w:val="00285E32"/>
    <w:rsid w:val="00287F42"/>
    <w:rsid w:val="00293283"/>
    <w:rsid w:val="00294834"/>
    <w:rsid w:val="002A310B"/>
    <w:rsid w:val="002B468F"/>
    <w:rsid w:val="002C4EB2"/>
    <w:rsid w:val="002C7D3A"/>
    <w:rsid w:val="002D120F"/>
    <w:rsid w:val="002D14F4"/>
    <w:rsid w:val="002D5308"/>
    <w:rsid w:val="002F4CDD"/>
    <w:rsid w:val="002F64FD"/>
    <w:rsid w:val="002F70DE"/>
    <w:rsid w:val="00301574"/>
    <w:rsid w:val="00303914"/>
    <w:rsid w:val="003127F2"/>
    <w:rsid w:val="00313FAE"/>
    <w:rsid w:val="003162DE"/>
    <w:rsid w:val="003201F4"/>
    <w:rsid w:val="00320B93"/>
    <w:rsid w:val="00325124"/>
    <w:rsid w:val="00333186"/>
    <w:rsid w:val="00333EE1"/>
    <w:rsid w:val="00334B81"/>
    <w:rsid w:val="00335557"/>
    <w:rsid w:val="00336EFA"/>
    <w:rsid w:val="00347EC7"/>
    <w:rsid w:val="00357C68"/>
    <w:rsid w:val="00361D71"/>
    <w:rsid w:val="00362647"/>
    <w:rsid w:val="00363863"/>
    <w:rsid w:val="00367B3D"/>
    <w:rsid w:val="00373E31"/>
    <w:rsid w:val="003749D1"/>
    <w:rsid w:val="00377E43"/>
    <w:rsid w:val="0038134D"/>
    <w:rsid w:val="003841EF"/>
    <w:rsid w:val="0038743B"/>
    <w:rsid w:val="003955A4"/>
    <w:rsid w:val="00396562"/>
    <w:rsid w:val="003A4894"/>
    <w:rsid w:val="003B3CE6"/>
    <w:rsid w:val="003B5264"/>
    <w:rsid w:val="003B7D29"/>
    <w:rsid w:val="003C3438"/>
    <w:rsid w:val="003C3D36"/>
    <w:rsid w:val="003D4C77"/>
    <w:rsid w:val="003D5AB4"/>
    <w:rsid w:val="003E0042"/>
    <w:rsid w:val="003E00A0"/>
    <w:rsid w:val="003E2D1F"/>
    <w:rsid w:val="003F1BAE"/>
    <w:rsid w:val="003F2003"/>
    <w:rsid w:val="00404EEA"/>
    <w:rsid w:val="00407DB0"/>
    <w:rsid w:val="00411BFB"/>
    <w:rsid w:val="00411E66"/>
    <w:rsid w:val="0041289C"/>
    <w:rsid w:val="00412A76"/>
    <w:rsid w:val="00417B89"/>
    <w:rsid w:val="00421416"/>
    <w:rsid w:val="00421FD6"/>
    <w:rsid w:val="00424233"/>
    <w:rsid w:val="00442A8B"/>
    <w:rsid w:val="00461409"/>
    <w:rsid w:val="00462E88"/>
    <w:rsid w:val="00463012"/>
    <w:rsid w:val="00463B12"/>
    <w:rsid w:val="00472F64"/>
    <w:rsid w:val="0047797C"/>
    <w:rsid w:val="00497FEB"/>
    <w:rsid w:val="004A14F0"/>
    <w:rsid w:val="004A359C"/>
    <w:rsid w:val="004B0060"/>
    <w:rsid w:val="004B4352"/>
    <w:rsid w:val="004C5F17"/>
    <w:rsid w:val="004D6707"/>
    <w:rsid w:val="004E36D5"/>
    <w:rsid w:val="004F0163"/>
    <w:rsid w:val="005062CC"/>
    <w:rsid w:val="00511451"/>
    <w:rsid w:val="00517160"/>
    <w:rsid w:val="005347FA"/>
    <w:rsid w:val="005369BA"/>
    <w:rsid w:val="00540313"/>
    <w:rsid w:val="00541DE0"/>
    <w:rsid w:val="00555291"/>
    <w:rsid w:val="00556D18"/>
    <w:rsid w:val="00556ED3"/>
    <w:rsid w:val="00562269"/>
    <w:rsid w:val="00565B62"/>
    <w:rsid w:val="00572C43"/>
    <w:rsid w:val="0057604B"/>
    <w:rsid w:val="005768FA"/>
    <w:rsid w:val="00576EF5"/>
    <w:rsid w:val="00583ED1"/>
    <w:rsid w:val="00584BF4"/>
    <w:rsid w:val="005955D4"/>
    <w:rsid w:val="005A02AF"/>
    <w:rsid w:val="005B128A"/>
    <w:rsid w:val="005B2002"/>
    <w:rsid w:val="005C10E6"/>
    <w:rsid w:val="005D543E"/>
    <w:rsid w:val="005E4876"/>
    <w:rsid w:val="005E53A9"/>
    <w:rsid w:val="005E75D6"/>
    <w:rsid w:val="005F04D0"/>
    <w:rsid w:val="005F69AF"/>
    <w:rsid w:val="005F6CF4"/>
    <w:rsid w:val="006018E7"/>
    <w:rsid w:val="006049EA"/>
    <w:rsid w:val="006105BE"/>
    <w:rsid w:val="00620E58"/>
    <w:rsid w:val="006228A4"/>
    <w:rsid w:val="00626280"/>
    <w:rsid w:val="00640226"/>
    <w:rsid w:val="00640623"/>
    <w:rsid w:val="006410E1"/>
    <w:rsid w:val="00644B98"/>
    <w:rsid w:val="006453BF"/>
    <w:rsid w:val="0065353C"/>
    <w:rsid w:val="00654F2F"/>
    <w:rsid w:val="006550F6"/>
    <w:rsid w:val="00663ADC"/>
    <w:rsid w:val="00666FBB"/>
    <w:rsid w:val="0067036E"/>
    <w:rsid w:val="00677462"/>
    <w:rsid w:val="00682DE2"/>
    <w:rsid w:val="00685610"/>
    <w:rsid w:val="0069180D"/>
    <w:rsid w:val="00695120"/>
    <w:rsid w:val="006A250D"/>
    <w:rsid w:val="006A4365"/>
    <w:rsid w:val="006A70B6"/>
    <w:rsid w:val="006A7D14"/>
    <w:rsid w:val="006B1592"/>
    <w:rsid w:val="006B4225"/>
    <w:rsid w:val="006B6CA1"/>
    <w:rsid w:val="006C66B2"/>
    <w:rsid w:val="006C73A6"/>
    <w:rsid w:val="006D2B21"/>
    <w:rsid w:val="006D3A59"/>
    <w:rsid w:val="006D3E75"/>
    <w:rsid w:val="006D73B9"/>
    <w:rsid w:val="006E0977"/>
    <w:rsid w:val="006E23CD"/>
    <w:rsid w:val="006E2613"/>
    <w:rsid w:val="006E348B"/>
    <w:rsid w:val="006E3562"/>
    <w:rsid w:val="006F11C8"/>
    <w:rsid w:val="006F20C8"/>
    <w:rsid w:val="006F75B3"/>
    <w:rsid w:val="00702BF1"/>
    <w:rsid w:val="00703957"/>
    <w:rsid w:val="007065ED"/>
    <w:rsid w:val="0070666D"/>
    <w:rsid w:val="00707153"/>
    <w:rsid w:val="00712336"/>
    <w:rsid w:val="00723608"/>
    <w:rsid w:val="00724F6C"/>
    <w:rsid w:val="007305E7"/>
    <w:rsid w:val="00760A2F"/>
    <w:rsid w:val="0076117F"/>
    <w:rsid w:val="007611E0"/>
    <w:rsid w:val="007637EC"/>
    <w:rsid w:val="00766514"/>
    <w:rsid w:val="00766BB9"/>
    <w:rsid w:val="007721F4"/>
    <w:rsid w:val="00773E0A"/>
    <w:rsid w:val="007765C6"/>
    <w:rsid w:val="00780307"/>
    <w:rsid w:val="00780EF9"/>
    <w:rsid w:val="007915DA"/>
    <w:rsid w:val="007966A0"/>
    <w:rsid w:val="007A1FA4"/>
    <w:rsid w:val="007A4E6B"/>
    <w:rsid w:val="007A7367"/>
    <w:rsid w:val="007A7E14"/>
    <w:rsid w:val="007B083F"/>
    <w:rsid w:val="007B3E02"/>
    <w:rsid w:val="007B4BFC"/>
    <w:rsid w:val="007B4D59"/>
    <w:rsid w:val="007C6988"/>
    <w:rsid w:val="007D00DA"/>
    <w:rsid w:val="007D2CAB"/>
    <w:rsid w:val="007D3742"/>
    <w:rsid w:val="007E3B13"/>
    <w:rsid w:val="007E43C4"/>
    <w:rsid w:val="007E4B83"/>
    <w:rsid w:val="007E655D"/>
    <w:rsid w:val="007F44DE"/>
    <w:rsid w:val="007F49DE"/>
    <w:rsid w:val="00801242"/>
    <w:rsid w:val="008045F5"/>
    <w:rsid w:val="00817F92"/>
    <w:rsid w:val="00823013"/>
    <w:rsid w:val="00827C1D"/>
    <w:rsid w:val="0083609C"/>
    <w:rsid w:val="00840438"/>
    <w:rsid w:val="008425AB"/>
    <w:rsid w:val="008454EF"/>
    <w:rsid w:val="008457EC"/>
    <w:rsid w:val="00845FBE"/>
    <w:rsid w:val="00862432"/>
    <w:rsid w:val="00862D5E"/>
    <w:rsid w:val="008639C6"/>
    <w:rsid w:val="008639C9"/>
    <w:rsid w:val="00864041"/>
    <w:rsid w:val="00866DBB"/>
    <w:rsid w:val="00867143"/>
    <w:rsid w:val="0087033D"/>
    <w:rsid w:val="00874EB8"/>
    <w:rsid w:val="00875A7E"/>
    <w:rsid w:val="008802A4"/>
    <w:rsid w:val="00890578"/>
    <w:rsid w:val="00890A4B"/>
    <w:rsid w:val="00893B62"/>
    <w:rsid w:val="008A426F"/>
    <w:rsid w:val="008B012D"/>
    <w:rsid w:val="008B239D"/>
    <w:rsid w:val="008B2AA5"/>
    <w:rsid w:val="008C1F48"/>
    <w:rsid w:val="008C59AD"/>
    <w:rsid w:val="008C5D56"/>
    <w:rsid w:val="008D4E94"/>
    <w:rsid w:val="008F35D6"/>
    <w:rsid w:val="00903B7A"/>
    <w:rsid w:val="00906F54"/>
    <w:rsid w:val="009107DE"/>
    <w:rsid w:val="0091401B"/>
    <w:rsid w:val="00922DB6"/>
    <w:rsid w:val="00926828"/>
    <w:rsid w:val="00935BE4"/>
    <w:rsid w:val="0094084A"/>
    <w:rsid w:val="00942E43"/>
    <w:rsid w:val="00944EE6"/>
    <w:rsid w:val="00947E51"/>
    <w:rsid w:val="009544E8"/>
    <w:rsid w:val="00957239"/>
    <w:rsid w:val="0096405F"/>
    <w:rsid w:val="0097454B"/>
    <w:rsid w:val="00974D69"/>
    <w:rsid w:val="00982718"/>
    <w:rsid w:val="00982985"/>
    <w:rsid w:val="009A10DE"/>
    <w:rsid w:val="009A7DF3"/>
    <w:rsid w:val="009C0D1A"/>
    <w:rsid w:val="009C28A9"/>
    <w:rsid w:val="009C76BE"/>
    <w:rsid w:val="009D3EF6"/>
    <w:rsid w:val="009E0E6B"/>
    <w:rsid w:val="009E5F65"/>
    <w:rsid w:val="009F7F2A"/>
    <w:rsid w:val="00A01232"/>
    <w:rsid w:val="00A13598"/>
    <w:rsid w:val="00A142A1"/>
    <w:rsid w:val="00A211C7"/>
    <w:rsid w:val="00A25DBC"/>
    <w:rsid w:val="00A325F7"/>
    <w:rsid w:val="00A329BA"/>
    <w:rsid w:val="00A352B8"/>
    <w:rsid w:val="00A36947"/>
    <w:rsid w:val="00A420CA"/>
    <w:rsid w:val="00A5662E"/>
    <w:rsid w:val="00A57EA5"/>
    <w:rsid w:val="00A71E4F"/>
    <w:rsid w:val="00A83573"/>
    <w:rsid w:val="00A86327"/>
    <w:rsid w:val="00A94058"/>
    <w:rsid w:val="00A9485E"/>
    <w:rsid w:val="00A948ED"/>
    <w:rsid w:val="00A97265"/>
    <w:rsid w:val="00AA1ED3"/>
    <w:rsid w:val="00AA49A9"/>
    <w:rsid w:val="00AB4A01"/>
    <w:rsid w:val="00AB7580"/>
    <w:rsid w:val="00AC47B4"/>
    <w:rsid w:val="00AC5B43"/>
    <w:rsid w:val="00AC7D9B"/>
    <w:rsid w:val="00AD1B8E"/>
    <w:rsid w:val="00AD7D44"/>
    <w:rsid w:val="00AE39D4"/>
    <w:rsid w:val="00AE71DC"/>
    <w:rsid w:val="00AF43BE"/>
    <w:rsid w:val="00B02D40"/>
    <w:rsid w:val="00B0462F"/>
    <w:rsid w:val="00B14E6B"/>
    <w:rsid w:val="00B15066"/>
    <w:rsid w:val="00B26AA0"/>
    <w:rsid w:val="00B37946"/>
    <w:rsid w:val="00B553DF"/>
    <w:rsid w:val="00B61251"/>
    <w:rsid w:val="00B6129C"/>
    <w:rsid w:val="00B638FD"/>
    <w:rsid w:val="00B65271"/>
    <w:rsid w:val="00B679AD"/>
    <w:rsid w:val="00B708FE"/>
    <w:rsid w:val="00B80EB7"/>
    <w:rsid w:val="00B8329A"/>
    <w:rsid w:val="00B87382"/>
    <w:rsid w:val="00B91E32"/>
    <w:rsid w:val="00B94CA3"/>
    <w:rsid w:val="00B95D01"/>
    <w:rsid w:val="00BA332B"/>
    <w:rsid w:val="00BA51A5"/>
    <w:rsid w:val="00BA5AEA"/>
    <w:rsid w:val="00BB6A25"/>
    <w:rsid w:val="00BC668B"/>
    <w:rsid w:val="00BD5F40"/>
    <w:rsid w:val="00BD64E3"/>
    <w:rsid w:val="00BD7111"/>
    <w:rsid w:val="00BD7A5D"/>
    <w:rsid w:val="00BE4091"/>
    <w:rsid w:val="00BE5343"/>
    <w:rsid w:val="00BE6CC6"/>
    <w:rsid w:val="00BF0726"/>
    <w:rsid w:val="00BF6A4B"/>
    <w:rsid w:val="00BF6A62"/>
    <w:rsid w:val="00C010D8"/>
    <w:rsid w:val="00C32638"/>
    <w:rsid w:val="00C37737"/>
    <w:rsid w:val="00C427B3"/>
    <w:rsid w:val="00C43B01"/>
    <w:rsid w:val="00C50405"/>
    <w:rsid w:val="00C52157"/>
    <w:rsid w:val="00C52B8A"/>
    <w:rsid w:val="00C678D7"/>
    <w:rsid w:val="00C70D82"/>
    <w:rsid w:val="00C73AB0"/>
    <w:rsid w:val="00C75E12"/>
    <w:rsid w:val="00C761D0"/>
    <w:rsid w:val="00C77F4C"/>
    <w:rsid w:val="00C836E9"/>
    <w:rsid w:val="00C92275"/>
    <w:rsid w:val="00CA2E23"/>
    <w:rsid w:val="00CB1937"/>
    <w:rsid w:val="00CB3EE4"/>
    <w:rsid w:val="00CB521D"/>
    <w:rsid w:val="00CB67A7"/>
    <w:rsid w:val="00CC395F"/>
    <w:rsid w:val="00CC7937"/>
    <w:rsid w:val="00CD2B8A"/>
    <w:rsid w:val="00CD47FC"/>
    <w:rsid w:val="00CD7DFE"/>
    <w:rsid w:val="00CE0171"/>
    <w:rsid w:val="00CE6362"/>
    <w:rsid w:val="00CF49B0"/>
    <w:rsid w:val="00CF5671"/>
    <w:rsid w:val="00CF676D"/>
    <w:rsid w:val="00CF688C"/>
    <w:rsid w:val="00D01B26"/>
    <w:rsid w:val="00D02625"/>
    <w:rsid w:val="00D02E59"/>
    <w:rsid w:val="00D06C9A"/>
    <w:rsid w:val="00D11BDC"/>
    <w:rsid w:val="00D14BA4"/>
    <w:rsid w:val="00D20002"/>
    <w:rsid w:val="00D20CB6"/>
    <w:rsid w:val="00D40F02"/>
    <w:rsid w:val="00D50AB9"/>
    <w:rsid w:val="00D550AF"/>
    <w:rsid w:val="00D55E1B"/>
    <w:rsid w:val="00D63F4B"/>
    <w:rsid w:val="00D65B1C"/>
    <w:rsid w:val="00D673E4"/>
    <w:rsid w:val="00D804B7"/>
    <w:rsid w:val="00D8105D"/>
    <w:rsid w:val="00D94069"/>
    <w:rsid w:val="00DA1C88"/>
    <w:rsid w:val="00DB0AD3"/>
    <w:rsid w:val="00DB2DB2"/>
    <w:rsid w:val="00DB3888"/>
    <w:rsid w:val="00DB5D22"/>
    <w:rsid w:val="00DC6192"/>
    <w:rsid w:val="00DC6F30"/>
    <w:rsid w:val="00DC71B9"/>
    <w:rsid w:val="00DC72D1"/>
    <w:rsid w:val="00DD4208"/>
    <w:rsid w:val="00DE13F9"/>
    <w:rsid w:val="00DE5F65"/>
    <w:rsid w:val="00DE7A09"/>
    <w:rsid w:val="00DF692E"/>
    <w:rsid w:val="00E01104"/>
    <w:rsid w:val="00E02858"/>
    <w:rsid w:val="00E02F56"/>
    <w:rsid w:val="00E03CA7"/>
    <w:rsid w:val="00E042B6"/>
    <w:rsid w:val="00E0598A"/>
    <w:rsid w:val="00E06238"/>
    <w:rsid w:val="00E12CCF"/>
    <w:rsid w:val="00E17C94"/>
    <w:rsid w:val="00E22AFD"/>
    <w:rsid w:val="00E24049"/>
    <w:rsid w:val="00E26E7B"/>
    <w:rsid w:val="00E31BFD"/>
    <w:rsid w:val="00E321F4"/>
    <w:rsid w:val="00E371A8"/>
    <w:rsid w:val="00E411AE"/>
    <w:rsid w:val="00E47367"/>
    <w:rsid w:val="00E506CF"/>
    <w:rsid w:val="00E56CEC"/>
    <w:rsid w:val="00E606E0"/>
    <w:rsid w:val="00E65F6E"/>
    <w:rsid w:val="00E749F5"/>
    <w:rsid w:val="00E837FF"/>
    <w:rsid w:val="00E83EC2"/>
    <w:rsid w:val="00E87776"/>
    <w:rsid w:val="00EA65A2"/>
    <w:rsid w:val="00EB1920"/>
    <w:rsid w:val="00EB2568"/>
    <w:rsid w:val="00EC2006"/>
    <w:rsid w:val="00EC409C"/>
    <w:rsid w:val="00ED0358"/>
    <w:rsid w:val="00EE1AA8"/>
    <w:rsid w:val="00EE3D61"/>
    <w:rsid w:val="00EE793E"/>
    <w:rsid w:val="00EF6A74"/>
    <w:rsid w:val="00F12A5F"/>
    <w:rsid w:val="00F138A9"/>
    <w:rsid w:val="00F13F78"/>
    <w:rsid w:val="00F16BBB"/>
    <w:rsid w:val="00F23D97"/>
    <w:rsid w:val="00F25057"/>
    <w:rsid w:val="00F35294"/>
    <w:rsid w:val="00F365D0"/>
    <w:rsid w:val="00F36979"/>
    <w:rsid w:val="00F40ABF"/>
    <w:rsid w:val="00F42C79"/>
    <w:rsid w:val="00F435CA"/>
    <w:rsid w:val="00F5532C"/>
    <w:rsid w:val="00F5574F"/>
    <w:rsid w:val="00F55781"/>
    <w:rsid w:val="00F56410"/>
    <w:rsid w:val="00F6161E"/>
    <w:rsid w:val="00F6220A"/>
    <w:rsid w:val="00F72603"/>
    <w:rsid w:val="00F81E39"/>
    <w:rsid w:val="00F83E65"/>
    <w:rsid w:val="00F9300A"/>
    <w:rsid w:val="00FB35A2"/>
    <w:rsid w:val="00FB4452"/>
    <w:rsid w:val="00FC197D"/>
    <w:rsid w:val="00FC7B0A"/>
    <w:rsid w:val="00FD707C"/>
    <w:rsid w:val="00FE340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AU" w:bidi="ar-SA"/>
      </w:rPr>
    </w:rPrDefault>
    <w:pPrDefault>
      <w:pPr>
        <w:spacing w:after="200" w:line="276" w:lineRule="auto"/>
      </w:pPr>
    </w:pPrDefault>
  </w:docDefaults>
  <w:latentStyles w:defLockedState="0" w:defUIPriority="0" w:defSemiHidden="0" w:defUnhideWhenUsed="0" w:defQFormat="0" w:count="371">
    <w:lsdException w:name="Normal"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37737"/>
    <w:pPr>
      <w:spacing w:after="240"/>
    </w:pPr>
  </w:style>
  <w:style w:type="paragraph" w:styleId="Heading1">
    <w:name w:val="heading 1"/>
    <w:basedOn w:val="Normal"/>
    <w:next w:val="Normal"/>
    <w:link w:val="Heading1Char"/>
    <w:uiPriority w:val="9"/>
    <w:qFormat/>
    <w:rsid w:val="00C37737"/>
    <w:pPr>
      <w:keepNext/>
      <w:keepLines/>
      <w:outlineLvl w:val="0"/>
    </w:pPr>
    <w:rPr>
      <w:rFonts w:ascii="Arial" w:eastAsiaTheme="majorEastAsia" w:hAnsi="Arial" w:cstheme="majorBidi"/>
      <w:b/>
      <w:bCs/>
      <w:sz w:val="36"/>
      <w:szCs w:val="28"/>
    </w:rPr>
  </w:style>
  <w:style w:type="paragraph" w:styleId="Heading2">
    <w:name w:val="heading 2"/>
    <w:basedOn w:val="Normal"/>
    <w:next w:val="Normal"/>
    <w:link w:val="Heading2Char"/>
    <w:uiPriority w:val="9"/>
    <w:unhideWhenUsed/>
    <w:qFormat/>
    <w:rsid w:val="00C37737"/>
    <w:pPr>
      <w:keepNext/>
      <w:keepLines/>
      <w:spacing w:before="200" w:after="120"/>
      <w:outlineLvl w:val="1"/>
    </w:pPr>
    <w:rPr>
      <w:rFonts w:ascii="Arial" w:eastAsiaTheme="majorEastAsia" w:hAnsi="Arial" w:cstheme="majorBidi"/>
      <w:b/>
      <w:bCs/>
      <w:color w:val="000000" w:themeColor="text1"/>
      <w:sz w:val="24"/>
      <w:szCs w:val="26"/>
    </w:rPr>
  </w:style>
  <w:style w:type="paragraph" w:styleId="Heading3">
    <w:name w:val="heading 3"/>
    <w:basedOn w:val="Normal"/>
    <w:next w:val="Normal"/>
    <w:link w:val="Heading3Char"/>
    <w:uiPriority w:val="9"/>
    <w:unhideWhenUsed/>
    <w:qFormat/>
    <w:rsid w:val="00C37737"/>
    <w:pPr>
      <w:keepNext/>
      <w:keepLines/>
      <w:spacing w:before="200" w:after="0"/>
      <w:outlineLvl w:val="2"/>
    </w:pPr>
    <w:rPr>
      <w:rFonts w:ascii="Arial" w:eastAsiaTheme="majorEastAsia" w:hAnsi="Arial" w:cstheme="majorBidi"/>
      <w:b/>
      <w:bCs/>
      <w:color w:val="000000" w:themeColor="text1"/>
    </w:rPr>
  </w:style>
  <w:style w:type="paragraph" w:styleId="Heading4">
    <w:name w:val="heading 4"/>
    <w:basedOn w:val="Normal"/>
    <w:next w:val="Normal"/>
    <w:link w:val="Heading4Char"/>
    <w:uiPriority w:val="9"/>
    <w:unhideWhenUsed/>
    <w:qFormat/>
    <w:rsid w:val="00C37737"/>
    <w:pPr>
      <w:keepNext/>
      <w:keepLines/>
      <w:spacing w:before="200" w:after="0"/>
      <w:outlineLvl w:val="3"/>
    </w:pPr>
    <w:rPr>
      <w:rFonts w:ascii="Arial" w:eastAsiaTheme="majorEastAsia" w:hAnsi="Arial" w:cstheme="majorBidi"/>
      <w:b/>
      <w:bCs/>
      <w:i/>
      <w:iCs/>
      <w:color w:val="000000" w:themeColor="text1"/>
      <w:sz w:val="20"/>
    </w:rPr>
  </w:style>
  <w:style w:type="paragraph" w:styleId="Heading5">
    <w:name w:val="heading 5"/>
    <w:basedOn w:val="Normal"/>
    <w:next w:val="Normal"/>
    <w:link w:val="Heading5Char"/>
    <w:uiPriority w:val="9"/>
    <w:unhideWhenUsed/>
    <w:qFormat/>
    <w:rsid w:val="00C37737"/>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uiPriority w:val="9"/>
    <w:semiHidden/>
    <w:unhideWhenUsed/>
    <w:qFormat/>
    <w:rsid w:val="007E43C4"/>
    <w:pPr>
      <w:keepNext/>
      <w:keepLines/>
      <w:spacing w:before="40" w:after="0"/>
      <w:outlineLvl w:val="5"/>
    </w:pPr>
    <w:rPr>
      <w:rFonts w:asciiTheme="majorHAnsi" w:eastAsiaTheme="majorEastAsia" w:hAnsiTheme="majorHAnsi" w:cstheme="majorBidi"/>
      <w:color w:val="243F60" w:themeColor="accent1" w:themeShade="7F"/>
    </w:rPr>
  </w:style>
  <w:style w:type="paragraph" w:styleId="Heading7">
    <w:name w:val="heading 7"/>
    <w:basedOn w:val="Normal"/>
    <w:next w:val="Normal"/>
    <w:uiPriority w:val="9"/>
    <w:semiHidden/>
    <w:unhideWhenUsed/>
    <w:qFormat/>
    <w:rsid w:val="007E43C4"/>
    <w:pPr>
      <w:keepNext/>
      <w:keepLines/>
      <w:spacing w:before="40" w:after="0"/>
      <w:outlineLvl w:val="6"/>
    </w:pPr>
    <w:rPr>
      <w:rFonts w:asciiTheme="majorHAnsi" w:eastAsiaTheme="majorEastAsia" w:hAnsiTheme="majorHAnsi" w:cstheme="majorBidi"/>
      <w:i/>
      <w:iCs/>
      <w:color w:val="243F60" w:themeColor="accent1" w:themeShade="7F"/>
    </w:rPr>
  </w:style>
  <w:style w:type="paragraph" w:styleId="Heading8">
    <w:name w:val="heading 8"/>
    <w:basedOn w:val="Normal"/>
    <w:next w:val="Normal"/>
    <w:uiPriority w:val="9"/>
    <w:semiHidden/>
    <w:unhideWhenUsed/>
    <w:qFormat/>
    <w:rsid w:val="007E43C4"/>
    <w:pPr>
      <w:keepNext/>
      <w:keepLines/>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uiPriority w:val="9"/>
    <w:semiHidden/>
    <w:unhideWhenUsed/>
    <w:qFormat/>
    <w:rsid w:val="007E43C4"/>
    <w:pPr>
      <w:keepNext/>
      <w:keepLines/>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copy">
    <w:name w:val="Body copy"/>
    <w:basedOn w:val="Normal"/>
    <w:rsid w:val="008C59AD"/>
    <w:pPr>
      <w:spacing w:before="240"/>
    </w:pPr>
    <w:rPr>
      <w:rFonts w:ascii="Gill Sans MT Light" w:eastAsia="SimSun" w:hAnsi="Gill Sans MT Light"/>
      <w:lang w:eastAsia="zh-CN"/>
    </w:rPr>
  </w:style>
  <w:style w:type="paragraph" w:customStyle="1" w:styleId="Heading1FLC">
    <w:name w:val="Heading 1_FLC"/>
    <w:basedOn w:val="Heading1"/>
    <w:rsid w:val="008C59AD"/>
    <w:rPr>
      <w:rFonts w:ascii="Gill Sans MT Light" w:eastAsia="SimSun" w:hAnsi="Gill Sans MT Light"/>
      <w:lang w:eastAsia="zh-CN"/>
    </w:rPr>
  </w:style>
  <w:style w:type="paragraph" w:customStyle="1" w:styleId="BodyCopyFLC">
    <w:name w:val="Body Copy_FLC"/>
    <w:basedOn w:val="Normal"/>
    <w:rsid w:val="008C59AD"/>
    <w:pPr>
      <w:spacing w:before="240"/>
    </w:pPr>
    <w:rPr>
      <w:rFonts w:ascii="Gill Sans MT Light" w:eastAsia="SimSun" w:hAnsi="Gill Sans MT Light"/>
      <w:lang w:eastAsia="zh-CN"/>
    </w:rPr>
  </w:style>
  <w:style w:type="numbering" w:styleId="111111">
    <w:name w:val="Outline List 2"/>
    <w:basedOn w:val="NoList"/>
    <w:semiHidden/>
    <w:rsid w:val="007E43C4"/>
    <w:pPr>
      <w:numPr>
        <w:numId w:val="3"/>
      </w:numPr>
    </w:pPr>
  </w:style>
  <w:style w:type="numbering" w:styleId="1ai">
    <w:name w:val="Outline List 1"/>
    <w:basedOn w:val="NoList"/>
    <w:semiHidden/>
    <w:rsid w:val="007E43C4"/>
    <w:pPr>
      <w:numPr>
        <w:numId w:val="4"/>
      </w:numPr>
    </w:pPr>
  </w:style>
  <w:style w:type="numbering" w:styleId="ArticleSection">
    <w:name w:val="Outline List 3"/>
    <w:basedOn w:val="NoList"/>
    <w:semiHidden/>
    <w:rsid w:val="007E43C4"/>
    <w:pPr>
      <w:numPr>
        <w:numId w:val="5"/>
      </w:numPr>
    </w:pPr>
  </w:style>
  <w:style w:type="paragraph" w:styleId="BlockText">
    <w:name w:val="Block Text"/>
    <w:basedOn w:val="Normal"/>
    <w:semiHidden/>
    <w:rsid w:val="007E43C4"/>
    <w:pPr>
      <w:ind w:left="1440" w:right="1440"/>
    </w:pPr>
    <w:rPr>
      <w:b/>
      <w:sz w:val="24"/>
    </w:rPr>
  </w:style>
  <w:style w:type="paragraph" w:styleId="BodyText">
    <w:name w:val="Body Text"/>
    <w:basedOn w:val="Normal"/>
    <w:autoRedefine/>
    <w:semiHidden/>
    <w:rsid w:val="007E43C4"/>
    <w:rPr>
      <w:b/>
      <w:sz w:val="24"/>
    </w:rPr>
  </w:style>
  <w:style w:type="paragraph" w:styleId="BodyText2">
    <w:name w:val="Body Text 2"/>
    <w:basedOn w:val="Normal"/>
    <w:autoRedefine/>
    <w:semiHidden/>
    <w:rsid w:val="007E43C4"/>
    <w:pPr>
      <w:spacing w:before="40" w:after="40"/>
    </w:pPr>
    <w:rPr>
      <w:b/>
      <w:bCs/>
      <w:sz w:val="24"/>
      <w:szCs w:val="20"/>
    </w:rPr>
  </w:style>
  <w:style w:type="paragraph" w:styleId="BodyText3">
    <w:name w:val="Body Text 3"/>
    <w:basedOn w:val="Normal"/>
    <w:autoRedefine/>
    <w:semiHidden/>
    <w:rsid w:val="007E43C4"/>
    <w:pPr>
      <w:tabs>
        <w:tab w:val="left" w:pos="4536"/>
        <w:tab w:val="left" w:pos="7088"/>
        <w:tab w:val="left" w:pos="14176"/>
      </w:tabs>
    </w:pPr>
    <w:rPr>
      <w:b/>
      <w:sz w:val="24"/>
      <w:szCs w:val="20"/>
    </w:rPr>
  </w:style>
  <w:style w:type="paragraph" w:styleId="BodyTextFirstIndent">
    <w:name w:val="Body Text First Indent"/>
    <w:basedOn w:val="BodyText"/>
    <w:semiHidden/>
    <w:rsid w:val="007E43C4"/>
    <w:pPr>
      <w:ind w:firstLine="210"/>
    </w:pPr>
  </w:style>
  <w:style w:type="paragraph" w:styleId="BodyTextIndent">
    <w:name w:val="Body Text Indent"/>
    <w:basedOn w:val="Normal"/>
    <w:semiHidden/>
    <w:rsid w:val="007E43C4"/>
    <w:pPr>
      <w:ind w:left="283"/>
    </w:pPr>
    <w:rPr>
      <w:b/>
      <w:sz w:val="24"/>
    </w:rPr>
  </w:style>
  <w:style w:type="paragraph" w:styleId="BodyTextFirstIndent2">
    <w:name w:val="Body Text First Indent 2"/>
    <w:basedOn w:val="BodyTextIndent"/>
    <w:semiHidden/>
    <w:rsid w:val="007E43C4"/>
    <w:pPr>
      <w:ind w:firstLine="210"/>
    </w:pPr>
    <w:rPr>
      <w:b w:val="0"/>
    </w:rPr>
  </w:style>
  <w:style w:type="paragraph" w:styleId="BodyTextIndent2">
    <w:name w:val="Body Text Indent 2"/>
    <w:basedOn w:val="Normal"/>
    <w:semiHidden/>
    <w:rsid w:val="007E43C4"/>
    <w:pPr>
      <w:spacing w:line="480" w:lineRule="auto"/>
      <w:ind w:left="283"/>
    </w:pPr>
    <w:rPr>
      <w:b/>
      <w:sz w:val="24"/>
    </w:rPr>
  </w:style>
  <w:style w:type="paragraph" w:styleId="BodyTextIndent3">
    <w:name w:val="Body Text Indent 3"/>
    <w:basedOn w:val="Normal"/>
    <w:semiHidden/>
    <w:rsid w:val="007E43C4"/>
    <w:pPr>
      <w:ind w:left="283"/>
    </w:pPr>
    <w:rPr>
      <w:b/>
      <w:sz w:val="16"/>
      <w:szCs w:val="16"/>
    </w:rPr>
  </w:style>
  <w:style w:type="paragraph" w:styleId="Closing">
    <w:name w:val="Closing"/>
    <w:basedOn w:val="Normal"/>
    <w:semiHidden/>
    <w:rsid w:val="007E43C4"/>
    <w:pPr>
      <w:ind w:left="4252"/>
    </w:pPr>
    <w:rPr>
      <w:b/>
      <w:sz w:val="24"/>
    </w:rPr>
  </w:style>
  <w:style w:type="paragraph" w:styleId="Date">
    <w:name w:val="Date"/>
    <w:basedOn w:val="Normal"/>
    <w:next w:val="Normal"/>
    <w:semiHidden/>
    <w:rsid w:val="007E43C4"/>
    <w:rPr>
      <w:b/>
      <w:sz w:val="24"/>
    </w:rPr>
  </w:style>
  <w:style w:type="paragraph" w:styleId="E-mailSignature">
    <w:name w:val="E-mail Signature"/>
    <w:basedOn w:val="Normal"/>
    <w:semiHidden/>
    <w:rsid w:val="007E43C4"/>
    <w:rPr>
      <w:b/>
      <w:sz w:val="24"/>
    </w:rPr>
  </w:style>
  <w:style w:type="character" w:styleId="Emphasis">
    <w:name w:val="Emphasis"/>
    <w:uiPriority w:val="20"/>
    <w:qFormat/>
    <w:rsid w:val="007E43C4"/>
    <w:rPr>
      <w:i/>
      <w:iCs/>
    </w:rPr>
  </w:style>
  <w:style w:type="paragraph" w:styleId="EnvelopeAddress">
    <w:name w:val="envelope address"/>
    <w:basedOn w:val="Normal"/>
    <w:semiHidden/>
    <w:rsid w:val="007E43C4"/>
    <w:pPr>
      <w:framePr w:w="7920" w:h="1980" w:hRule="exact" w:hSpace="180" w:wrap="auto" w:hAnchor="page" w:xAlign="center" w:yAlign="bottom"/>
      <w:ind w:left="2880"/>
    </w:pPr>
    <w:rPr>
      <w:b/>
      <w:sz w:val="24"/>
    </w:rPr>
  </w:style>
  <w:style w:type="paragraph" w:styleId="EnvelopeReturn">
    <w:name w:val="envelope return"/>
    <w:basedOn w:val="Normal"/>
    <w:semiHidden/>
    <w:rsid w:val="007E43C4"/>
    <w:rPr>
      <w:b/>
      <w:sz w:val="20"/>
      <w:szCs w:val="20"/>
    </w:rPr>
  </w:style>
  <w:style w:type="character" w:styleId="FollowedHyperlink">
    <w:name w:val="FollowedHyperlink"/>
    <w:semiHidden/>
    <w:rsid w:val="007E43C4"/>
    <w:rPr>
      <w:color w:val="800080"/>
      <w:u w:val="single"/>
    </w:rPr>
  </w:style>
  <w:style w:type="paragraph" w:styleId="Footer">
    <w:name w:val="footer"/>
    <w:basedOn w:val="Normal"/>
    <w:semiHidden/>
    <w:rsid w:val="007E43C4"/>
    <w:pPr>
      <w:tabs>
        <w:tab w:val="center" w:pos="4153"/>
        <w:tab w:val="right" w:pos="8306"/>
      </w:tabs>
    </w:pPr>
    <w:rPr>
      <w:b/>
      <w:sz w:val="24"/>
    </w:rPr>
  </w:style>
  <w:style w:type="paragraph" w:styleId="Header">
    <w:name w:val="header"/>
    <w:basedOn w:val="Normal"/>
    <w:semiHidden/>
    <w:rsid w:val="007E43C4"/>
    <w:pPr>
      <w:tabs>
        <w:tab w:val="center" w:pos="4153"/>
        <w:tab w:val="right" w:pos="8306"/>
      </w:tabs>
    </w:pPr>
    <w:rPr>
      <w:b/>
      <w:sz w:val="24"/>
    </w:rPr>
  </w:style>
  <w:style w:type="character" w:styleId="HTMLAcronym">
    <w:name w:val="HTML Acronym"/>
    <w:basedOn w:val="DefaultParagraphFont"/>
    <w:semiHidden/>
    <w:rsid w:val="007E43C4"/>
  </w:style>
  <w:style w:type="paragraph" w:styleId="HTMLAddress">
    <w:name w:val="HTML Address"/>
    <w:basedOn w:val="Normal"/>
    <w:semiHidden/>
    <w:rsid w:val="007E43C4"/>
    <w:rPr>
      <w:b/>
      <w:i/>
      <w:iCs/>
      <w:sz w:val="24"/>
    </w:rPr>
  </w:style>
  <w:style w:type="character" w:styleId="HTMLCite">
    <w:name w:val="HTML Cite"/>
    <w:semiHidden/>
    <w:rsid w:val="007E43C4"/>
    <w:rPr>
      <w:i/>
      <w:iCs/>
    </w:rPr>
  </w:style>
  <w:style w:type="character" w:styleId="HTMLCode">
    <w:name w:val="HTML Code"/>
    <w:semiHidden/>
    <w:rsid w:val="007E43C4"/>
    <w:rPr>
      <w:rFonts w:ascii="Courier New" w:hAnsi="Courier New" w:cs="Courier New"/>
      <w:sz w:val="20"/>
      <w:szCs w:val="20"/>
    </w:rPr>
  </w:style>
  <w:style w:type="character" w:styleId="HTMLDefinition">
    <w:name w:val="HTML Definition"/>
    <w:semiHidden/>
    <w:rsid w:val="007E43C4"/>
    <w:rPr>
      <w:i/>
      <w:iCs/>
    </w:rPr>
  </w:style>
  <w:style w:type="character" w:styleId="HTMLKeyboard">
    <w:name w:val="HTML Keyboard"/>
    <w:semiHidden/>
    <w:rsid w:val="007E43C4"/>
    <w:rPr>
      <w:rFonts w:ascii="Courier New" w:hAnsi="Courier New" w:cs="Courier New"/>
      <w:sz w:val="20"/>
      <w:szCs w:val="20"/>
    </w:rPr>
  </w:style>
  <w:style w:type="paragraph" w:styleId="HTMLPreformatted">
    <w:name w:val="HTML Preformatted"/>
    <w:basedOn w:val="Normal"/>
    <w:semiHidden/>
    <w:rsid w:val="007E43C4"/>
    <w:rPr>
      <w:rFonts w:ascii="Courier New" w:hAnsi="Courier New" w:cs="Courier New"/>
      <w:b/>
      <w:sz w:val="20"/>
      <w:szCs w:val="20"/>
    </w:rPr>
  </w:style>
  <w:style w:type="character" w:styleId="HTMLSample">
    <w:name w:val="HTML Sample"/>
    <w:semiHidden/>
    <w:rsid w:val="007E43C4"/>
    <w:rPr>
      <w:rFonts w:ascii="Courier New" w:hAnsi="Courier New" w:cs="Courier New"/>
    </w:rPr>
  </w:style>
  <w:style w:type="character" w:styleId="HTMLTypewriter">
    <w:name w:val="HTML Typewriter"/>
    <w:semiHidden/>
    <w:rsid w:val="007E43C4"/>
    <w:rPr>
      <w:rFonts w:ascii="Courier New" w:hAnsi="Courier New" w:cs="Courier New"/>
      <w:sz w:val="20"/>
      <w:szCs w:val="20"/>
    </w:rPr>
  </w:style>
  <w:style w:type="character" w:styleId="HTMLVariable">
    <w:name w:val="HTML Variable"/>
    <w:semiHidden/>
    <w:rsid w:val="007E43C4"/>
    <w:rPr>
      <w:i/>
      <w:iCs/>
    </w:rPr>
  </w:style>
  <w:style w:type="character" w:styleId="LineNumber">
    <w:name w:val="line number"/>
    <w:basedOn w:val="DefaultParagraphFont"/>
    <w:semiHidden/>
    <w:rsid w:val="007E43C4"/>
  </w:style>
  <w:style w:type="paragraph" w:styleId="List">
    <w:name w:val="List"/>
    <w:basedOn w:val="Normal"/>
    <w:semiHidden/>
    <w:rsid w:val="007E43C4"/>
    <w:pPr>
      <w:ind w:left="283" w:hanging="283"/>
    </w:pPr>
    <w:rPr>
      <w:b/>
      <w:sz w:val="24"/>
    </w:rPr>
  </w:style>
  <w:style w:type="paragraph" w:styleId="List2">
    <w:name w:val="List 2"/>
    <w:basedOn w:val="Normal"/>
    <w:semiHidden/>
    <w:rsid w:val="007E43C4"/>
    <w:pPr>
      <w:ind w:left="566" w:hanging="283"/>
    </w:pPr>
    <w:rPr>
      <w:b/>
      <w:sz w:val="24"/>
    </w:rPr>
  </w:style>
  <w:style w:type="paragraph" w:styleId="List3">
    <w:name w:val="List 3"/>
    <w:basedOn w:val="Normal"/>
    <w:semiHidden/>
    <w:rsid w:val="007E43C4"/>
    <w:pPr>
      <w:ind w:left="849" w:hanging="283"/>
    </w:pPr>
    <w:rPr>
      <w:b/>
      <w:sz w:val="24"/>
    </w:rPr>
  </w:style>
  <w:style w:type="paragraph" w:styleId="List4">
    <w:name w:val="List 4"/>
    <w:basedOn w:val="Normal"/>
    <w:semiHidden/>
    <w:rsid w:val="007E43C4"/>
    <w:pPr>
      <w:ind w:left="1132" w:hanging="283"/>
    </w:pPr>
    <w:rPr>
      <w:b/>
      <w:sz w:val="24"/>
    </w:rPr>
  </w:style>
  <w:style w:type="paragraph" w:styleId="List5">
    <w:name w:val="List 5"/>
    <w:basedOn w:val="Normal"/>
    <w:semiHidden/>
    <w:rsid w:val="007E43C4"/>
    <w:pPr>
      <w:ind w:left="1415" w:hanging="283"/>
    </w:pPr>
    <w:rPr>
      <w:b/>
      <w:sz w:val="24"/>
    </w:rPr>
  </w:style>
  <w:style w:type="paragraph" w:styleId="ListBullet">
    <w:name w:val="List Bullet"/>
    <w:basedOn w:val="Normal"/>
    <w:semiHidden/>
    <w:rsid w:val="00695120"/>
    <w:pPr>
      <w:numPr>
        <w:numId w:val="1"/>
      </w:numPr>
    </w:pPr>
  </w:style>
  <w:style w:type="paragraph" w:styleId="ListBullet2">
    <w:name w:val="List Bullet 2"/>
    <w:basedOn w:val="Normal"/>
    <w:semiHidden/>
    <w:rsid w:val="007E43C4"/>
    <w:pPr>
      <w:numPr>
        <w:numId w:val="8"/>
      </w:numPr>
    </w:pPr>
    <w:rPr>
      <w:b/>
      <w:sz w:val="24"/>
    </w:rPr>
  </w:style>
  <w:style w:type="paragraph" w:styleId="ListBullet3">
    <w:name w:val="List Bullet 3"/>
    <w:basedOn w:val="Normal"/>
    <w:semiHidden/>
    <w:rsid w:val="007E43C4"/>
    <w:pPr>
      <w:numPr>
        <w:numId w:val="9"/>
      </w:numPr>
    </w:pPr>
    <w:rPr>
      <w:b/>
      <w:sz w:val="24"/>
    </w:rPr>
  </w:style>
  <w:style w:type="paragraph" w:styleId="ListBullet4">
    <w:name w:val="List Bullet 4"/>
    <w:basedOn w:val="Normal"/>
    <w:semiHidden/>
    <w:rsid w:val="007E43C4"/>
    <w:pPr>
      <w:numPr>
        <w:numId w:val="10"/>
      </w:numPr>
    </w:pPr>
    <w:rPr>
      <w:b/>
      <w:sz w:val="24"/>
    </w:rPr>
  </w:style>
  <w:style w:type="paragraph" w:styleId="ListBullet5">
    <w:name w:val="List Bullet 5"/>
    <w:basedOn w:val="Normal"/>
    <w:semiHidden/>
    <w:rsid w:val="007E43C4"/>
    <w:pPr>
      <w:numPr>
        <w:numId w:val="11"/>
      </w:numPr>
    </w:pPr>
    <w:rPr>
      <w:b/>
      <w:sz w:val="24"/>
    </w:rPr>
  </w:style>
  <w:style w:type="paragraph" w:styleId="ListContinue">
    <w:name w:val="List Continue"/>
    <w:basedOn w:val="Normal"/>
    <w:semiHidden/>
    <w:rsid w:val="007E43C4"/>
    <w:pPr>
      <w:ind w:left="283"/>
    </w:pPr>
    <w:rPr>
      <w:b/>
      <w:sz w:val="24"/>
    </w:rPr>
  </w:style>
  <w:style w:type="paragraph" w:styleId="ListContinue2">
    <w:name w:val="List Continue 2"/>
    <w:basedOn w:val="Normal"/>
    <w:semiHidden/>
    <w:rsid w:val="007E43C4"/>
    <w:pPr>
      <w:ind w:left="566"/>
    </w:pPr>
    <w:rPr>
      <w:b/>
      <w:sz w:val="24"/>
    </w:rPr>
  </w:style>
  <w:style w:type="paragraph" w:styleId="ListContinue3">
    <w:name w:val="List Continue 3"/>
    <w:basedOn w:val="Normal"/>
    <w:semiHidden/>
    <w:rsid w:val="007E43C4"/>
    <w:pPr>
      <w:ind w:left="849"/>
    </w:pPr>
    <w:rPr>
      <w:b/>
      <w:sz w:val="24"/>
    </w:rPr>
  </w:style>
  <w:style w:type="paragraph" w:styleId="ListContinue4">
    <w:name w:val="List Continue 4"/>
    <w:basedOn w:val="Normal"/>
    <w:semiHidden/>
    <w:rsid w:val="007E43C4"/>
    <w:pPr>
      <w:ind w:left="1132"/>
    </w:pPr>
    <w:rPr>
      <w:b/>
      <w:sz w:val="24"/>
    </w:rPr>
  </w:style>
  <w:style w:type="paragraph" w:styleId="ListContinue5">
    <w:name w:val="List Continue 5"/>
    <w:basedOn w:val="Normal"/>
    <w:semiHidden/>
    <w:rsid w:val="007E43C4"/>
    <w:pPr>
      <w:ind w:left="1415"/>
    </w:pPr>
    <w:rPr>
      <w:b/>
      <w:sz w:val="24"/>
    </w:rPr>
  </w:style>
  <w:style w:type="paragraph" w:styleId="ListNumber">
    <w:name w:val="List Number"/>
    <w:basedOn w:val="Normal"/>
    <w:semiHidden/>
    <w:rsid w:val="00695120"/>
    <w:pPr>
      <w:numPr>
        <w:numId w:val="2"/>
      </w:numPr>
    </w:pPr>
  </w:style>
  <w:style w:type="paragraph" w:styleId="ListNumber2">
    <w:name w:val="List Number 2"/>
    <w:basedOn w:val="Normal"/>
    <w:semiHidden/>
    <w:rsid w:val="007E43C4"/>
    <w:pPr>
      <w:numPr>
        <w:numId w:val="12"/>
      </w:numPr>
    </w:pPr>
    <w:rPr>
      <w:b/>
      <w:sz w:val="24"/>
    </w:rPr>
  </w:style>
  <w:style w:type="paragraph" w:styleId="ListNumber3">
    <w:name w:val="List Number 3"/>
    <w:basedOn w:val="Normal"/>
    <w:semiHidden/>
    <w:rsid w:val="007E43C4"/>
    <w:pPr>
      <w:numPr>
        <w:numId w:val="13"/>
      </w:numPr>
    </w:pPr>
    <w:rPr>
      <w:b/>
      <w:sz w:val="24"/>
    </w:rPr>
  </w:style>
  <w:style w:type="paragraph" w:styleId="ListNumber4">
    <w:name w:val="List Number 4"/>
    <w:basedOn w:val="Normal"/>
    <w:semiHidden/>
    <w:rsid w:val="007E43C4"/>
    <w:pPr>
      <w:numPr>
        <w:numId w:val="14"/>
      </w:numPr>
    </w:pPr>
    <w:rPr>
      <w:b/>
      <w:sz w:val="24"/>
    </w:rPr>
  </w:style>
  <w:style w:type="paragraph" w:styleId="ListNumber5">
    <w:name w:val="List Number 5"/>
    <w:basedOn w:val="Normal"/>
    <w:semiHidden/>
    <w:rsid w:val="007E43C4"/>
    <w:pPr>
      <w:numPr>
        <w:numId w:val="15"/>
      </w:numPr>
    </w:pPr>
    <w:rPr>
      <w:b/>
      <w:sz w:val="24"/>
    </w:rPr>
  </w:style>
  <w:style w:type="paragraph" w:styleId="MessageHeader">
    <w:name w:val="Message Header"/>
    <w:basedOn w:val="Normal"/>
    <w:semiHidden/>
    <w:rsid w:val="007E43C4"/>
    <w:pPr>
      <w:pBdr>
        <w:top w:val="single" w:sz="6" w:space="1" w:color="auto"/>
        <w:left w:val="single" w:sz="6" w:space="1" w:color="auto"/>
        <w:bottom w:val="single" w:sz="6" w:space="1" w:color="auto"/>
        <w:right w:val="single" w:sz="6" w:space="1" w:color="auto"/>
      </w:pBdr>
      <w:shd w:val="pct20" w:color="auto" w:fill="auto"/>
      <w:ind w:left="1134" w:hanging="1134"/>
    </w:pPr>
    <w:rPr>
      <w:b/>
      <w:sz w:val="24"/>
    </w:rPr>
  </w:style>
  <w:style w:type="paragraph" w:styleId="NormalWeb">
    <w:name w:val="Normal (Web)"/>
    <w:basedOn w:val="Normal"/>
    <w:semiHidden/>
    <w:rsid w:val="007E43C4"/>
    <w:rPr>
      <w:rFonts w:ascii="Times New Roman" w:hAnsi="Times New Roman" w:cs="Times New Roman"/>
    </w:rPr>
  </w:style>
  <w:style w:type="paragraph" w:styleId="NormalIndent">
    <w:name w:val="Normal Indent"/>
    <w:basedOn w:val="Normal"/>
    <w:semiHidden/>
    <w:rsid w:val="007E43C4"/>
    <w:pPr>
      <w:ind w:left="720"/>
    </w:pPr>
  </w:style>
  <w:style w:type="paragraph" w:styleId="NoteHeading">
    <w:name w:val="Note Heading"/>
    <w:basedOn w:val="Normal"/>
    <w:next w:val="Normal"/>
    <w:semiHidden/>
    <w:rsid w:val="007E43C4"/>
  </w:style>
  <w:style w:type="character" w:styleId="PageNumber">
    <w:name w:val="page number"/>
    <w:basedOn w:val="DefaultParagraphFont"/>
    <w:semiHidden/>
    <w:rsid w:val="007E43C4"/>
  </w:style>
  <w:style w:type="paragraph" w:styleId="PlainText">
    <w:name w:val="Plain Text"/>
    <w:basedOn w:val="Normal"/>
    <w:semiHidden/>
    <w:rsid w:val="007E43C4"/>
    <w:rPr>
      <w:rFonts w:ascii="Courier New" w:hAnsi="Courier New" w:cs="Courier New"/>
      <w:sz w:val="20"/>
      <w:szCs w:val="20"/>
    </w:rPr>
  </w:style>
  <w:style w:type="paragraph" w:styleId="Salutation">
    <w:name w:val="Salutation"/>
    <w:basedOn w:val="Normal"/>
    <w:next w:val="Normal"/>
    <w:semiHidden/>
    <w:rsid w:val="007E43C4"/>
  </w:style>
  <w:style w:type="paragraph" w:styleId="Signature">
    <w:name w:val="Signature"/>
    <w:basedOn w:val="Normal"/>
    <w:semiHidden/>
    <w:rsid w:val="007E43C4"/>
    <w:pPr>
      <w:ind w:left="4252"/>
    </w:pPr>
  </w:style>
  <w:style w:type="character" w:styleId="Strong">
    <w:name w:val="Strong"/>
    <w:basedOn w:val="DefaultParagraphFont"/>
    <w:uiPriority w:val="22"/>
    <w:qFormat/>
    <w:rsid w:val="00C37737"/>
    <w:rPr>
      <w:b/>
      <w:bCs/>
    </w:rPr>
  </w:style>
  <w:style w:type="paragraph" w:styleId="Subtitle">
    <w:name w:val="Subtitle"/>
    <w:basedOn w:val="Normal"/>
    <w:next w:val="Normal"/>
    <w:link w:val="SubtitleChar"/>
    <w:uiPriority w:val="11"/>
    <w:qFormat/>
    <w:rsid w:val="00C37737"/>
    <w:pPr>
      <w:numPr>
        <w:ilvl w:val="1"/>
      </w:numPr>
    </w:pPr>
    <w:rPr>
      <w:rFonts w:asciiTheme="majorHAnsi" w:eastAsiaTheme="majorEastAsia" w:hAnsiTheme="majorHAnsi" w:cstheme="majorBidi"/>
      <w:i/>
      <w:iCs/>
      <w:color w:val="4F81BD" w:themeColor="accent1"/>
      <w:spacing w:val="15"/>
      <w:sz w:val="24"/>
      <w:szCs w:val="24"/>
    </w:rPr>
  </w:style>
  <w:style w:type="table" w:styleId="Table3Deffects1">
    <w:name w:val="Table 3D effects 1"/>
    <w:basedOn w:val="TableNormal"/>
    <w:semiHidden/>
    <w:rsid w:val="007E43C4"/>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7E43C4"/>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7E43C4"/>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rsid w:val="007E43C4"/>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7E43C4"/>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7E43C4"/>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rsid w:val="007E43C4"/>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7E43C4"/>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7E43C4"/>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7E43C4"/>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7E43C4"/>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7E43C4"/>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7E43C4"/>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7E43C4"/>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7E43C4"/>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rsid w:val="007E43C4"/>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7E43C4"/>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rsid w:val="007E43C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rsid w:val="007E43C4"/>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7E43C4"/>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7E43C4"/>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7E43C4"/>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7E43C4"/>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7E43C4"/>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7E43C4"/>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7E43C4"/>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7E43C4"/>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7E43C4"/>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7E43C4"/>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7E43C4"/>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7E43C4"/>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7E43C4"/>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7E43C4"/>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7E43C4"/>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rsid w:val="007E43C4"/>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rsid w:val="007E43C4"/>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7E43C4"/>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7E43C4"/>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7E43C4"/>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7E43C4"/>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rsid w:val="007E43C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rsid w:val="007E43C4"/>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7E43C4"/>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7E43C4"/>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uiPriority w:val="10"/>
    <w:qFormat/>
    <w:rsid w:val="007E43C4"/>
    <w:pPr>
      <w:spacing w:after="0" w:line="240" w:lineRule="auto"/>
      <w:contextualSpacing/>
    </w:pPr>
    <w:rPr>
      <w:rFonts w:asciiTheme="majorHAnsi" w:eastAsiaTheme="majorEastAsia" w:hAnsiTheme="majorHAnsi" w:cstheme="majorBidi"/>
      <w:spacing w:val="-10"/>
      <w:kern w:val="28"/>
      <w:sz w:val="56"/>
      <w:szCs w:val="56"/>
    </w:rPr>
  </w:style>
  <w:style w:type="paragraph" w:customStyle="1" w:styleId="Bodytext2dotpoint">
    <w:name w:val="Body text 2 dot point"/>
    <w:basedOn w:val="BodyText"/>
    <w:autoRedefine/>
    <w:semiHidden/>
    <w:rsid w:val="007E43C4"/>
    <w:pPr>
      <w:numPr>
        <w:numId w:val="6"/>
      </w:numPr>
    </w:pPr>
  </w:style>
  <w:style w:type="paragraph" w:customStyle="1" w:styleId="bulletform">
    <w:name w:val="bullet_form"/>
    <w:basedOn w:val="Normal"/>
    <w:semiHidden/>
    <w:rsid w:val="007E43C4"/>
    <w:pPr>
      <w:numPr>
        <w:numId w:val="7"/>
      </w:numPr>
    </w:pPr>
    <w:rPr>
      <w:b/>
      <w:sz w:val="24"/>
    </w:rPr>
  </w:style>
  <w:style w:type="paragraph" w:customStyle="1" w:styleId="CommsDocHeader">
    <w:name w:val="CommsDocHeader"/>
    <w:basedOn w:val="Normal"/>
    <w:autoRedefine/>
    <w:semiHidden/>
    <w:rsid w:val="007E43C4"/>
    <w:pPr>
      <w:tabs>
        <w:tab w:val="left" w:pos="680"/>
      </w:tabs>
    </w:pPr>
    <w:rPr>
      <w:b/>
      <w:bCs/>
      <w:sz w:val="40"/>
    </w:rPr>
  </w:style>
  <w:style w:type="paragraph" w:customStyle="1" w:styleId="CoverDate">
    <w:name w:val="CoverDate"/>
    <w:basedOn w:val="BodyText"/>
    <w:autoRedefine/>
    <w:semiHidden/>
    <w:rsid w:val="007E43C4"/>
    <w:pPr>
      <w:jc w:val="right"/>
    </w:pPr>
    <w:rPr>
      <w:rFonts w:ascii="GillSans" w:hAnsi="GillSans"/>
      <w:sz w:val="28"/>
    </w:rPr>
  </w:style>
  <w:style w:type="character" w:styleId="Hyperlink">
    <w:name w:val="Hyperlink"/>
    <w:rsid w:val="007E43C4"/>
    <w:rPr>
      <w:color w:val="0000FF"/>
      <w:u w:val="single"/>
    </w:rPr>
  </w:style>
  <w:style w:type="paragraph" w:customStyle="1" w:styleId="NotHeading4">
    <w:name w:val="Not Heading 4"/>
    <w:basedOn w:val="Heading4"/>
    <w:next w:val="Normal"/>
    <w:autoRedefine/>
    <w:semiHidden/>
    <w:rsid w:val="007E43C4"/>
    <w:pPr>
      <w:overflowPunct w:val="0"/>
      <w:autoSpaceDE w:val="0"/>
      <w:autoSpaceDN w:val="0"/>
      <w:adjustRightInd w:val="0"/>
      <w:spacing w:before="400" w:after="160" w:line="320" w:lineRule="atLeast"/>
      <w:ind w:left="1134" w:hanging="708"/>
      <w:textAlignment w:val="baseline"/>
      <w:outlineLvl w:val="9"/>
    </w:pPr>
    <w:rPr>
      <w:rFonts w:ascii="Helvetica" w:hAnsi="Helvetica"/>
      <w:i w:val="0"/>
      <w:kern w:val="24"/>
      <w:sz w:val="22"/>
    </w:rPr>
  </w:style>
  <w:style w:type="paragraph" w:customStyle="1" w:styleId="Tableheader">
    <w:name w:val="Table header"/>
    <w:basedOn w:val="Heading3"/>
    <w:autoRedefine/>
    <w:semiHidden/>
    <w:rsid w:val="007E43C4"/>
    <w:pPr>
      <w:spacing w:before="40" w:after="40"/>
    </w:pPr>
    <w:rPr>
      <w:b w:val="0"/>
      <w:bCs w:val="0"/>
    </w:rPr>
  </w:style>
  <w:style w:type="paragraph" w:customStyle="1" w:styleId="TasGovHeader">
    <w:name w:val="TasGov Header"/>
    <w:basedOn w:val="Normal"/>
    <w:autoRedefine/>
    <w:semiHidden/>
    <w:rsid w:val="007E43C4"/>
    <w:pPr>
      <w:tabs>
        <w:tab w:val="left" w:pos="680"/>
      </w:tabs>
    </w:pPr>
    <w:rPr>
      <w:b/>
      <w:sz w:val="56"/>
    </w:rPr>
  </w:style>
  <w:style w:type="paragraph" w:customStyle="1" w:styleId="TasGovSubhead">
    <w:name w:val="TasGov Subhead"/>
    <w:basedOn w:val="TasGovHeader"/>
    <w:autoRedefine/>
    <w:semiHidden/>
    <w:rsid w:val="007E43C4"/>
    <w:pPr>
      <w:jc w:val="right"/>
    </w:pPr>
    <w:rPr>
      <w:sz w:val="40"/>
    </w:rPr>
  </w:style>
  <w:style w:type="paragraph" w:styleId="TOC1">
    <w:name w:val="toc 1"/>
    <w:basedOn w:val="BodyText"/>
    <w:next w:val="TOC2"/>
    <w:autoRedefine/>
    <w:semiHidden/>
    <w:rsid w:val="007E43C4"/>
    <w:rPr>
      <w:bCs/>
    </w:rPr>
  </w:style>
  <w:style w:type="paragraph" w:styleId="TOC2">
    <w:name w:val="toc 2"/>
    <w:basedOn w:val="Normal"/>
    <w:autoRedefine/>
    <w:semiHidden/>
    <w:rsid w:val="007E43C4"/>
    <w:pPr>
      <w:ind w:left="567"/>
    </w:pPr>
    <w:rPr>
      <w:iCs/>
    </w:rPr>
  </w:style>
  <w:style w:type="character" w:customStyle="1" w:styleId="apple-converted-space">
    <w:name w:val="apple-converted-space"/>
    <w:basedOn w:val="DefaultParagraphFont"/>
    <w:rsid w:val="00E411AE"/>
  </w:style>
  <w:style w:type="paragraph" w:customStyle="1" w:styleId="Default">
    <w:name w:val="Default"/>
    <w:rsid w:val="00E411AE"/>
    <w:pPr>
      <w:autoSpaceDE w:val="0"/>
      <w:autoSpaceDN w:val="0"/>
      <w:adjustRightInd w:val="0"/>
    </w:pPr>
    <w:rPr>
      <w:rFonts w:ascii="GillSans" w:hAnsi="GillSans" w:cs="GillSans"/>
      <w:color w:val="000000"/>
      <w:sz w:val="24"/>
      <w:szCs w:val="24"/>
    </w:rPr>
  </w:style>
  <w:style w:type="paragraph" w:customStyle="1" w:styleId="Pa1">
    <w:name w:val="Pa1"/>
    <w:basedOn w:val="Default"/>
    <w:next w:val="Default"/>
    <w:rsid w:val="00E411AE"/>
    <w:pPr>
      <w:spacing w:line="321" w:lineRule="atLeast"/>
    </w:pPr>
    <w:rPr>
      <w:rFonts w:cs="Times New Roman"/>
      <w:color w:val="auto"/>
    </w:rPr>
  </w:style>
  <w:style w:type="paragraph" w:customStyle="1" w:styleId="Pa2">
    <w:name w:val="Pa2"/>
    <w:basedOn w:val="Default"/>
    <w:next w:val="Default"/>
    <w:rsid w:val="00E411AE"/>
    <w:pPr>
      <w:spacing w:line="221" w:lineRule="atLeast"/>
    </w:pPr>
    <w:rPr>
      <w:rFonts w:cs="Times New Roman"/>
      <w:color w:val="auto"/>
    </w:rPr>
  </w:style>
  <w:style w:type="character" w:customStyle="1" w:styleId="A2">
    <w:name w:val="A2"/>
    <w:rsid w:val="00E411AE"/>
    <w:rPr>
      <w:rFonts w:ascii="Zapf Dingbats ITC" w:hAnsi="Zapf Dingbats ITC" w:cs="Zapf Dingbats ITC"/>
      <w:color w:val="000000"/>
      <w:sz w:val="14"/>
      <w:szCs w:val="14"/>
    </w:rPr>
  </w:style>
  <w:style w:type="paragraph" w:customStyle="1" w:styleId="Pa5">
    <w:name w:val="Pa5"/>
    <w:basedOn w:val="Default"/>
    <w:next w:val="Default"/>
    <w:rsid w:val="00E411AE"/>
    <w:pPr>
      <w:spacing w:line="221" w:lineRule="atLeast"/>
    </w:pPr>
    <w:rPr>
      <w:rFonts w:cs="Times New Roman"/>
      <w:color w:val="auto"/>
    </w:rPr>
  </w:style>
  <w:style w:type="paragraph" w:customStyle="1" w:styleId="Pa8">
    <w:name w:val="Pa8"/>
    <w:basedOn w:val="Default"/>
    <w:next w:val="Default"/>
    <w:rsid w:val="00E411AE"/>
    <w:pPr>
      <w:spacing w:line="321" w:lineRule="atLeast"/>
    </w:pPr>
    <w:rPr>
      <w:rFonts w:cs="Times New Roman"/>
      <w:color w:val="auto"/>
    </w:rPr>
  </w:style>
  <w:style w:type="paragraph" w:customStyle="1" w:styleId="Pa11">
    <w:name w:val="Pa11"/>
    <w:basedOn w:val="Default"/>
    <w:next w:val="Default"/>
    <w:rsid w:val="00E411AE"/>
    <w:pPr>
      <w:spacing w:line="221" w:lineRule="atLeast"/>
    </w:pPr>
    <w:rPr>
      <w:rFonts w:cs="Times New Roman"/>
      <w:color w:val="auto"/>
    </w:rPr>
  </w:style>
  <w:style w:type="paragraph" w:customStyle="1" w:styleId="Pa12">
    <w:name w:val="Pa12"/>
    <w:basedOn w:val="Default"/>
    <w:next w:val="Default"/>
    <w:rsid w:val="00E411AE"/>
    <w:pPr>
      <w:spacing w:line="221" w:lineRule="atLeast"/>
    </w:pPr>
    <w:rPr>
      <w:rFonts w:cs="Times New Roman"/>
      <w:color w:val="auto"/>
    </w:rPr>
  </w:style>
  <w:style w:type="paragraph" w:customStyle="1" w:styleId="Pa19">
    <w:name w:val="Pa19"/>
    <w:basedOn w:val="Default"/>
    <w:next w:val="Default"/>
    <w:rsid w:val="00E411AE"/>
    <w:pPr>
      <w:spacing w:line="241" w:lineRule="atLeast"/>
    </w:pPr>
    <w:rPr>
      <w:rFonts w:cs="Times New Roman"/>
      <w:color w:val="auto"/>
    </w:rPr>
  </w:style>
  <w:style w:type="character" w:customStyle="1" w:styleId="A7">
    <w:name w:val="A7"/>
    <w:rsid w:val="00E411AE"/>
    <w:rPr>
      <w:rFonts w:ascii="AGaramond" w:hAnsi="AGaramond" w:cs="AGaramond"/>
      <w:i/>
      <w:iCs/>
      <w:color w:val="000000"/>
    </w:rPr>
  </w:style>
  <w:style w:type="character" w:customStyle="1" w:styleId="A6">
    <w:name w:val="A6"/>
    <w:rsid w:val="00E411AE"/>
    <w:rPr>
      <w:rFonts w:cs="GillSans Light"/>
      <w:color w:val="000000"/>
      <w:sz w:val="18"/>
      <w:szCs w:val="18"/>
    </w:rPr>
  </w:style>
  <w:style w:type="character" w:customStyle="1" w:styleId="A3">
    <w:name w:val="A3"/>
    <w:rsid w:val="00301574"/>
    <w:rPr>
      <w:rFonts w:cs="GillSans"/>
      <w:color w:val="000000"/>
      <w:sz w:val="22"/>
      <w:szCs w:val="22"/>
    </w:rPr>
  </w:style>
  <w:style w:type="paragraph" w:styleId="BalloonText">
    <w:name w:val="Balloon Text"/>
    <w:basedOn w:val="Normal"/>
    <w:link w:val="BalloonTextChar"/>
    <w:rsid w:val="00922DB6"/>
    <w:pPr>
      <w:spacing w:after="0"/>
    </w:pPr>
    <w:rPr>
      <w:rFonts w:ascii="Tahoma" w:hAnsi="Tahoma" w:cs="Tahoma"/>
      <w:sz w:val="16"/>
      <w:szCs w:val="16"/>
    </w:rPr>
  </w:style>
  <w:style w:type="character" w:customStyle="1" w:styleId="BalloonTextChar">
    <w:name w:val="Balloon Text Char"/>
    <w:link w:val="BalloonText"/>
    <w:rsid w:val="00922DB6"/>
    <w:rPr>
      <w:rFonts w:ascii="Tahoma" w:hAnsi="Tahoma" w:cs="Tahoma"/>
      <w:sz w:val="16"/>
      <w:szCs w:val="16"/>
      <w:lang w:val="en-US" w:eastAsia="en-US"/>
    </w:rPr>
  </w:style>
  <w:style w:type="paragraph" w:styleId="ListParagraph">
    <w:name w:val="List Paragraph"/>
    <w:basedOn w:val="Normal"/>
    <w:uiPriority w:val="34"/>
    <w:qFormat/>
    <w:rsid w:val="00C37737"/>
    <w:pPr>
      <w:ind w:left="720"/>
      <w:contextualSpacing/>
    </w:pPr>
  </w:style>
  <w:style w:type="paragraph" w:customStyle="1" w:styleId="Indent">
    <w:name w:val="Indent"/>
    <w:basedOn w:val="Normal"/>
    <w:next w:val="Normal"/>
    <w:uiPriority w:val="99"/>
    <w:rsid w:val="00CB3EE4"/>
    <w:pPr>
      <w:tabs>
        <w:tab w:val="left" w:pos="340"/>
      </w:tabs>
      <w:suppressAutoHyphens/>
      <w:autoSpaceDE w:val="0"/>
      <w:autoSpaceDN w:val="0"/>
      <w:adjustRightInd w:val="0"/>
      <w:spacing w:after="113" w:line="270" w:lineRule="atLeast"/>
      <w:ind w:left="340" w:hanging="340"/>
      <w:textAlignment w:val="baseline"/>
    </w:pPr>
    <w:rPr>
      <w:rFonts w:ascii="Adobe Garamond Pro" w:hAnsi="Adobe Garamond Pro" w:cs="Adobe Garamond Pro"/>
      <w:color w:val="003D7D"/>
      <w:lang w:val="en-GB"/>
    </w:rPr>
  </w:style>
  <w:style w:type="paragraph" w:customStyle="1" w:styleId="ARbodytext">
    <w:name w:val="AR body text"/>
    <w:basedOn w:val="Normal"/>
    <w:qFormat/>
    <w:rsid w:val="00C37737"/>
    <w:pPr>
      <w:spacing w:after="0"/>
    </w:pPr>
    <w:rPr>
      <w:rFonts w:ascii="Arial" w:hAnsi="Arial"/>
      <w:sz w:val="20"/>
    </w:rPr>
  </w:style>
  <w:style w:type="character" w:customStyle="1" w:styleId="Heading1Char">
    <w:name w:val="Heading 1 Char"/>
    <w:basedOn w:val="DefaultParagraphFont"/>
    <w:link w:val="Heading1"/>
    <w:uiPriority w:val="9"/>
    <w:rsid w:val="00C37737"/>
    <w:rPr>
      <w:rFonts w:ascii="Arial" w:eastAsiaTheme="majorEastAsia" w:hAnsi="Arial" w:cstheme="majorBidi"/>
      <w:b/>
      <w:bCs/>
      <w:sz w:val="36"/>
      <w:szCs w:val="28"/>
    </w:rPr>
  </w:style>
  <w:style w:type="character" w:customStyle="1" w:styleId="Heading2Char">
    <w:name w:val="Heading 2 Char"/>
    <w:basedOn w:val="DefaultParagraphFont"/>
    <w:link w:val="Heading2"/>
    <w:uiPriority w:val="9"/>
    <w:rsid w:val="00C37737"/>
    <w:rPr>
      <w:rFonts w:ascii="Arial" w:eastAsiaTheme="majorEastAsia" w:hAnsi="Arial" w:cstheme="majorBidi"/>
      <w:b/>
      <w:bCs/>
      <w:color w:val="000000" w:themeColor="text1"/>
      <w:sz w:val="24"/>
      <w:szCs w:val="26"/>
    </w:rPr>
  </w:style>
  <w:style w:type="character" w:customStyle="1" w:styleId="Heading3Char">
    <w:name w:val="Heading 3 Char"/>
    <w:basedOn w:val="DefaultParagraphFont"/>
    <w:link w:val="Heading3"/>
    <w:uiPriority w:val="9"/>
    <w:rsid w:val="00C37737"/>
    <w:rPr>
      <w:rFonts w:ascii="Arial" w:eastAsiaTheme="majorEastAsia" w:hAnsi="Arial" w:cstheme="majorBidi"/>
      <w:b/>
      <w:bCs/>
      <w:color w:val="000000" w:themeColor="text1"/>
    </w:rPr>
  </w:style>
  <w:style w:type="character" w:customStyle="1" w:styleId="Heading4Char">
    <w:name w:val="Heading 4 Char"/>
    <w:basedOn w:val="DefaultParagraphFont"/>
    <w:link w:val="Heading4"/>
    <w:uiPriority w:val="9"/>
    <w:rsid w:val="00C37737"/>
    <w:rPr>
      <w:rFonts w:ascii="Arial" w:eastAsiaTheme="majorEastAsia" w:hAnsi="Arial" w:cstheme="majorBidi"/>
      <w:b/>
      <w:bCs/>
      <w:i/>
      <w:iCs/>
      <w:color w:val="000000" w:themeColor="text1"/>
      <w:sz w:val="20"/>
    </w:rPr>
  </w:style>
  <w:style w:type="character" w:customStyle="1" w:styleId="Heading5Char">
    <w:name w:val="Heading 5 Char"/>
    <w:basedOn w:val="DefaultParagraphFont"/>
    <w:link w:val="Heading5"/>
    <w:uiPriority w:val="9"/>
    <w:rsid w:val="00C37737"/>
    <w:rPr>
      <w:rFonts w:asciiTheme="majorHAnsi" w:eastAsiaTheme="majorEastAsia" w:hAnsiTheme="majorHAnsi" w:cstheme="majorBidi"/>
      <w:color w:val="243F60" w:themeColor="accent1" w:themeShade="7F"/>
    </w:rPr>
  </w:style>
  <w:style w:type="character" w:customStyle="1" w:styleId="SubtitleChar">
    <w:name w:val="Subtitle Char"/>
    <w:basedOn w:val="DefaultParagraphFont"/>
    <w:link w:val="Subtitle"/>
    <w:uiPriority w:val="11"/>
    <w:rsid w:val="00C37737"/>
    <w:rPr>
      <w:rFonts w:asciiTheme="majorHAnsi" w:eastAsiaTheme="majorEastAsia" w:hAnsiTheme="majorHAnsi" w:cstheme="majorBidi"/>
      <w:i/>
      <w:iCs/>
      <w:color w:val="4F81BD" w:themeColor="accent1"/>
      <w:spacing w:val="15"/>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08436078">
      <w:bodyDiv w:val="1"/>
      <w:marLeft w:val="0"/>
      <w:marRight w:val="0"/>
      <w:marTop w:val="0"/>
      <w:marBottom w:val="0"/>
      <w:divBdr>
        <w:top w:val="none" w:sz="0" w:space="0" w:color="auto"/>
        <w:left w:val="none" w:sz="0" w:space="0" w:color="auto"/>
        <w:bottom w:val="none" w:sz="0" w:space="0" w:color="auto"/>
        <w:right w:val="none" w:sz="0" w:space="0" w:color="auto"/>
      </w:divBdr>
      <w:divsChild>
        <w:div w:id="30724709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06F8869-ACF0-417A-90DE-CF18E5D997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823</Words>
  <Characters>4696</Characters>
  <Application>Microsoft Office Word</Application>
  <DocSecurity>0</DocSecurity>
  <Lines>39</Lines>
  <Paragraphs>11</Paragraphs>
  <ScaleCrop>false</ScaleCrop>
  <Company/>
  <LinksUpToDate>false</LinksUpToDate>
  <CharactersWithSpaces>5508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keywords/>
  <cp:lastModifiedBy/>
  <cp:revision>1</cp:revision>
  <dcterms:created xsi:type="dcterms:W3CDTF">2021-08-30T12:22:00Z</dcterms:created>
  <dcterms:modified xsi:type="dcterms:W3CDTF">2021-08-30T12:22:00Z</dcterms:modified>
</cp:coreProperties>
</file>