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C8791A0" w14:textId="77777777" w:rsidR="00743380" w:rsidRDefault="00743380" w:rsidP="00F33852">
      <w:pPr>
        <w:pStyle w:val="Heading1"/>
      </w:pPr>
      <w:bookmarkStart w:id="0" w:name="_Toc80823884"/>
      <w:r>
        <w:rPr>
          <w:noProof/>
          <w:lang w:eastAsia="en-AU"/>
        </w:rPr>
        <w:drawing>
          <wp:inline distT="0" distB="0" distL="0" distR="0" wp14:anchorId="44CB5389" wp14:editId="47508C6E">
            <wp:extent cx="3603600" cy="795600"/>
            <wp:effectExtent l="0" t="0" r="0" b="508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CFCOA_StackedLONG_Blk.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3603600" cy="795600"/>
                    </a:xfrm>
                    <a:prstGeom prst="rect">
                      <a:avLst/>
                    </a:prstGeom>
                  </pic:spPr>
                </pic:pic>
              </a:graphicData>
            </a:graphic>
          </wp:inline>
        </w:drawing>
      </w:r>
      <w:bookmarkEnd w:id="0"/>
    </w:p>
    <w:p w14:paraId="47EA646B" w14:textId="657AE31F" w:rsidR="00823EB4" w:rsidRDefault="00591389" w:rsidP="00823EB4">
      <w:pPr>
        <w:pStyle w:val="Heading1"/>
      </w:pPr>
      <w:bookmarkStart w:id="1" w:name="_Toc80823885"/>
      <w:r>
        <w:t>general federal law proceedings</w:t>
      </w:r>
      <w:r w:rsidR="00D30E3D">
        <w:t xml:space="preserve"> (</w:t>
      </w:r>
      <w:r>
        <w:t>GENFED-CPD</w:t>
      </w:r>
      <w:r w:rsidR="00D30E3D">
        <w:t>)</w:t>
      </w:r>
      <w:bookmarkEnd w:id="1"/>
    </w:p>
    <w:p w14:paraId="061B26AE" w14:textId="1F9C4FDA" w:rsidR="00823EB4" w:rsidRDefault="00591389" w:rsidP="00823EB4">
      <w:pPr>
        <w:jc w:val="center"/>
        <w:rPr>
          <w:sz w:val="36"/>
          <w:szCs w:val="36"/>
        </w:rPr>
      </w:pPr>
      <w:r>
        <w:rPr>
          <w:sz w:val="36"/>
          <w:szCs w:val="36"/>
        </w:rPr>
        <w:t>Central</w:t>
      </w:r>
      <w:r w:rsidR="00D30E3D">
        <w:rPr>
          <w:sz w:val="36"/>
          <w:szCs w:val="36"/>
        </w:rPr>
        <w:t xml:space="preserve"> Practice Direction</w:t>
      </w:r>
    </w:p>
    <w:sdt>
      <w:sdtPr>
        <w:id w:val="1267962562"/>
        <w:docPartObj>
          <w:docPartGallery w:val="Table of Contents"/>
          <w:docPartUnique/>
        </w:docPartObj>
      </w:sdtPr>
      <w:sdtEndPr>
        <w:rPr>
          <w:b/>
          <w:bCs/>
          <w:noProof/>
        </w:rPr>
      </w:sdtEndPr>
      <w:sdtContent>
        <w:p w14:paraId="7666E610" w14:textId="36F27FFA" w:rsidR="00003F92" w:rsidRDefault="00003F92" w:rsidP="00003F92">
          <w:pPr>
            <w:spacing w:before="0" w:after="0"/>
            <w:rPr>
              <w:noProof/>
            </w:rPr>
          </w:pPr>
          <w:r>
            <w:fldChar w:fldCharType="begin"/>
          </w:r>
          <w:r>
            <w:instrText xml:space="preserve"> TOC \o "1-3" \h \z \u </w:instrText>
          </w:r>
          <w:r>
            <w:fldChar w:fldCharType="separate"/>
          </w:r>
        </w:p>
        <w:p w14:paraId="6494F8A9" w14:textId="1D93B200" w:rsidR="00003F92" w:rsidRDefault="00DC61CF" w:rsidP="00003F92">
          <w:pPr>
            <w:pStyle w:val="TOC2"/>
            <w:spacing w:before="0" w:after="0"/>
            <w:rPr>
              <w:noProof/>
            </w:rPr>
          </w:pPr>
          <w:hyperlink w:anchor="_Toc80823886" w:history="1">
            <w:r w:rsidR="00003F92" w:rsidRPr="00003F92">
              <w:rPr>
                <w:rStyle w:val="Hyperlink"/>
                <w:b/>
                <w:noProof/>
              </w:rPr>
              <w:t>1.</w:t>
            </w:r>
            <w:r w:rsidR="00003F92" w:rsidRPr="00003F92">
              <w:rPr>
                <w:b/>
                <w:noProof/>
              </w:rPr>
              <w:tab/>
            </w:r>
            <w:r w:rsidR="00003F92" w:rsidRPr="00003F92">
              <w:rPr>
                <w:rStyle w:val="Hyperlink"/>
                <w:b/>
                <w:noProof/>
              </w:rPr>
              <w:t>INTRODUCTION</w:t>
            </w:r>
            <w:r w:rsidR="00003F92">
              <w:rPr>
                <w:noProof/>
                <w:webHidden/>
              </w:rPr>
              <w:tab/>
            </w:r>
            <w:r w:rsidR="00003F92">
              <w:rPr>
                <w:noProof/>
                <w:webHidden/>
              </w:rPr>
              <w:fldChar w:fldCharType="begin"/>
            </w:r>
            <w:r w:rsidR="00003F92">
              <w:rPr>
                <w:noProof/>
                <w:webHidden/>
              </w:rPr>
              <w:instrText xml:space="preserve"> PAGEREF _Toc80823886 \h </w:instrText>
            </w:r>
            <w:r w:rsidR="00003F92">
              <w:rPr>
                <w:noProof/>
                <w:webHidden/>
              </w:rPr>
            </w:r>
            <w:r w:rsidR="00003F92">
              <w:rPr>
                <w:noProof/>
                <w:webHidden/>
              </w:rPr>
              <w:fldChar w:fldCharType="separate"/>
            </w:r>
            <w:r w:rsidR="00845B6B">
              <w:rPr>
                <w:noProof/>
                <w:webHidden/>
              </w:rPr>
              <w:t>2</w:t>
            </w:r>
            <w:r w:rsidR="00003F92">
              <w:rPr>
                <w:noProof/>
                <w:webHidden/>
              </w:rPr>
              <w:fldChar w:fldCharType="end"/>
            </w:r>
          </w:hyperlink>
        </w:p>
        <w:p w14:paraId="4214472F" w14:textId="63279D8F" w:rsidR="00003F92" w:rsidRDefault="00DC61CF" w:rsidP="00003F92">
          <w:pPr>
            <w:pStyle w:val="TOC2"/>
            <w:spacing w:before="0" w:after="0"/>
            <w:rPr>
              <w:noProof/>
            </w:rPr>
          </w:pPr>
          <w:hyperlink w:anchor="_Toc80823887" w:history="1">
            <w:r w:rsidR="00003F92" w:rsidRPr="00003F92">
              <w:rPr>
                <w:rStyle w:val="Hyperlink"/>
                <w:b/>
                <w:noProof/>
              </w:rPr>
              <w:t>2.</w:t>
            </w:r>
            <w:r w:rsidR="00003F92" w:rsidRPr="00003F92">
              <w:rPr>
                <w:b/>
                <w:noProof/>
              </w:rPr>
              <w:tab/>
            </w:r>
            <w:r w:rsidR="00003F92" w:rsidRPr="00003F92">
              <w:rPr>
                <w:rStyle w:val="Hyperlink"/>
                <w:b/>
                <w:noProof/>
              </w:rPr>
              <w:t>THE COURT AND THE REGISTRY</w:t>
            </w:r>
            <w:r w:rsidR="00003F92">
              <w:rPr>
                <w:noProof/>
                <w:webHidden/>
              </w:rPr>
              <w:tab/>
            </w:r>
            <w:r w:rsidR="00003F92">
              <w:rPr>
                <w:noProof/>
                <w:webHidden/>
              </w:rPr>
              <w:fldChar w:fldCharType="begin"/>
            </w:r>
            <w:r w:rsidR="00003F92">
              <w:rPr>
                <w:noProof/>
                <w:webHidden/>
              </w:rPr>
              <w:instrText xml:space="preserve"> PAGEREF _Toc80823887 \h </w:instrText>
            </w:r>
            <w:r w:rsidR="00003F92">
              <w:rPr>
                <w:noProof/>
                <w:webHidden/>
              </w:rPr>
            </w:r>
            <w:r w:rsidR="00003F92">
              <w:rPr>
                <w:noProof/>
                <w:webHidden/>
              </w:rPr>
              <w:fldChar w:fldCharType="separate"/>
            </w:r>
            <w:r w:rsidR="00845B6B">
              <w:rPr>
                <w:noProof/>
                <w:webHidden/>
              </w:rPr>
              <w:t>3</w:t>
            </w:r>
            <w:r w:rsidR="00003F92">
              <w:rPr>
                <w:noProof/>
                <w:webHidden/>
              </w:rPr>
              <w:fldChar w:fldCharType="end"/>
            </w:r>
          </w:hyperlink>
        </w:p>
        <w:p w14:paraId="1EFB9D1C" w14:textId="4BE98780" w:rsidR="00003F92" w:rsidRDefault="00DC61CF" w:rsidP="00003F92">
          <w:pPr>
            <w:pStyle w:val="TOC2"/>
            <w:spacing w:before="0" w:after="0"/>
            <w:rPr>
              <w:noProof/>
            </w:rPr>
          </w:pPr>
          <w:hyperlink w:anchor="_Toc80823888" w:history="1">
            <w:r w:rsidR="00003F92" w:rsidRPr="00003F92">
              <w:rPr>
                <w:rStyle w:val="Hyperlink"/>
                <w:b/>
                <w:noProof/>
              </w:rPr>
              <w:t>3.</w:t>
            </w:r>
            <w:r w:rsidR="00003F92" w:rsidRPr="00003F92">
              <w:rPr>
                <w:b/>
                <w:noProof/>
              </w:rPr>
              <w:tab/>
            </w:r>
            <w:r w:rsidR="00003F92" w:rsidRPr="00003F92">
              <w:rPr>
                <w:rStyle w:val="Hyperlink"/>
                <w:b/>
                <w:noProof/>
              </w:rPr>
              <w:t>OVERARCHING PURPOSE</w:t>
            </w:r>
            <w:r w:rsidR="00003F92">
              <w:rPr>
                <w:noProof/>
                <w:webHidden/>
              </w:rPr>
              <w:tab/>
            </w:r>
            <w:r w:rsidR="00003F92">
              <w:rPr>
                <w:noProof/>
                <w:webHidden/>
              </w:rPr>
              <w:fldChar w:fldCharType="begin"/>
            </w:r>
            <w:r w:rsidR="00003F92">
              <w:rPr>
                <w:noProof/>
                <w:webHidden/>
              </w:rPr>
              <w:instrText xml:space="preserve"> PAGEREF _Toc80823888 \h </w:instrText>
            </w:r>
            <w:r w:rsidR="00003F92">
              <w:rPr>
                <w:noProof/>
                <w:webHidden/>
              </w:rPr>
            </w:r>
            <w:r w:rsidR="00003F92">
              <w:rPr>
                <w:noProof/>
                <w:webHidden/>
              </w:rPr>
              <w:fldChar w:fldCharType="separate"/>
            </w:r>
            <w:r w:rsidR="00845B6B">
              <w:rPr>
                <w:noProof/>
                <w:webHidden/>
              </w:rPr>
              <w:t>3</w:t>
            </w:r>
            <w:r w:rsidR="00003F92">
              <w:rPr>
                <w:noProof/>
                <w:webHidden/>
              </w:rPr>
              <w:fldChar w:fldCharType="end"/>
            </w:r>
          </w:hyperlink>
        </w:p>
        <w:p w14:paraId="35C6F624" w14:textId="71AB2805" w:rsidR="00003F92" w:rsidRDefault="00DC61CF" w:rsidP="00003F92">
          <w:pPr>
            <w:pStyle w:val="TOC2"/>
            <w:spacing w:before="0" w:after="0"/>
            <w:rPr>
              <w:noProof/>
            </w:rPr>
          </w:pPr>
          <w:hyperlink w:anchor="_Toc80823889" w:history="1">
            <w:r w:rsidR="00003F92" w:rsidRPr="00003F92">
              <w:rPr>
                <w:rStyle w:val="Hyperlink"/>
                <w:b/>
                <w:noProof/>
              </w:rPr>
              <w:t>4.</w:t>
            </w:r>
            <w:r w:rsidR="00003F92" w:rsidRPr="00003F92">
              <w:rPr>
                <w:b/>
                <w:noProof/>
              </w:rPr>
              <w:tab/>
            </w:r>
            <w:r w:rsidR="00003F92" w:rsidRPr="00003F92">
              <w:rPr>
                <w:rStyle w:val="Hyperlink"/>
                <w:b/>
                <w:noProof/>
              </w:rPr>
              <w:t>TRANSFERRING A PROCEEDING</w:t>
            </w:r>
            <w:r w:rsidR="00003F92">
              <w:rPr>
                <w:noProof/>
                <w:webHidden/>
              </w:rPr>
              <w:tab/>
            </w:r>
            <w:r w:rsidR="00003F92">
              <w:rPr>
                <w:noProof/>
                <w:webHidden/>
              </w:rPr>
              <w:fldChar w:fldCharType="begin"/>
            </w:r>
            <w:r w:rsidR="00003F92">
              <w:rPr>
                <w:noProof/>
                <w:webHidden/>
              </w:rPr>
              <w:instrText xml:space="preserve"> PAGEREF _Toc80823889 \h </w:instrText>
            </w:r>
            <w:r w:rsidR="00003F92">
              <w:rPr>
                <w:noProof/>
                <w:webHidden/>
              </w:rPr>
            </w:r>
            <w:r w:rsidR="00003F92">
              <w:rPr>
                <w:noProof/>
                <w:webHidden/>
              </w:rPr>
              <w:fldChar w:fldCharType="separate"/>
            </w:r>
            <w:r w:rsidR="00845B6B">
              <w:rPr>
                <w:noProof/>
                <w:webHidden/>
              </w:rPr>
              <w:t>4</w:t>
            </w:r>
            <w:r w:rsidR="00003F92">
              <w:rPr>
                <w:noProof/>
                <w:webHidden/>
              </w:rPr>
              <w:fldChar w:fldCharType="end"/>
            </w:r>
          </w:hyperlink>
        </w:p>
        <w:p w14:paraId="2CDD9B0C" w14:textId="6D73D9C4" w:rsidR="00003F92" w:rsidRDefault="00DC61CF" w:rsidP="00003F92">
          <w:pPr>
            <w:pStyle w:val="TOC3"/>
            <w:spacing w:before="0" w:after="0"/>
            <w:rPr>
              <w:noProof/>
            </w:rPr>
          </w:pPr>
          <w:hyperlink w:anchor="_Toc80823890" w:history="1">
            <w:r w:rsidR="00003F92" w:rsidRPr="004B7754">
              <w:rPr>
                <w:rStyle w:val="Hyperlink"/>
                <w:noProof/>
              </w:rPr>
              <w:t>Change of registry</w:t>
            </w:r>
            <w:r w:rsidR="00003F92">
              <w:rPr>
                <w:noProof/>
                <w:webHidden/>
              </w:rPr>
              <w:tab/>
            </w:r>
            <w:r w:rsidR="00003F92">
              <w:rPr>
                <w:noProof/>
                <w:webHidden/>
              </w:rPr>
              <w:fldChar w:fldCharType="begin"/>
            </w:r>
            <w:r w:rsidR="00003F92">
              <w:rPr>
                <w:noProof/>
                <w:webHidden/>
              </w:rPr>
              <w:instrText xml:space="preserve"> PAGEREF _Toc80823890 \h </w:instrText>
            </w:r>
            <w:r w:rsidR="00003F92">
              <w:rPr>
                <w:noProof/>
                <w:webHidden/>
              </w:rPr>
            </w:r>
            <w:r w:rsidR="00003F92">
              <w:rPr>
                <w:noProof/>
                <w:webHidden/>
              </w:rPr>
              <w:fldChar w:fldCharType="separate"/>
            </w:r>
            <w:r w:rsidR="00845B6B">
              <w:rPr>
                <w:noProof/>
                <w:webHidden/>
              </w:rPr>
              <w:t>4</w:t>
            </w:r>
            <w:r w:rsidR="00003F92">
              <w:rPr>
                <w:noProof/>
                <w:webHidden/>
              </w:rPr>
              <w:fldChar w:fldCharType="end"/>
            </w:r>
          </w:hyperlink>
        </w:p>
        <w:p w14:paraId="4C91D847" w14:textId="1EA90F6E" w:rsidR="00003F92" w:rsidRDefault="00DC61CF" w:rsidP="00003F92">
          <w:pPr>
            <w:pStyle w:val="TOC3"/>
            <w:spacing w:before="0" w:after="0"/>
            <w:rPr>
              <w:noProof/>
            </w:rPr>
          </w:pPr>
          <w:hyperlink w:anchor="_Toc80823891" w:history="1">
            <w:r w:rsidR="00003F92" w:rsidRPr="004B7754">
              <w:rPr>
                <w:rStyle w:val="Hyperlink"/>
                <w:noProof/>
              </w:rPr>
              <w:t>Transfer to the Federal Court</w:t>
            </w:r>
            <w:r w:rsidR="00845B6B">
              <w:rPr>
                <w:rStyle w:val="Hyperlink"/>
                <w:noProof/>
              </w:rPr>
              <w:t xml:space="preserve"> of Australia</w:t>
            </w:r>
            <w:r w:rsidR="00003F92">
              <w:rPr>
                <w:noProof/>
                <w:webHidden/>
              </w:rPr>
              <w:tab/>
            </w:r>
            <w:r w:rsidR="00003F92">
              <w:rPr>
                <w:noProof/>
                <w:webHidden/>
              </w:rPr>
              <w:fldChar w:fldCharType="begin"/>
            </w:r>
            <w:r w:rsidR="00003F92">
              <w:rPr>
                <w:noProof/>
                <w:webHidden/>
              </w:rPr>
              <w:instrText xml:space="preserve"> PAGEREF _Toc80823891 \h </w:instrText>
            </w:r>
            <w:r w:rsidR="00003F92">
              <w:rPr>
                <w:noProof/>
                <w:webHidden/>
              </w:rPr>
            </w:r>
            <w:r w:rsidR="00003F92">
              <w:rPr>
                <w:noProof/>
                <w:webHidden/>
              </w:rPr>
              <w:fldChar w:fldCharType="separate"/>
            </w:r>
            <w:r w:rsidR="00845B6B">
              <w:rPr>
                <w:noProof/>
                <w:webHidden/>
              </w:rPr>
              <w:t>4</w:t>
            </w:r>
            <w:r w:rsidR="00003F92">
              <w:rPr>
                <w:noProof/>
                <w:webHidden/>
              </w:rPr>
              <w:fldChar w:fldCharType="end"/>
            </w:r>
          </w:hyperlink>
        </w:p>
        <w:p w14:paraId="1222E91F" w14:textId="5E1F8D3F" w:rsidR="00003F92" w:rsidRDefault="00DC61CF" w:rsidP="00003F92">
          <w:pPr>
            <w:pStyle w:val="TOC2"/>
            <w:spacing w:before="0" w:after="0"/>
            <w:rPr>
              <w:noProof/>
            </w:rPr>
          </w:pPr>
          <w:hyperlink w:anchor="_Toc80823892" w:history="1">
            <w:r w:rsidR="00003F92" w:rsidRPr="00003F92">
              <w:rPr>
                <w:rStyle w:val="Hyperlink"/>
                <w:b/>
                <w:noProof/>
              </w:rPr>
              <w:t>5.</w:t>
            </w:r>
            <w:r w:rsidR="00003F92" w:rsidRPr="00003F92">
              <w:rPr>
                <w:b/>
                <w:noProof/>
              </w:rPr>
              <w:tab/>
            </w:r>
            <w:r w:rsidR="00003F92" w:rsidRPr="00003F92">
              <w:rPr>
                <w:rStyle w:val="Hyperlink"/>
                <w:b/>
                <w:noProof/>
              </w:rPr>
              <w:t>CASE MANAGEMENT</w:t>
            </w:r>
            <w:r w:rsidR="00003F92">
              <w:rPr>
                <w:noProof/>
                <w:webHidden/>
              </w:rPr>
              <w:tab/>
            </w:r>
            <w:r w:rsidR="00003F92">
              <w:rPr>
                <w:noProof/>
                <w:webHidden/>
              </w:rPr>
              <w:fldChar w:fldCharType="begin"/>
            </w:r>
            <w:r w:rsidR="00003F92">
              <w:rPr>
                <w:noProof/>
                <w:webHidden/>
              </w:rPr>
              <w:instrText xml:space="preserve"> PAGEREF _Toc80823892 \h </w:instrText>
            </w:r>
            <w:r w:rsidR="00003F92">
              <w:rPr>
                <w:noProof/>
                <w:webHidden/>
              </w:rPr>
            </w:r>
            <w:r w:rsidR="00003F92">
              <w:rPr>
                <w:noProof/>
                <w:webHidden/>
              </w:rPr>
              <w:fldChar w:fldCharType="separate"/>
            </w:r>
            <w:r w:rsidR="00845B6B">
              <w:rPr>
                <w:noProof/>
                <w:webHidden/>
              </w:rPr>
              <w:t>4</w:t>
            </w:r>
            <w:r w:rsidR="00003F92">
              <w:rPr>
                <w:noProof/>
                <w:webHidden/>
              </w:rPr>
              <w:fldChar w:fldCharType="end"/>
            </w:r>
          </w:hyperlink>
        </w:p>
        <w:p w14:paraId="60560F1F" w14:textId="269222F1" w:rsidR="00003F92" w:rsidRDefault="00DC61CF" w:rsidP="00003F92">
          <w:pPr>
            <w:pStyle w:val="TOC2"/>
            <w:spacing w:before="0" w:after="0"/>
            <w:rPr>
              <w:noProof/>
            </w:rPr>
          </w:pPr>
          <w:hyperlink w:anchor="_Toc80823893" w:history="1">
            <w:r w:rsidR="00003F92" w:rsidRPr="00003F92">
              <w:rPr>
                <w:rStyle w:val="Hyperlink"/>
                <w:b/>
                <w:noProof/>
              </w:rPr>
              <w:t>6.</w:t>
            </w:r>
            <w:r w:rsidR="00003F92" w:rsidRPr="00003F92">
              <w:rPr>
                <w:b/>
                <w:noProof/>
              </w:rPr>
              <w:tab/>
            </w:r>
            <w:r w:rsidR="00003F92" w:rsidRPr="00003F92">
              <w:rPr>
                <w:rStyle w:val="Hyperlink"/>
                <w:b/>
                <w:noProof/>
              </w:rPr>
              <w:t>DISPUTE RESOLUTION</w:t>
            </w:r>
            <w:r w:rsidR="00003F92">
              <w:rPr>
                <w:noProof/>
                <w:webHidden/>
              </w:rPr>
              <w:tab/>
            </w:r>
            <w:r w:rsidR="00003F92">
              <w:rPr>
                <w:noProof/>
                <w:webHidden/>
              </w:rPr>
              <w:fldChar w:fldCharType="begin"/>
            </w:r>
            <w:r w:rsidR="00003F92">
              <w:rPr>
                <w:noProof/>
                <w:webHidden/>
              </w:rPr>
              <w:instrText xml:space="preserve"> PAGEREF _Toc80823893 \h </w:instrText>
            </w:r>
            <w:r w:rsidR="00003F92">
              <w:rPr>
                <w:noProof/>
                <w:webHidden/>
              </w:rPr>
            </w:r>
            <w:r w:rsidR="00003F92">
              <w:rPr>
                <w:noProof/>
                <w:webHidden/>
              </w:rPr>
              <w:fldChar w:fldCharType="separate"/>
            </w:r>
            <w:r w:rsidR="00845B6B">
              <w:rPr>
                <w:noProof/>
                <w:webHidden/>
              </w:rPr>
              <w:t>5</w:t>
            </w:r>
            <w:r w:rsidR="00003F92">
              <w:rPr>
                <w:noProof/>
                <w:webHidden/>
              </w:rPr>
              <w:fldChar w:fldCharType="end"/>
            </w:r>
          </w:hyperlink>
        </w:p>
        <w:p w14:paraId="608EEF54" w14:textId="4804D66B" w:rsidR="00003F92" w:rsidRDefault="00DC61CF" w:rsidP="00003F92">
          <w:pPr>
            <w:pStyle w:val="TOC2"/>
            <w:spacing w:before="0" w:after="0"/>
            <w:rPr>
              <w:noProof/>
            </w:rPr>
          </w:pPr>
          <w:hyperlink w:anchor="_Toc80823894" w:history="1">
            <w:r w:rsidR="00003F92" w:rsidRPr="00003F92">
              <w:rPr>
                <w:rStyle w:val="Hyperlink"/>
                <w:b/>
                <w:noProof/>
              </w:rPr>
              <w:t>7.</w:t>
            </w:r>
            <w:r w:rsidR="00003F92" w:rsidRPr="00003F92">
              <w:rPr>
                <w:b/>
                <w:noProof/>
              </w:rPr>
              <w:tab/>
            </w:r>
            <w:r w:rsidR="00003F92" w:rsidRPr="00003F92">
              <w:rPr>
                <w:rStyle w:val="Hyperlink"/>
                <w:b/>
                <w:noProof/>
              </w:rPr>
              <w:t>ENDING A PROCEEDING EARLY</w:t>
            </w:r>
            <w:r w:rsidR="00003F92">
              <w:rPr>
                <w:noProof/>
                <w:webHidden/>
              </w:rPr>
              <w:tab/>
            </w:r>
            <w:r w:rsidR="00003F92">
              <w:rPr>
                <w:noProof/>
                <w:webHidden/>
              </w:rPr>
              <w:fldChar w:fldCharType="begin"/>
            </w:r>
            <w:r w:rsidR="00003F92">
              <w:rPr>
                <w:noProof/>
                <w:webHidden/>
              </w:rPr>
              <w:instrText xml:space="preserve"> PAGEREF _Toc80823894 \h </w:instrText>
            </w:r>
            <w:r w:rsidR="00003F92">
              <w:rPr>
                <w:noProof/>
                <w:webHidden/>
              </w:rPr>
            </w:r>
            <w:r w:rsidR="00003F92">
              <w:rPr>
                <w:noProof/>
                <w:webHidden/>
              </w:rPr>
              <w:fldChar w:fldCharType="separate"/>
            </w:r>
            <w:r w:rsidR="00845B6B">
              <w:rPr>
                <w:noProof/>
                <w:webHidden/>
              </w:rPr>
              <w:t>5</w:t>
            </w:r>
            <w:r w:rsidR="00003F92">
              <w:rPr>
                <w:noProof/>
                <w:webHidden/>
              </w:rPr>
              <w:fldChar w:fldCharType="end"/>
            </w:r>
          </w:hyperlink>
        </w:p>
        <w:p w14:paraId="668045E6" w14:textId="049D8792" w:rsidR="00003F92" w:rsidRDefault="00DC61CF" w:rsidP="00003F92">
          <w:pPr>
            <w:pStyle w:val="TOC2"/>
            <w:spacing w:before="0" w:after="0"/>
            <w:rPr>
              <w:noProof/>
            </w:rPr>
          </w:pPr>
          <w:hyperlink w:anchor="_Toc80823895" w:history="1">
            <w:r w:rsidR="00003F92" w:rsidRPr="00003F92">
              <w:rPr>
                <w:rStyle w:val="Hyperlink"/>
                <w:b/>
                <w:noProof/>
              </w:rPr>
              <w:t>8.</w:t>
            </w:r>
            <w:r w:rsidR="00003F92" w:rsidRPr="00003F92">
              <w:rPr>
                <w:b/>
                <w:noProof/>
              </w:rPr>
              <w:tab/>
            </w:r>
            <w:r w:rsidR="00003F92" w:rsidRPr="00003F92">
              <w:rPr>
                <w:rStyle w:val="Hyperlink"/>
                <w:b/>
                <w:noProof/>
              </w:rPr>
              <w:t>COSTS</w:t>
            </w:r>
            <w:r w:rsidR="00003F92">
              <w:rPr>
                <w:noProof/>
                <w:webHidden/>
              </w:rPr>
              <w:tab/>
            </w:r>
            <w:r w:rsidR="00003F92">
              <w:rPr>
                <w:noProof/>
                <w:webHidden/>
              </w:rPr>
              <w:fldChar w:fldCharType="begin"/>
            </w:r>
            <w:r w:rsidR="00003F92">
              <w:rPr>
                <w:noProof/>
                <w:webHidden/>
              </w:rPr>
              <w:instrText xml:space="preserve"> PAGEREF _Toc80823895 \h </w:instrText>
            </w:r>
            <w:r w:rsidR="00003F92">
              <w:rPr>
                <w:noProof/>
                <w:webHidden/>
              </w:rPr>
            </w:r>
            <w:r w:rsidR="00003F92">
              <w:rPr>
                <w:noProof/>
                <w:webHidden/>
              </w:rPr>
              <w:fldChar w:fldCharType="separate"/>
            </w:r>
            <w:r w:rsidR="00845B6B">
              <w:rPr>
                <w:noProof/>
                <w:webHidden/>
              </w:rPr>
              <w:t>6</w:t>
            </w:r>
            <w:r w:rsidR="00003F92">
              <w:rPr>
                <w:noProof/>
                <w:webHidden/>
              </w:rPr>
              <w:fldChar w:fldCharType="end"/>
            </w:r>
          </w:hyperlink>
        </w:p>
        <w:p w14:paraId="62068755" w14:textId="3E8C566B" w:rsidR="00003F92" w:rsidRDefault="00DC61CF" w:rsidP="00003F92">
          <w:pPr>
            <w:pStyle w:val="TOC2"/>
            <w:spacing w:before="0" w:after="0"/>
            <w:rPr>
              <w:noProof/>
            </w:rPr>
          </w:pPr>
          <w:hyperlink w:anchor="_Toc80823896" w:history="1">
            <w:r w:rsidR="00003F92" w:rsidRPr="00003F92">
              <w:rPr>
                <w:rStyle w:val="Hyperlink"/>
                <w:b/>
                <w:noProof/>
              </w:rPr>
              <w:t>9.</w:t>
            </w:r>
            <w:r w:rsidR="00003F92" w:rsidRPr="00003F92">
              <w:rPr>
                <w:b/>
                <w:noProof/>
              </w:rPr>
              <w:tab/>
            </w:r>
            <w:r w:rsidR="00003F92" w:rsidRPr="00003F92">
              <w:rPr>
                <w:rStyle w:val="Hyperlink"/>
                <w:b/>
                <w:noProof/>
              </w:rPr>
              <w:t>FURTHER INFORMATION</w:t>
            </w:r>
            <w:r w:rsidR="00003F92">
              <w:rPr>
                <w:noProof/>
                <w:webHidden/>
              </w:rPr>
              <w:tab/>
            </w:r>
            <w:r w:rsidR="00003F92">
              <w:rPr>
                <w:noProof/>
                <w:webHidden/>
              </w:rPr>
              <w:fldChar w:fldCharType="begin"/>
            </w:r>
            <w:r w:rsidR="00003F92">
              <w:rPr>
                <w:noProof/>
                <w:webHidden/>
              </w:rPr>
              <w:instrText xml:space="preserve"> PAGEREF _Toc80823896 \h </w:instrText>
            </w:r>
            <w:r w:rsidR="00003F92">
              <w:rPr>
                <w:noProof/>
                <w:webHidden/>
              </w:rPr>
            </w:r>
            <w:r w:rsidR="00003F92">
              <w:rPr>
                <w:noProof/>
                <w:webHidden/>
              </w:rPr>
              <w:fldChar w:fldCharType="separate"/>
            </w:r>
            <w:r w:rsidR="00845B6B">
              <w:rPr>
                <w:noProof/>
                <w:webHidden/>
              </w:rPr>
              <w:t>6</w:t>
            </w:r>
            <w:r w:rsidR="00003F92">
              <w:rPr>
                <w:noProof/>
                <w:webHidden/>
              </w:rPr>
              <w:fldChar w:fldCharType="end"/>
            </w:r>
          </w:hyperlink>
        </w:p>
        <w:p w14:paraId="57EED822" w14:textId="2F30642C" w:rsidR="00003F92" w:rsidRDefault="00003F92" w:rsidP="00003F92">
          <w:pPr>
            <w:spacing w:before="0" w:after="0"/>
          </w:pPr>
          <w:r>
            <w:rPr>
              <w:b/>
              <w:bCs/>
              <w:noProof/>
            </w:rPr>
            <w:fldChar w:fldCharType="end"/>
          </w:r>
        </w:p>
      </w:sdtContent>
    </w:sdt>
    <w:p w14:paraId="4AB02022" w14:textId="73780D01" w:rsidR="00003F92" w:rsidRDefault="00003F92">
      <w:pPr>
        <w:spacing w:before="0" w:after="160" w:line="259" w:lineRule="auto"/>
      </w:pPr>
      <w:r>
        <w:br w:type="page"/>
      </w:r>
    </w:p>
    <w:p w14:paraId="46D1B901" w14:textId="0BAAE331" w:rsidR="00591389" w:rsidRDefault="00591389" w:rsidP="00CE67C5">
      <w:pPr>
        <w:pStyle w:val="Heading2"/>
      </w:pPr>
      <w:bookmarkStart w:id="2" w:name="_Toc80823886"/>
      <w:r>
        <w:lastRenderedPageBreak/>
        <w:t>Introduction</w:t>
      </w:r>
      <w:bookmarkEnd w:id="2"/>
    </w:p>
    <w:p w14:paraId="76B3332D" w14:textId="2F3AA964" w:rsidR="00591389" w:rsidRDefault="00591389" w:rsidP="00CE67C5">
      <w:pPr>
        <w:pStyle w:val="11style"/>
      </w:pPr>
      <w:r>
        <w:t xml:space="preserve">This </w:t>
      </w:r>
      <w:r w:rsidR="00845B6B">
        <w:t xml:space="preserve">Central </w:t>
      </w:r>
      <w:r>
        <w:t>Practice Direction applies nationally from 1 September 2021 to all general federal law proceedings commenced in the Federal Circuit and Family Court of Australia (</w:t>
      </w:r>
      <w:r w:rsidRPr="00CE67C5">
        <w:rPr>
          <w:b/>
        </w:rPr>
        <w:t>the Court</w:t>
      </w:r>
      <w:r>
        <w:t xml:space="preserve">). This </w:t>
      </w:r>
      <w:r w:rsidR="00845B6B">
        <w:t xml:space="preserve">Central </w:t>
      </w:r>
      <w:r>
        <w:t>Practice Direction does not apply to migration or family law proceedings.</w:t>
      </w:r>
    </w:p>
    <w:p w14:paraId="7FAEEDDD" w14:textId="46DAD2D4" w:rsidR="00CE67C5" w:rsidRDefault="00CE67C5" w:rsidP="00CE67C5">
      <w:pPr>
        <w:pStyle w:val="11style"/>
        <w:numPr>
          <w:ilvl w:val="1"/>
          <w:numId w:val="27"/>
        </w:numPr>
      </w:pPr>
      <w:r>
        <w:t xml:space="preserve">This </w:t>
      </w:r>
      <w:r w:rsidR="00845B6B">
        <w:t xml:space="preserve">Central </w:t>
      </w:r>
      <w:r>
        <w:t xml:space="preserve">Practice Direction is to be read together with: </w:t>
      </w:r>
    </w:p>
    <w:p w14:paraId="74E82F64" w14:textId="77777777" w:rsidR="00CE67C5" w:rsidRDefault="00CE67C5" w:rsidP="00CE67C5">
      <w:pPr>
        <w:pStyle w:val="astyle"/>
        <w:numPr>
          <w:ilvl w:val="2"/>
          <w:numId w:val="27"/>
        </w:numPr>
      </w:pPr>
      <w:r>
        <w:t xml:space="preserve">the </w:t>
      </w:r>
      <w:r w:rsidRPr="000F50B1">
        <w:rPr>
          <w:i/>
        </w:rPr>
        <w:t xml:space="preserve">Federal Circuit and Family Court </w:t>
      </w:r>
      <w:r>
        <w:rPr>
          <w:i/>
        </w:rPr>
        <w:t xml:space="preserve">of Australia </w:t>
      </w:r>
      <w:r w:rsidRPr="000F50B1">
        <w:rPr>
          <w:i/>
        </w:rPr>
        <w:t>Act 2021</w:t>
      </w:r>
      <w:r>
        <w:t xml:space="preserve"> (</w:t>
      </w:r>
      <w:proofErr w:type="spellStart"/>
      <w:r>
        <w:t>Cth</w:t>
      </w:r>
      <w:proofErr w:type="spellEnd"/>
      <w:r>
        <w:t>) (</w:t>
      </w:r>
      <w:r w:rsidRPr="000F50B1">
        <w:rPr>
          <w:b/>
        </w:rPr>
        <w:t>the Act</w:t>
      </w:r>
      <w:r>
        <w:t>);</w:t>
      </w:r>
    </w:p>
    <w:p w14:paraId="0A6F1621" w14:textId="13D7D367" w:rsidR="00CE67C5" w:rsidRDefault="00CE67C5" w:rsidP="00CE67C5">
      <w:pPr>
        <w:pStyle w:val="astyle"/>
        <w:numPr>
          <w:ilvl w:val="2"/>
          <w:numId w:val="27"/>
        </w:numPr>
      </w:pPr>
      <w:r>
        <w:t xml:space="preserve">the </w:t>
      </w:r>
      <w:r w:rsidRPr="000F50B1">
        <w:rPr>
          <w:i/>
        </w:rPr>
        <w:t>Federal Circuit and Family Court of Australia (Division 2) (General Federal Law) Rules 2021</w:t>
      </w:r>
      <w:r>
        <w:t xml:space="preserve"> (</w:t>
      </w:r>
      <w:r w:rsidRPr="000F50B1">
        <w:rPr>
          <w:b/>
        </w:rPr>
        <w:t>G</w:t>
      </w:r>
      <w:r w:rsidR="00845B6B">
        <w:rPr>
          <w:b/>
        </w:rPr>
        <w:t xml:space="preserve">eneral </w:t>
      </w:r>
      <w:r w:rsidRPr="000F50B1">
        <w:rPr>
          <w:b/>
        </w:rPr>
        <w:t>F</w:t>
      </w:r>
      <w:r w:rsidR="00845B6B">
        <w:rPr>
          <w:b/>
        </w:rPr>
        <w:t xml:space="preserve">ederal </w:t>
      </w:r>
      <w:r w:rsidRPr="000F50B1">
        <w:rPr>
          <w:b/>
        </w:rPr>
        <w:t>L</w:t>
      </w:r>
      <w:r w:rsidR="00845B6B">
        <w:rPr>
          <w:b/>
        </w:rPr>
        <w:t>aw</w:t>
      </w:r>
      <w:r w:rsidRPr="000F50B1">
        <w:rPr>
          <w:b/>
        </w:rPr>
        <w:t xml:space="preserve"> Rules</w:t>
      </w:r>
      <w:r>
        <w:t>);</w:t>
      </w:r>
    </w:p>
    <w:p w14:paraId="1F310DB9" w14:textId="2B7CBEE2" w:rsidR="00CE67C5" w:rsidRDefault="00CE67C5" w:rsidP="00CE67C5">
      <w:pPr>
        <w:pStyle w:val="astyle"/>
      </w:pPr>
      <w:r>
        <w:t xml:space="preserve">the </w:t>
      </w:r>
      <w:r w:rsidRPr="00CE67C5">
        <w:rPr>
          <w:i/>
        </w:rPr>
        <w:t>Federal Circuit and Family Court of Australia (Division 2) (Bankruptcy) Rules 2021</w:t>
      </w:r>
      <w:r>
        <w:t xml:space="preserve"> (</w:t>
      </w:r>
      <w:r>
        <w:rPr>
          <w:b/>
        </w:rPr>
        <w:t>Bankr</w:t>
      </w:r>
      <w:r w:rsidRPr="00CE67C5">
        <w:rPr>
          <w:b/>
        </w:rPr>
        <w:t>u</w:t>
      </w:r>
      <w:r>
        <w:rPr>
          <w:b/>
        </w:rPr>
        <w:t>pt</w:t>
      </w:r>
      <w:r w:rsidRPr="00CE67C5">
        <w:rPr>
          <w:b/>
        </w:rPr>
        <w:t>cy Rules</w:t>
      </w:r>
      <w:r>
        <w:t>);</w:t>
      </w:r>
    </w:p>
    <w:p w14:paraId="2C2E6CE8" w14:textId="77777777" w:rsidR="00CE67C5" w:rsidRDefault="00CE67C5" w:rsidP="00CE67C5">
      <w:pPr>
        <w:pStyle w:val="astyle"/>
        <w:numPr>
          <w:ilvl w:val="2"/>
          <w:numId w:val="27"/>
        </w:numPr>
      </w:pPr>
      <w:r>
        <w:t xml:space="preserve">the </w:t>
      </w:r>
      <w:r w:rsidRPr="000F50B1">
        <w:rPr>
          <w:i/>
        </w:rPr>
        <w:t>Federal Court of Australia Act 1976</w:t>
      </w:r>
      <w:r>
        <w:t xml:space="preserve"> (</w:t>
      </w:r>
      <w:r w:rsidRPr="000F50B1">
        <w:rPr>
          <w:b/>
        </w:rPr>
        <w:t>Federal Court Act</w:t>
      </w:r>
      <w:r>
        <w:t xml:space="preserve">); and </w:t>
      </w:r>
    </w:p>
    <w:p w14:paraId="0C14C4FE" w14:textId="77777777" w:rsidR="00CE67C5" w:rsidRDefault="00CE67C5" w:rsidP="00CE67C5">
      <w:pPr>
        <w:pStyle w:val="astyle"/>
        <w:numPr>
          <w:ilvl w:val="2"/>
          <w:numId w:val="27"/>
        </w:numPr>
      </w:pPr>
      <w:proofErr w:type="gramStart"/>
      <w:r>
        <w:t>the</w:t>
      </w:r>
      <w:proofErr w:type="gramEnd"/>
      <w:r>
        <w:t xml:space="preserve"> </w:t>
      </w:r>
      <w:r w:rsidRPr="000F50B1">
        <w:rPr>
          <w:i/>
        </w:rPr>
        <w:t>Federal Court Rules 2011</w:t>
      </w:r>
      <w:r>
        <w:t xml:space="preserve"> (</w:t>
      </w:r>
      <w:r w:rsidRPr="000F50B1">
        <w:rPr>
          <w:b/>
        </w:rPr>
        <w:t>Federal Court Rules</w:t>
      </w:r>
      <w:r>
        <w:t>).</w:t>
      </w:r>
    </w:p>
    <w:p w14:paraId="4E93B0C3" w14:textId="754A52F5" w:rsidR="00CE67C5" w:rsidRPr="0019645D" w:rsidRDefault="00CE67C5" w:rsidP="00CE67C5">
      <w:pPr>
        <w:pStyle w:val="11style"/>
        <w:numPr>
          <w:ilvl w:val="1"/>
          <w:numId w:val="27"/>
        </w:numPr>
      </w:pPr>
      <w:r w:rsidRPr="0019645D">
        <w:t xml:space="preserve">This </w:t>
      </w:r>
      <w:r w:rsidR="00845B6B">
        <w:t xml:space="preserve">Central </w:t>
      </w:r>
      <w:r w:rsidRPr="0019645D">
        <w:t xml:space="preserve">Practice Direction applies to all proceedings commenced on or after 1 September 2021. This </w:t>
      </w:r>
      <w:r w:rsidR="00845B6B">
        <w:t xml:space="preserve">Central </w:t>
      </w:r>
      <w:r w:rsidRPr="0019645D">
        <w:t>Practice Direction will also apply to all proceedings commenced prior to 1 September 2021, unless unfair or impractical to do so.</w:t>
      </w:r>
    </w:p>
    <w:p w14:paraId="12F103CE" w14:textId="1BD19560" w:rsidR="00CE67C5" w:rsidRDefault="00CE67C5" w:rsidP="00CE67C5">
      <w:pPr>
        <w:pStyle w:val="11style"/>
        <w:numPr>
          <w:ilvl w:val="1"/>
          <w:numId w:val="27"/>
        </w:numPr>
      </w:pPr>
      <w:r>
        <w:t xml:space="preserve">To the extent this </w:t>
      </w:r>
      <w:r w:rsidR="00845B6B">
        <w:t xml:space="preserve">Central </w:t>
      </w:r>
      <w:r>
        <w:t>Practice Dire</w:t>
      </w:r>
      <w:r w:rsidR="00DC61CF">
        <w:t>ction is inconsistent with any A</w:t>
      </w:r>
      <w:r>
        <w:t>ct, regulation, rule, or other legislative provision (whether or no</w:t>
      </w:r>
      <w:r w:rsidR="00DC61CF">
        <w:t>t expressly listed above), the A</w:t>
      </w:r>
      <w:r>
        <w:t>ct, regulation, rule or other legislative provision prevails.</w:t>
      </w:r>
    </w:p>
    <w:p w14:paraId="07E43BFD" w14:textId="080517D7" w:rsidR="00CE67C5" w:rsidRDefault="00CE67C5" w:rsidP="00591389">
      <w:pPr>
        <w:pStyle w:val="11style"/>
        <w:numPr>
          <w:ilvl w:val="1"/>
          <w:numId w:val="27"/>
        </w:numPr>
      </w:pPr>
      <w:r>
        <w:t>Where the G</w:t>
      </w:r>
      <w:r w:rsidR="00845B6B">
        <w:t xml:space="preserve">eneral </w:t>
      </w:r>
      <w:r>
        <w:t>F</w:t>
      </w:r>
      <w:r w:rsidR="00845B6B">
        <w:t xml:space="preserve">ederal </w:t>
      </w:r>
      <w:r>
        <w:t>L</w:t>
      </w:r>
      <w:r w:rsidR="00845B6B">
        <w:t>aw</w:t>
      </w:r>
      <w:r>
        <w:t xml:space="preserve"> Rules are insufficient or inappropriate, the Court may apply the Federal Court Rules.</w:t>
      </w:r>
    </w:p>
    <w:p w14:paraId="4F5CEAEB" w14:textId="71A73B90" w:rsidR="00CE67C5" w:rsidRDefault="00591389" w:rsidP="00591389">
      <w:pPr>
        <w:pStyle w:val="11style"/>
        <w:numPr>
          <w:ilvl w:val="1"/>
          <w:numId w:val="27"/>
        </w:numPr>
      </w:pPr>
      <w:r>
        <w:t xml:space="preserve">For </w:t>
      </w:r>
      <w:r w:rsidR="00CE67C5">
        <w:t xml:space="preserve">information about </w:t>
      </w:r>
      <w:r>
        <w:t>migration proceedings</w:t>
      </w:r>
      <w:r w:rsidR="00CE67C5">
        <w:t xml:space="preserve"> in the Court</w:t>
      </w:r>
      <w:r>
        <w:t xml:space="preserve">, parties should refer to </w:t>
      </w:r>
      <w:r w:rsidR="00CE67C5">
        <w:t xml:space="preserve">Central Practice Direction – </w:t>
      </w:r>
      <w:r>
        <w:t>M</w:t>
      </w:r>
      <w:r w:rsidR="00CE67C5">
        <w:t>igration p</w:t>
      </w:r>
      <w:r>
        <w:t xml:space="preserve">roceedings. </w:t>
      </w:r>
    </w:p>
    <w:p w14:paraId="2EE0DB3E" w14:textId="35DDCB22" w:rsidR="00CE67C5" w:rsidRDefault="00CE67C5" w:rsidP="00CE67C5">
      <w:pPr>
        <w:pStyle w:val="11style"/>
        <w:numPr>
          <w:ilvl w:val="1"/>
          <w:numId w:val="27"/>
        </w:numPr>
      </w:pPr>
      <w:r>
        <w:t>For information about intellectual property proceedings, parties should also refer to General Federal Law Practice Direction – Int</w:t>
      </w:r>
      <w:r w:rsidR="00DC61CF">
        <w:t>ellectual Property proceedings</w:t>
      </w:r>
      <w:r>
        <w:t>.</w:t>
      </w:r>
    </w:p>
    <w:p w14:paraId="0C904D2E" w14:textId="68892801" w:rsidR="00CE67C5" w:rsidRDefault="00591389" w:rsidP="00591389">
      <w:pPr>
        <w:pStyle w:val="11style"/>
        <w:numPr>
          <w:ilvl w:val="1"/>
          <w:numId w:val="27"/>
        </w:numPr>
      </w:pPr>
      <w:r>
        <w:t xml:space="preserve">For </w:t>
      </w:r>
      <w:r w:rsidR="00CE67C5">
        <w:t>information about a</w:t>
      </w:r>
      <w:r>
        <w:t xml:space="preserve">dmiralty </w:t>
      </w:r>
      <w:r w:rsidR="00CE67C5">
        <w:t xml:space="preserve">and maritime </w:t>
      </w:r>
      <w:r>
        <w:t xml:space="preserve">proceedings, parties should also refer to </w:t>
      </w:r>
      <w:r w:rsidR="00CE67C5">
        <w:t xml:space="preserve">General Federal Law Practice Direction – </w:t>
      </w:r>
      <w:r>
        <w:t xml:space="preserve">Admiralty </w:t>
      </w:r>
      <w:r w:rsidR="00DC61CF">
        <w:t>and maritime proceedings</w:t>
      </w:r>
      <w:bookmarkStart w:id="3" w:name="_GoBack"/>
      <w:bookmarkEnd w:id="3"/>
      <w:r>
        <w:t xml:space="preserve">. </w:t>
      </w:r>
    </w:p>
    <w:p w14:paraId="7F1433BA" w14:textId="0A46A9A2" w:rsidR="00591389" w:rsidRDefault="00591389" w:rsidP="00CE67C5">
      <w:pPr>
        <w:pStyle w:val="Heading2"/>
      </w:pPr>
      <w:bookmarkStart w:id="4" w:name="_Toc80823887"/>
      <w:r>
        <w:lastRenderedPageBreak/>
        <w:t>The Court and the Registry</w:t>
      </w:r>
      <w:bookmarkEnd w:id="4"/>
    </w:p>
    <w:p w14:paraId="45116593" w14:textId="6BFC7B81" w:rsidR="00591389" w:rsidRDefault="00591389" w:rsidP="00CE67C5">
      <w:pPr>
        <w:pStyle w:val="11style"/>
      </w:pPr>
      <w:r>
        <w:t>The jurisdiction of the Court in general federal law proceedings encompasses:</w:t>
      </w:r>
    </w:p>
    <w:p w14:paraId="47728DBF" w14:textId="5D9C2C91" w:rsidR="00591389" w:rsidRDefault="00591389" w:rsidP="00CE67C5">
      <w:pPr>
        <w:pStyle w:val="astyle"/>
      </w:pPr>
      <w:r>
        <w:t>administrative law</w:t>
      </w:r>
      <w:r w:rsidR="00CE67C5">
        <w:t>;</w:t>
      </w:r>
    </w:p>
    <w:p w14:paraId="10B4ADF5" w14:textId="3FECAB82" w:rsidR="00591389" w:rsidRDefault="00591389" w:rsidP="00CE67C5">
      <w:pPr>
        <w:pStyle w:val="astyle"/>
      </w:pPr>
      <w:r>
        <w:t>admiralty law (</w:t>
      </w:r>
      <w:r w:rsidRPr="00CE67C5">
        <w:rPr>
          <w:i/>
        </w:rPr>
        <w:t xml:space="preserve">in </w:t>
      </w:r>
      <w:proofErr w:type="spellStart"/>
      <w:r w:rsidRPr="00CE67C5">
        <w:rPr>
          <w:i/>
        </w:rPr>
        <w:t>personam</w:t>
      </w:r>
      <w:proofErr w:type="spellEnd"/>
      <w:r>
        <w:t xml:space="preserve"> matters)</w:t>
      </w:r>
      <w:r w:rsidR="00CE67C5">
        <w:t>;</w:t>
      </w:r>
    </w:p>
    <w:p w14:paraId="7E82541C" w14:textId="59B6A38A" w:rsidR="00591389" w:rsidRDefault="00591389" w:rsidP="00CE67C5">
      <w:pPr>
        <w:pStyle w:val="astyle"/>
      </w:pPr>
      <w:r>
        <w:t>bankruptcy</w:t>
      </w:r>
      <w:r w:rsidR="00CE67C5">
        <w:t>;</w:t>
      </w:r>
    </w:p>
    <w:p w14:paraId="68E1BAA5" w14:textId="14BA5622" w:rsidR="00591389" w:rsidRDefault="00591389" w:rsidP="00CE67C5">
      <w:pPr>
        <w:pStyle w:val="astyle"/>
      </w:pPr>
      <w:r>
        <w:t>child support</w:t>
      </w:r>
      <w:r w:rsidR="00CE67C5">
        <w:t>;</w:t>
      </w:r>
    </w:p>
    <w:p w14:paraId="36C22B2D" w14:textId="4ED2E265" w:rsidR="00591389" w:rsidRDefault="00591389" w:rsidP="00CE67C5">
      <w:pPr>
        <w:pStyle w:val="astyle"/>
      </w:pPr>
      <w:r>
        <w:t>consumer law</w:t>
      </w:r>
      <w:r w:rsidR="00CE67C5">
        <w:t>;</w:t>
      </w:r>
    </w:p>
    <w:p w14:paraId="51FF3204" w14:textId="2623574B" w:rsidR="00591389" w:rsidRDefault="00591389" w:rsidP="00CE67C5">
      <w:pPr>
        <w:pStyle w:val="astyle"/>
      </w:pPr>
      <w:r>
        <w:t>Fair Work law</w:t>
      </w:r>
      <w:r w:rsidR="00CE67C5">
        <w:t>;</w:t>
      </w:r>
    </w:p>
    <w:p w14:paraId="462EA708" w14:textId="18B48CAF" w:rsidR="00591389" w:rsidRDefault="00591389" w:rsidP="00CE67C5">
      <w:pPr>
        <w:pStyle w:val="astyle"/>
      </w:pPr>
      <w:r>
        <w:t>human rights</w:t>
      </w:r>
      <w:r w:rsidR="00CE67C5">
        <w:t>;</w:t>
      </w:r>
    </w:p>
    <w:p w14:paraId="06CAC71C" w14:textId="7D73C518" w:rsidR="00591389" w:rsidRDefault="00591389" w:rsidP="00CE67C5">
      <w:pPr>
        <w:pStyle w:val="astyle"/>
      </w:pPr>
      <w:r>
        <w:t>intellectual property</w:t>
      </w:r>
      <w:r w:rsidR="00CE67C5">
        <w:t>; and</w:t>
      </w:r>
    </w:p>
    <w:p w14:paraId="2C45318C" w14:textId="77777777" w:rsidR="00591389" w:rsidRDefault="00591389" w:rsidP="00CE67C5">
      <w:pPr>
        <w:pStyle w:val="astyle"/>
      </w:pPr>
      <w:proofErr w:type="gramStart"/>
      <w:r>
        <w:t>privacy</w:t>
      </w:r>
      <w:proofErr w:type="gramEnd"/>
      <w:r>
        <w:t xml:space="preserve">. </w:t>
      </w:r>
    </w:p>
    <w:p w14:paraId="758AA06C" w14:textId="4BD66952" w:rsidR="00591389" w:rsidRDefault="00591389" w:rsidP="00CE67C5">
      <w:pPr>
        <w:pStyle w:val="11style"/>
      </w:pPr>
      <w:r>
        <w:t>Registrars exercise some powers of a judge in managing cases in the Court. For more information on the pow</w:t>
      </w:r>
      <w:r w:rsidR="00845B6B">
        <w:t>ers that can be exercised by a r</w:t>
      </w:r>
      <w:r>
        <w:t>egistrar</w:t>
      </w:r>
      <w:r w:rsidR="00CE67C5">
        <w:t>,</w:t>
      </w:r>
      <w:r>
        <w:t xml:space="preserve"> see </w:t>
      </w:r>
      <w:r w:rsidR="00845B6B">
        <w:t xml:space="preserve">Part 21 of </w:t>
      </w:r>
      <w:r>
        <w:t>the</w:t>
      </w:r>
      <w:r w:rsidR="00CE67C5">
        <w:t xml:space="preserve"> G</w:t>
      </w:r>
      <w:r w:rsidR="00845B6B">
        <w:t xml:space="preserve">eneral </w:t>
      </w:r>
      <w:r w:rsidR="00CE67C5">
        <w:t>F</w:t>
      </w:r>
      <w:r w:rsidR="00845B6B">
        <w:t xml:space="preserve">ederal </w:t>
      </w:r>
      <w:r w:rsidR="00CE67C5">
        <w:t>L</w:t>
      </w:r>
      <w:r w:rsidR="00845B6B">
        <w:t>aw</w:t>
      </w:r>
      <w:r>
        <w:t xml:space="preserve"> Rules.</w:t>
      </w:r>
    </w:p>
    <w:p w14:paraId="623943E5" w14:textId="0B6E78FD" w:rsidR="00591389" w:rsidRDefault="00591389" w:rsidP="00CE67C5">
      <w:pPr>
        <w:pStyle w:val="Heading2"/>
      </w:pPr>
      <w:bookmarkStart w:id="5" w:name="_Toc80823888"/>
      <w:r>
        <w:t>Overarching purpose</w:t>
      </w:r>
      <w:bookmarkEnd w:id="5"/>
    </w:p>
    <w:p w14:paraId="49EEA15A" w14:textId="3D9C50B5" w:rsidR="00591389" w:rsidRDefault="00591389" w:rsidP="00CE67C5">
      <w:pPr>
        <w:pStyle w:val="11style"/>
      </w:pPr>
      <w:r>
        <w:t>The overarching purpose of the legislation relevant to civil practice and procedure is the just resolution of disputes according to law as quickly, inexpensively and efficiently as possible: see section 190 of the Act.</w:t>
      </w:r>
    </w:p>
    <w:p w14:paraId="62B0C885" w14:textId="1FA33C6A" w:rsidR="00591389" w:rsidRDefault="00591389" w:rsidP="00CE67C5">
      <w:pPr>
        <w:pStyle w:val="11style"/>
      </w:pPr>
      <w:r>
        <w:t>To that end, parties should make a genuine effort to narrow or resolve issues in dispute in the following ways:</w:t>
      </w:r>
    </w:p>
    <w:p w14:paraId="33097374" w14:textId="195FD13B" w:rsidR="00591389" w:rsidRDefault="00591389" w:rsidP="00CE67C5">
      <w:pPr>
        <w:pStyle w:val="astyle"/>
      </w:pPr>
      <w:r>
        <w:t xml:space="preserve">all parties must provide disclosure as required by law to assist the Court in determining the dispute or the parties in resolving the dispute; </w:t>
      </w:r>
    </w:p>
    <w:p w14:paraId="0C9EFA84" w14:textId="65041B3A" w:rsidR="00591389" w:rsidRDefault="00591389" w:rsidP="00CE67C5">
      <w:pPr>
        <w:pStyle w:val="astyle"/>
      </w:pPr>
      <w:r>
        <w:t xml:space="preserve">an application should be brought before the Court only if it is reasonably justified on the material available; </w:t>
      </w:r>
    </w:p>
    <w:p w14:paraId="49FD5778" w14:textId="2C5EF4F6" w:rsidR="00591389" w:rsidRDefault="00591389" w:rsidP="00CE67C5">
      <w:pPr>
        <w:pStyle w:val="astyle"/>
      </w:pPr>
      <w:r>
        <w:t>parties are expected to negotiate both before and at Court to narrow the issues in dispute before the matter is heard; and</w:t>
      </w:r>
    </w:p>
    <w:p w14:paraId="1711754E" w14:textId="7D964F2D" w:rsidR="00591389" w:rsidRDefault="00591389" w:rsidP="00CE67C5">
      <w:pPr>
        <w:pStyle w:val="astyle"/>
      </w:pPr>
      <w:proofErr w:type="gramStart"/>
      <w:r>
        <w:t>when</w:t>
      </w:r>
      <w:proofErr w:type="gramEnd"/>
      <w:r>
        <w:t xml:space="preserve"> appropriate, a single expert or an assessor should be engaged to assist the parties and the Court to resolve disputes.</w:t>
      </w:r>
    </w:p>
    <w:p w14:paraId="13CDFB98" w14:textId="2D64B6CD" w:rsidR="00591389" w:rsidRDefault="00591389" w:rsidP="00CE67C5">
      <w:pPr>
        <w:pStyle w:val="11style"/>
      </w:pPr>
      <w:r>
        <w:lastRenderedPageBreak/>
        <w:t>Parties should be aware that costs consequences may flow if they seek to reopen issues already resolved or to unreasonably agitate issues.</w:t>
      </w:r>
    </w:p>
    <w:p w14:paraId="6039A9EB" w14:textId="7CF6D111" w:rsidR="00591389" w:rsidRDefault="00591389" w:rsidP="00CE67C5">
      <w:pPr>
        <w:pStyle w:val="Heading2"/>
      </w:pPr>
      <w:bookmarkStart w:id="6" w:name="_Toc80823889"/>
      <w:r>
        <w:t>Transferring a proceeding</w:t>
      </w:r>
      <w:bookmarkEnd w:id="6"/>
    </w:p>
    <w:p w14:paraId="1F3882F3" w14:textId="77777777" w:rsidR="00591389" w:rsidRDefault="00591389" w:rsidP="00CE67C5">
      <w:pPr>
        <w:pStyle w:val="Heading3"/>
      </w:pPr>
      <w:bookmarkStart w:id="7" w:name="_Toc80823890"/>
      <w:r>
        <w:t>Change of registry</w:t>
      </w:r>
      <w:bookmarkEnd w:id="7"/>
    </w:p>
    <w:p w14:paraId="5604714D" w14:textId="5E76BB06" w:rsidR="00591389" w:rsidRPr="00845B6B" w:rsidRDefault="00591389" w:rsidP="00CE67C5">
      <w:pPr>
        <w:pStyle w:val="11style"/>
      </w:pPr>
      <w:r w:rsidRPr="00845B6B">
        <w:t xml:space="preserve">A party to a proceeding may apply to have the proceeding heard in a different registry of the Court for reasons such as greater convenience or a reduction in costs: see rule 8.01 of the </w:t>
      </w:r>
      <w:r w:rsidR="00CE67C5" w:rsidRPr="00845B6B">
        <w:t>G</w:t>
      </w:r>
      <w:r w:rsidR="00845B6B" w:rsidRPr="00845B6B">
        <w:t xml:space="preserve">eneral </w:t>
      </w:r>
      <w:r w:rsidR="00CE67C5" w:rsidRPr="00845B6B">
        <w:t>F</w:t>
      </w:r>
      <w:r w:rsidR="00845B6B" w:rsidRPr="00845B6B">
        <w:t xml:space="preserve">ederal </w:t>
      </w:r>
      <w:r w:rsidR="00CE67C5" w:rsidRPr="00845B6B">
        <w:t>L</w:t>
      </w:r>
      <w:r w:rsidR="00845B6B" w:rsidRPr="00845B6B">
        <w:t>aw</w:t>
      </w:r>
      <w:r w:rsidR="00CE67C5" w:rsidRPr="00845B6B">
        <w:t xml:space="preserve"> </w:t>
      </w:r>
      <w:r w:rsidRPr="00845B6B">
        <w:t xml:space="preserve">Rules. </w:t>
      </w:r>
    </w:p>
    <w:p w14:paraId="037B8CB0" w14:textId="6F536926" w:rsidR="00591389" w:rsidRDefault="00591389" w:rsidP="00CE67C5">
      <w:pPr>
        <w:pStyle w:val="Heading3"/>
      </w:pPr>
      <w:bookmarkStart w:id="8" w:name="_Toc80823891"/>
      <w:r>
        <w:t>Transfer to the Federal Court</w:t>
      </w:r>
      <w:bookmarkEnd w:id="8"/>
      <w:r w:rsidR="00845B6B">
        <w:t xml:space="preserve"> of Australia</w:t>
      </w:r>
    </w:p>
    <w:p w14:paraId="35D0FD20" w14:textId="71F41D14" w:rsidR="00591389" w:rsidRDefault="00591389" w:rsidP="00CE67C5">
      <w:pPr>
        <w:pStyle w:val="11style"/>
      </w:pPr>
      <w:r>
        <w:t>The Court may transfer a proceeding to the Federal Court of Australia on the application of a party or of the Court’s own initiative.</w:t>
      </w:r>
    </w:p>
    <w:p w14:paraId="2D8B8F84" w14:textId="7688318C" w:rsidR="00591389" w:rsidRDefault="00591389" w:rsidP="00CE67C5">
      <w:pPr>
        <w:pStyle w:val="11style"/>
      </w:pPr>
      <w:r>
        <w:t>The transfer of a proceeding must be requested by a party before the first court date and must be supported by an aff</w:t>
      </w:r>
      <w:r w:rsidRPr="00845B6B">
        <w:t xml:space="preserve">idavit: see Part 8 of the </w:t>
      </w:r>
      <w:r w:rsidR="00CE67C5" w:rsidRPr="00845B6B">
        <w:t>G</w:t>
      </w:r>
      <w:r w:rsidR="00845B6B" w:rsidRPr="00845B6B">
        <w:t xml:space="preserve">eneral </w:t>
      </w:r>
      <w:r w:rsidR="00CE67C5" w:rsidRPr="00845B6B">
        <w:t>F</w:t>
      </w:r>
      <w:r w:rsidR="00845B6B" w:rsidRPr="00845B6B">
        <w:t xml:space="preserve">ederal </w:t>
      </w:r>
      <w:r w:rsidR="00CE67C5" w:rsidRPr="00845B6B">
        <w:t>L</w:t>
      </w:r>
      <w:r w:rsidR="00845B6B" w:rsidRPr="00845B6B">
        <w:t>aw</w:t>
      </w:r>
      <w:r w:rsidR="00CE67C5" w:rsidRPr="00845B6B">
        <w:t xml:space="preserve"> </w:t>
      </w:r>
      <w:r w:rsidRPr="00845B6B">
        <w:t>Rules and section 153 of the Act</w:t>
      </w:r>
      <w:r>
        <w:t xml:space="preserve">. </w:t>
      </w:r>
    </w:p>
    <w:p w14:paraId="5E0D7B17" w14:textId="60BDA2FA" w:rsidR="00591389" w:rsidRDefault="00591389" w:rsidP="00CE67C5">
      <w:pPr>
        <w:pStyle w:val="Heading2"/>
      </w:pPr>
      <w:bookmarkStart w:id="9" w:name="_Toc80823892"/>
      <w:r>
        <w:t>Case management</w:t>
      </w:r>
      <w:bookmarkEnd w:id="9"/>
    </w:p>
    <w:p w14:paraId="6F755EC3" w14:textId="10DF7848" w:rsidR="00591389" w:rsidRDefault="00591389" w:rsidP="00CE67C5">
      <w:pPr>
        <w:pStyle w:val="11style"/>
      </w:pPr>
      <w:r>
        <w:t>In order to ensure effective case management of all cases with the objective of minimising delays and costs to parties, each party should carefully consider the following throughout their proceeding:</w:t>
      </w:r>
    </w:p>
    <w:p w14:paraId="04C14605" w14:textId="74499322" w:rsidR="00591389" w:rsidRDefault="00591389" w:rsidP="00CE67C5">
      <w:pPr>
        <w:pStyle w:val="astyle"/>
      </w:pPr>
      <w:r>
        <w:t>the issues genuinely in dispute;</w:t>
      </w:r>
    </w:p>
    <w:p w14:paraId="05A7E5F1" w14:textId="201B3EE5" w:rsidR="00591389" w:rsidRDefault="00591389" w:rsidP="00CE67C5">
      <w:pPr>
        <w:pStyle w:val="astyle"/>
      </w:pPr>
      <w:r>
        <w:t>the use of dispute resolution where appropriate, both internal and external;</w:t>
      </w:r>
    </w:p>
    <w:p w14:paraId="152D03E7" w14:textId="0D58E7C2" w:rsidR="00591389" w:rsidRDefault="00591389" w:rsidP="00CE67C5">
      <w:pPr>
        <w:pStyle w:val="astyle"/>
      </w:pPr>
      <w:r>
        <w:t xml:space="preserve">the most efficient way to manage lay and expert evidence; </w:t>
      </w:r>
    </w:p>
    <w:p w14:paraId="7AFB74FA" w14:textId="3FA4C266" w:rsidR="00591389" w:rsidRDefault="00591389" w:rsidP="00CE67C5">
      <w:pPr>
        <w:pStyle w:val="astyle"/>
      </w:pPr>
      <w:r>
        <w:t>eliminating or reducing the burden of disclosure;</w:t>
      </w:r>
    </w:p>
    <w:p w14:paraId="1BC3A6A4" w14:textId="78352096" w:rsidR="00591389" w:rsidRDefault="00591389" w:rsidP="00CE67C5">
      <w:pPr>
        <w:pStyle w:val="astyle"/>
      </w:pPr>
      <w:r>
        <w:t>making appropriate concessions; and</w:t>
      </w:r>
    </w:p>
    <w:p w14:paraId="3BDC92F5" w14:textId="020C71F6" w:rsidR="00591389" w:rsidRDefault="00591389" w:rsidP="00CE67C5">
      <w:pPr>
        <w:pStyle w:val="astyle"/>
      </w:pPr>
      <w:proofErr w:type="gramStart"/>
      <w:r>
        <w:t>making</w:t>
      </w:r>
      <w:proofErr w:type="gramEnd"/>
      <w:r>
        <w:t xml:space="preserve"> all efforts to ensure that parties are prepared for any court event.</w:t>
      </w:r>
    </w:p>
    <w:p w14:paraId="1BCF55EE" w14:textId="50681889" w:rsidR="00591389" w:rsidRDefault="00591389" w:rsidP="00CE67C5">
      <w:pPr>
        <w:pStyle w:val="11style"/>
      </w:pPr>
      <w:r>
        <w:t>Where at least one party is represented by lawyers</w:t>
      </w:r>
      <w:r w:rsidR="00845B6B">
        <w:t>,</w:t>
      </w:r>
      <w:r>
        <w:t xml:space="preserve"> the Court will be assisted if a short minute of orders</w:t>
      </w:r>
      <w:r w:rsidR="000D0C49">
        <w:t>,</w:t>
      </w:r>
      <w:r>
        <w:t xml:space="preserve"> providing a timetable dealing wit</w:t>
      </w:r>
      <w:r w:rsidR="000D0C49">
        <w:t xml:space="preserve">h the matters referred to above, </w:t>
      </w:r>
      <w:r>
        <w:t>has been prepared for consideration by the Court.</w:t>
      </w:r>
    </w:p>
    <w:p w14:paraId="7C204F31" w14:textId="74C0AB19" w:rsidR="00591389" w:rsidRDefault="00591389" w:rsidP="00CE67C5">
      <w:pPr>
        <w:pStyle w:val="Heading2"/>
      </w:pPr>
      <w:bookmarkStart w:id="10" w:name="_Toc80823893"/>
      <w:r>
        <w:lastRenderedPageBreak/>
        <w:t>Dispute Resolution</w:t>
      </w:r>
      <w:bookmarkEnd w:id="10"/>
      <w:r>
        <w:t xml:space="preserve"> </w:t>
      </w:r>
    </w:p>
    <w:p w14:paraId="7E8B12CB" w14:textId="281C9DC2" w:rsidR="00591389" w:rsidRDefault="00591389" w:rsidP="00CE67C5">
      <w:pPr>
        <w:pStyle w:val="11style"/>
      </w:pPr>
      <w:r>
        <w:t xml:space="preserve">Parties are expected to make a genuine attempt to resolve their dispute. Parties are encouraged to use all appropriate dispute resolution processes, including the use of court-appointed registrars to resolve or narrow issues in dispute. </w:t>
      </w:r>
    </w:p>
    <w:p w14:paraId="385CE9A9" w14:textId="34011AF1" w:rsidR="00591389" w:rsidRDefault="00591389" w:rsidP="00CE67C5">
      <w:pPr>
        <w:pStyle w:val="11style"/>
      </w:pPr>
      <w:r>
        <w:t>Options for dispute resolution, either by agreement or by court order, include conciliation, mediation and arbitration.</w:t>
      </w:r>
    </w:p>
    <w:p w14:paraId="5F7CD23B" w14:textId="68DEBF3F" w:rsidR="00591389" w:rsidRDefault="00591389" w:rsidP="00CE67C5">
      <w:pPr>
        <w:pStyle w:val="11style"/>
      </w:pPr>
      <w:r>
        <w:t>The Court expects parties to meaningfully participate in dispute resolution and make a genuine effort to resolve issues in dispute, including by exchanging relevant information in a</w:t>
      </w:r>
      <w:r w:rsidR="00845B6B">
        <w:t>dvance of mediation or another dispute resolution</w:t>
      </w:r>
      <w:r>
        <w:t xml:space="preserve"> process.</w:t>
      </w:r>
    </w:p>
    <w:p w14:paraId="529A1978" w14:textId="50BCB7CE" w:rsidR="00591389" w:rsidRDefault="00591389" w:rsidP="00CE67C5">
      <w:pPr>
        <w:pStyle w:val="11style"/>
      </w:pPr>
      <w:r>
        <w:t xml:space="preserve">In accordance with section 161 of the Act and </w:t>
      </w:r>
      <w:r w:rsidR="00845B6B">
        <w:t xml:space="preserve">Part </w:t>
      </w:r>
      <w:r w:rsidR="00845B6B" w:rsidRPr="00845B6B">
        <w:t xml:space="preserve">23 of the </w:t>
      </w:r>
      <w:r w:rsidR="00CE67C5" w:rsidRPr="00845B6B">
        <w:t>G</w:t>
      </w:r>
      <w:r w:rsidR="00845B6B" w:rsidRPr="00845B6B">
        <w:t xml:space="preserve">eneral </w:t>
      </w:r>
      <w:r w:rsidR="00CE67C5" w:rsidRPr="00845B6B">
        <w:t>F</w:t>
      </w:r>
      <w:r w:rsidR="00845B6B" w:rsidRPr="00845B6B">
        <w:t xml:space="preserve">ederal </w:t>
      </w:r>
      <w:r w:rsidR="00CE67C5" w:rsidRPr="00845B6B">
        <w:t>L</w:t>
      </w:r>
      <w:r w:rsidR="00845B6B" w:rsidRPr="00845B6B">
        <w:t>aw</w:t>
      </w:r>
      <w:r w:rsidR="00CE67C5" w:rsidRPr="00845B6B">
        <w:t xml:space="preserve"> </w:t>
      </w:r>
      <w:r w:rsidRPr="00845B6B">
        <w:t>Rules, the Court may refer a proceeding for dispute</w:t>
      </w:r>
      <w:r>
        <w:t xml:space="preserve"> resolution with a judge, a registrar or another person that the Court appoints. </w:t>
      </w:r>
    </w:p>
    <w:p w14:paraId="7CCFE9FB" w14:textId="7AB56845" w:rsidR="00591389" w:rsidRDefault="00591389" w:rsidP="00CE67C5">
      <w:pPr>
        <w:pStyle w:val="11style"/>
      </w:pPr>
      <w:r>
        <w:t>The Court may refer the proceeding for mediation. Mediation is conducted by a registrar. Alternatively, the parties may use a private mediator appointed under the scheme conducted by the Law Society or independent Bar of the State or Territory in which the proceeding was commenced, or otherwise as agreed by the parties. Mediation may occur at any stage of the proceeding.</w:t>
      </w:r>
    </w:p>
    <w:p w14:paraId="4F5036C5" w14:textId="2B1A5455" w:rsidR="00591389" w:rsidRDefault="00591389" w:rsidP="00CE67C5">
      <w:pPr>
        <w:pStyle w:val="11style"/>
      </w:pPr>
      <w:r>
        <w:t xml:space="preserve">In accordance </w:t>
      </w:r>
      <w:r w:rsidRPr="00845B6B">
        <w:t>with rule</w:t>
      </w:r>
      <w:r w:rsidR="00845B6B" w:rsidRPr="00845B6B">
        <w:t>s</w:t>
      </w:r>
      <w:r w:rsidRPr="00845B6B">
        <w:t xml:space="preserve"> 23.0</w:t>
      </w:r>
      <w:r w:rsidR="00845B6B" w:rsidRPr="00845B6B">
        <w:t>1 and 23.0</w:t>
      </w:r>
      <w:r w:rsidRPr="00845B6B">
        <w:t>7</w:t>
      </w:r>
      <w:r w:rsidR="00845B6B" w:rsidRPr="00845B6B">
        <w:t xml:space="preserve"> of</w:t>
      </w:r>
      <w:r w:rsidR="00845B6B">
        <w:t xml:space="preserve"> the General Federal Law Rules</w:t>
      </w:r>
      <w:r>
        <w:t xml:space="preserve">, the Court may order arbitration and, with the parties’ consent, nominate an arbitrator. </w:t>
      </w:r>
    </w:p>
    <w:p w14:paraId="535215AE" w14:textId="593AD52C" w:rsidR="00591389" w:rsidRDefault="00591389" w:rsidP="00CE67C5">
      <w:pPr>
        <w:pStyle w:val="11style"/>
      </w:pPr>
      <w:r>
        <w:t>Parties are expected to consider reasonable offers of settlement at any stage of a proceeding. Failure to do so may have costs consequences.</w:t>
      </w:r>
    </w:p>
    <w:p w14:paraId="0F16A68E" w14:textId="62C8C417" w:rsidR="00591389" w:rsidRPr="00845B6B" w:rsidRDefault="00591389" w:rsidP="00CE67C5">
      <w:pPr>
        <w:pStyle w:val="11style"/>
      </w:pPr>
      <w:r w:rsidRPr="00845B6B">
        <w:t xml:space="preserve">For more information about dispute resolution, see Part 23 of the </w:t>
      </w:r>
      <w:r w:rsidR="000D0C49" w:rsidRPr="00845B6B">
        <w:t>G</w:t>
      </w:r>
      <w:r w:rsidR="00845B6B" w:rsidRPr="00845B6B">
        <w:t xml:space="preserve">eneral </w:t>
      </w:r>
      <w:r w:rsidR="000D0C49" w:rsidRPr="00845B6B">
        <w:t>F</w:t>
      </w:r>
      <w:r w:rsidR="00845B6B" w:rsidRPr="00845B6B">
        <w:t xml:space="preserve">ederal </w:t>
      </w:r>
      <w:r w:rsidR="000D0C49" w:rsidRPr="00845B6B">
        <w:t>L</w:t>
      </w:r>
      <w:r w:rsidR="00845B6B" w:rsidRPr="00845B6B">
        <w:t>aw</w:t>
      </w:r>
      <w:r w:rsidR="000D0C49" w:rsidRPr="00845B6B">
        <w:t xml:space="preserve"> </w:t>
      </w:r>
      <w:r w:rsidRPr="00845B6B">
        <w:t>Rules.</w:t>
      </w:r>
    </w:p>
    <w:p w14:paraId="7300501A" w14:textId="612DAAB1" w:rsidR="00591389" w:rsidRDefault="00591389" w:rsidP="00CE67C5">
      <w:pPr>
        <w:pStyle w:val="Heading2"/>
      </w:pPr>
      <w:bookmarkStart w:id="11" w:name="_Toc80823894"/>
      <w:r>
        <w:t>Ending a proceeding early</w:t>
      </w:r>
      <w:bookmarkEnd w:id="11"/>
    </w:p>
    <w:p w14:paraId="6E0DF053" w14:textId="2B0E72A0" w:rsidR="00591389" w:rsidRDefault="00591389" w:rsidP="00CE67C5">
      <w:pPr>
        <w:pStyle w:val="11style"/>
      </w:pPr>
      <w:r>
        <w:t xml:space="preserve">In accordance </w:t>
      </w:r>
      <w:r w:rsidRPr="00845B6B">
        <w:t>with rule 13.01</w:t>
      </w:r>
      <w:r w:rsidR="00845B6B">
        <w:t xml:space="preserve"> of the General Federal Law Rules</w:t>
      </w:r>
      <w:r>
        <w:t>, a party may choose not to continue with an app</w:t>
      </w:r>
      <w:r w:rsidR="00CE67C5">
        <w:t xml:space="preserve">lication by filing a </w:t>
      </w:r>
      <w:r w:rsidR="00CE67C5" w:rsidRPr="00CE67C5">
        <w:rPr>
          <w:i/>
        </w:rPr>
        <w:t>Notice of D</w:t>
      </w:r>
      <w:r w:rsidRPr="00CE67C5">
        <w:rPr>
          <w:i/>
        </w:rPr>
        <w:t>iscontinuance</w:t>
      </w:r>
      <w:r>
        <w:t xml:space="preserve"> at least 14 days before the final hearing. The </w:t>
      </w:r>
      <w:r w:rsidR="00CE67C5" w:rsidRPr="00CE67C5">
        <w:rPr>
          <w:i/>
        </w:rPr>
        <w:t>Notice of Discontinuance</w:t>
      </w:r>
      <w:r w:rsidR="00CE67C5">
        <w:t xml:space="preserve"> </w:t>
      </w:r>
      <w:r>
        <w:t xml:space="preserve">may be </w:t>
      </w:r>
      <w:r>
        <w:lastRenderedPageBreak/>
        <w:t>filed at a later date if the parties agree or w</w:t>
      </w:r>
      <w:r w:rsidR="00845B6B">
        <w:t>ith permission from a r</w:t>
      </w:r>
      <w:r>
        <w:t xml:space="preserve">egistrar or the Court: </w:t>
      </w:r>
      <w:r w:rsidRPr="00845B6B">
        <w:t>see rule</w:t>
      </w:r>
      <w:r w:rsidR="00CE67C5" w:rsidRPr="00845B6B">
        <w:t>s</w:t>
      </w:r>
      <w:r w:rsidRPr="00845B6B">
        <w:t xml:space="preserve"> 3.05 and 13.01</w:t>
      </w:r>
      <w:r>
        <w:t>.</w:t>
      </w:r>
    </w:p>
    <w:p w14:paraId="27C99C29" w14:textId="7857C651" w:rsidR="00591389" w:rsidRPr="00845B6B" w:rsidRDefault="00591389" w:rsidP="00CE67C5">
      <w:pPr>
        <w:pStyle w:val="11style"/>
      </w:pPr>
      <w:r w:rsidRPr="00845B6B">
        <w:t>A party discontinuing an application or part of an application may be liable for costs: see rule 13.02</w:t>
      </w:r>
      <w:r w:rsidR="00CE67C5" w:rsidRPr="00845B6B">
        <w:t xml:space="preserve"> of the G</w:t>
      </w:r>
      <w:r w:rsidR="00845B6B" w:rsidRPr="00845B6B">
        <w:t xml:space="preserve">eneral </w:t>
      </w:r>
      <w:r w:rsidR="00CE67C5" w:rsidRPr="00845B6B">
        <w:t>F</w:t>
      </w:r>
      <w:r w:rsidR="00845B6B" w:rsidRPr="00845B6B">
        <w:t xml:space="preserve">ederal </w:t>
      </w:r>
      <w:r w:rsidR="00CE67C5" w:rsidRPr="00845B6B">
        <w:t>L</w:t>
      </w:r>
      <w:r w:rsidR="00845B6B" w:rsidRPr="00845B6B">
        <w:t>aw</w:t>
      </w:r>
      <w:r w:rsidR="00CE67C5" w:rsidRPr="00845B6B">
        <w:t xml:space="preserve"> Rules</w:t>
      </w:r>
      <w:r w:rsidRPr="00845B6B">
        <w:t xml:space="preserve">. </w:t>
      </w:r>
    </w:p>
    <w:p w14:paraId="7C789C0B" w14:textId="230E03BF" w:rsidR="00591389" w:rsidRDefault="00591389" w:rsidP="00CE67C5">
      <w:pPr>
        <w:pStyle w:val="Heading2"/>
      </w:pPr>
      <w:bookmarkStart w:id="12" w:name="_Toc80823895"/>
      <w:r>
        <w:t>Costs</w:t>
      </w:r>
      <w:bookmarkEnd w:id="12"/>
    </w:p>
    <w:p w14:paraId="3A075951" w14:textId="59BDE60E" w:rsidR="00591389" w:rsidRDefault="00591389" w:rsidP="00CE67C5">
      <w:pPr>
        <w:pStyle w:val="11style"/>
      </w:pPr>
      <w:r>
        <w:t>To achieve the overarching purpose, parties and their lawyers are expected to take a pragmatic approach to litigation, and parties’ costs should be fair, reasonable and proportionate to the importance and complexity of the issues in dispute.</w:t>
      </w:r>
    </w:p>
    <w:p w14:paraId="46FA5410" w14:textId="756AAEB4" w:rsidR="00591389" w:rsidRPr="00845B6B" w:rsidRDefault="00591389" w:rsidP="00CE67C5">
      <w:pPr>
        <w:pStyle w:val="11style"/>
      </w:pPr>
      <w:r w:rsidRPr="00845B6B">
        <w:t xml:space="preserve">The Court has the power to make orders for costs, including order for costs against lawyers. For more information about costs, see </w:t>
      </w:r>
      <w:r w:rsidR="00845B6B" w:rsidRPr="00845B6B">
        <w:t xml:space="preserve">Part 22 of </w:t>
      </w:r>
      <w:r w:rsidRPr="00845B6B">
        <w:t xml:space="preserve">the </w:t>
      </w:r>
      <w:r w:rsidR="000D0C49" w:rsidRPr="00845B6B">
        <w:t>G</w:t>
      </w:r>
      <w:r w:rsidR="00845B6B" w:rsidRPr="00845B6B">
        <w:t xml:space="preserve">eneral </w:t>
      </w:r>
      <w:r w:rsidR="000D0C49" w:rsidRPr="00845B6B">
        <w:t>F</w:t>
      </w:r>
      <w:r w:rsidR="00845B6B" w:rsidRPr="00845B6B">
        <w:t xml:space="preserve">ederal </w:t>
      </w:r>
      <w:r w:rsidR="000D0C49" w:rsidRPr="00845B6B">
        <w:t>L</w:t>
      </w:r>
      <w:r w:rsidR="00845B6B" w:rsidRPr="00845B6B">
        <w:t>aw</w:t>
      </w:r>
      <w:r w:rsidR="000D0C49" w:rsidRPr="00845B6B">
        <w:t xml:space="preserve"> </w:t>
      </w:r>
      <w:r w:rsidRPr="00845B6B">
        <w:t>Rules.</w:t>
      </w:r>
    </w:p>
    <w:p w14:paraId="0C77C946" w14:textId="1C337D5C" w:rsidR="00591389" w:rsidRDefault="00591389" w:rsidP="005A4C80">
      <w:pPr>
        <w:pStyle w:val="Heading2"/>
      </w:pPr>
      <w:bookmarkStart w:id="13" w:name="_Toc80823896"/>
      <w:r>
        <w:t>Further information</w:t>
      </w:r>
      <w:bookmarkEnd w:id="13"/>
      <w:r>
        <w:t xml:space="preserve"> </w:t>
      </w:r>
    </w:p>
    <w:p w14:paraId="5513B81C" w14:textId="05A039B0" w:rsidR="00591389" w:rsidRDefault="00591389" w:rsidP="005A4C80">
      <w:pPr>
        <w:pStyle w:val="11style"/>
      </w:pPr>
      <w:r>
        <w:t>For further information on how general federal law proceedings are conducted in the Court, pl</w:t>
      </w:r>
      <w:r w:rsidR="005A4C80">
        <w:t xml:space="preserve">ease refer to the Court’s website </w:t>
      </w:r>
      <w:r w:rsidRPr="00681E19">
        <w:t>at</w:t>
      </w:r>
      <w:r>
        <w:t xml:space="preserve"> </w:t>
      </w:r>
      <w:hyperlink r:id="rId9" w:history="1">
        <w:r w:rsidRPr="004E1B13">
          <w:rPr>
            <w:rStyle w:val="Hyperlink"/>
          </w:rPr>
          <w:t>www.fcfcoa.gov.au</w:t>
        </w:r>
      </w:hyperlink>
      <w:r w:rsidRPr="00681E19">
        <w:t>.</w:t>
      </w:r>
    </w:p>
    <w:p w14:paraId="5D368FB6" w14:textId="3BA08448" w:rsidR="001D04A4" w:rsidRPr="00591389" w:rsidRDefault="001D04A4" w:rsidP="005A4C80"/>
    <w:p w14:paraId="1240F379" w14:textId="77777777" w:rsidR="001D04A4" w:rsidRDefault="001D04A4" w:rsidP="001D04A4">
      <w:pPr>
        <w:spacing w:line="240" w:lineRule="auto"/>
        <w:jc w:val="right"/>
      </w:pPr>
      <w:r>
        <w:t xml:space="preserve">The Honourable Justice William </w:t>
      </w:r>
      <w:proofErr w:type="spellStart"/>
      <w:r>
        <w:t>Alstergren</w:t>
      </w:r>
      <w:proofErr w:type="spellEnd"/>
    </w:p>
    <w:p w14:paraId="60C93229" w14:textId="77777777" w:rsidR="001D04A4" w:rsidRDefault="001D04A4" w:rsidP="001D04A4">
      <w:pPr>
        <w:spacing w:line="240" w:lineRule="auto"/>
        <w:jc w:val="right"/>
      </w:pPr>
      <w:r>
        <w:t>Chief Judge (Division 2)</w:t>
      </w:r>
    </w:p>
    <w:p w14:paraId="21963A7E" w14:textId="77777777" w:rsidR="001D04A4" w:rsidRDefault="001D04A4" w:rsidP="001D04A4">
      <w:pPr>
        <w:spacing w:line="240" w:lineRule="auto"/>
        <w:jc w:val="right"/>
      </w:pPr>
      <w:r>
        <w:t>Federal Circuit and Family Court of Australia</w:t>
      </w:r>
    </w:p>
    <w:p w14:paraId="1B4EC752" w14:textId="6AA19BC7" w:rsidR="001D04A4" w:rsidRDefault="005A4C80" w:rsidP="001D04A4">
      <w:pPr>
        <w:spacing w:line="240" w:lineRule="auto"/>
        <w:jc w:val="right"/>
      </w:pPr>
      <w:r>
        <w:t>Date</w:t>
      </w:r>
      <w:r w:rsidR="001D04A4">
        <w:t>: 1 September 2021</w:t>
      </w:r>
    </w:p>
    <w:p w14:paraId="17FF906E" w14:textId="77777777" w:rsidR="001D04A4" w:rsidRPr="006A652A" w:rsidRDefault="001D04A4" w:rsidP="005A4C80"/>
    <w:sectPr w:rsidR="001D04A4" w:rsidRPr="006A652A" w:rsidSect="00904C01">
      <w:footerReference w:type="default" r:id="rId10"/>
      <w:pgSz w:w="11906" w:h="16838"/>
      <w:pgMar w:top="1440" w:right="1440" w:bottom="1440" w:left="1440" w:header="708"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4B05BF0" w14:textId="77777777" w:rsidR="009E4DFA" w:rsidRDefault="009E4DFA" w:rsidP="00904C01">
      <w:pPr>
        <w:spacing w:before="0" w:after="0" w:line="240" w:lineRule="auto"/>
      </w:pPr>
      <w:r>
        <w:separator/>
      </w:r>
    </w:p>
  </w:endnote>
  <w:endnote w:type="continuationSeparator" w:id="0">
    <w:p w14:paraId="31DDB98F" w14:textId="77777777" w:rsidR="009E4DFA" w:rsidRDefault="009E4DFA" w:rsidP="00904C01">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17912584"/>
      <w:docPartObj>
        <w:docPartGallery w:val="Page Numbers (Bottom of Page)"/>
        <w:docPartUnique/>
      </w:docPartObj>
    </w:sdtPr>
    <w:sdtEndPr>
      <w:rPr>
        <w:noProof/>
      </w:rPr>
    </w:sdtEndPr>
    <w:sdtContent>
      <w:p w14:paraId="6D8C1AC6" w14:textId="19B2DAFD" w:rsidR="00904C01" w:rsidRDefault="00904C01">
        <w:pPr>
          <w:pStyle w:val="Footer"/>
          <w:jc w:val="right"/>
        </w:pPr>
        <w:r>
          <w:fldChar w:fldCharType="begin"/>
        </w:r>
        <w:r>
          <w:instrText xml:space="preserve"> PAGE   \* MERGEFORMAT </w:instrText>
        </w:r>
        <w:r>
          <w:fldChar w:fldCharType="separate"/>
        </w:r>
        <w:r w:rsidR="00DC61CF">
          <w:rPr>
            <w:noProof/>
          </w:rPr>
          <w:t>6</w:t>
        </w:r>
        <w:r>
          <w:rPr>
            <w:noProof/>
          </w:rPr>
          <w:fldChar w:fldCharType="end"/>
        </w:r>
      </w:p>
    </w:sdtContent>
  </w:sdt>
  <w:p w14:paraId="32EC227B" w14:textId="77777777" w:rsidR="00904C01" w:rsidRDefault="00904C0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8F54290" w14:textId="77777777" w:rsidR="009E4DFA" w:rsidRDefault="009E4DFA" w:rsidP="00904C01">
      <w:pPr>
        <w:spacing w:before="0" w:after="0" w:line="240" w:lineRule="auto"/>
      </w:pPr>
      <w:r>
        <w:separator/>
      </w:r>
    </w:p>
  </w:footnote>
  <w:footnote w:type="continuationSeparator" w:id="0">
    <w:p w14:paraId="0A4A9C52" w14:textId="77777777" w:rsidR="009E4DFA" w:rsidRDefault="009E4DFA" w:rsidP="00904C01">
      <w:pPr>
        <w:spacing w:before="0"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65F4D72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794FC2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2B2A363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87762A3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714A93B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1CE0431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85684A1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688DCE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95EE4A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99F25F1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8A214D"/>
    <w:multiLevelType w:val="hybridMultilevel"/>
    <w:tmpl w:val="7C7281F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050E16D6"/>
    <w:multiLevelType w:val="multilevel"/>
    <w:tmpl w:val="F56E22D0"/>
    <w:lvl w:ilvl="0">
      <w:start w:val="1"/>
      <w:numFmt w:val="decimal"/>
      <w:lvlText w:val="%1."/>
      <w:lvlJc w:val="left"/>
      <w:pPr>
        <w:ind w:left="567" w:hanging="567"/>
      </w:pPr>
      <w:rPr>
        <w:rFonts w:ascii="Arial" w:hAnsi="Arial" w:hint="default"/>
        <w:b w:val="0"/>
        <w:i w:val="0"/>
        <w:color w:val="auto"/>
        <w:sz w:val="24"/>
      </w:rPr>
    </w:lvl>
    <w:lvl w:ilvl="1">
      <w:start w:val="1"/>
      <w:numFmt w:val="lowerLetter"/>
      <w:lvlText w:val="(%2)"/>
      <w:lvlJc w:val="left"/>
      <w:pPr>
        <w:ind w:left="1134" w:hanging="567"/>
      </w:pPr>
      <w:rPr>
        <w:rFonts w:ascii="Arial" w:hAnsi="Arial" w:hint="default"/>
        <w:b w:val="0"/>
        <w:i w:val="0"/>
        <w:sz w:val="24"/>
      </w:rPr>
    </w:lvl>
    <w:lvl w:ilvl="2">
      <w:start w:val="1"/>
      <w:numFmt w:val="lowerRoman"/>
      <w:lvlText w:val="(%3)"/>
      <w:lvlJc w:val="left"/>
      <w:pPr>
        <w:ind w:left="1701" w:hanging="425"/>
      </w:pPr>
      <w:rPr>
        <w:rFonts w:ascii="Arial" w:hAnsi="Arial" w:hint="default"/>
        <w:b w:val="0"/>
        <w:i w:val="0"/>
        <w:sz w:val="24"/>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114E18B3"/>
    <w:multiLevelType w:val="hybridMultilevel"/>
    <w:tmpl w:val="0F348024"/>
    <w:lvl w:ilvl="0" w:tplc="273A63AA">
      <w:start w:val="1"/>
      <w:numFmt w:val="decimal"/>
      <w:lvlText w:val="%1."/>
      <w:lvlJc w:val="left"/>
      <w:pPr>
        <w:ind w:left="36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1B037EFA"/>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0B32095"/>
    <w:multiLevelType w:val="hybridMultilevel"/>
    <w:tmpl w:val="09CC1AA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28963A25"/>
    <w:multiLevelType w:val="hybridMultilevel"/>
    <w:tmpl w:val="4C76AD9C"/>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36272496"/>
    <w:multiLevelType w:val="multilevel"/>
    <w:tmpl w:val="AE7A3188"/>
    <w:styleLink w:val="Level1"/>
    <w:lvl w:ilvl="0">
      <w:start w:val="1"/>
      <w:numFmt w:val="decimal"/>
      <w:lvlText w:val="%1."/>
      <w:lvlJc w:val="left"/>
      <w:pPr>
        <w:ind w:left="567" w:hanging="567"/>
      </w:pPr>
      <w:rPr>
        <w:rFonts w:ascii="Arial" w:hAnsi="Arial" w:hint="default"/>
        <w:b w:val="0"/>
        <w:i w:val="0"/>
        <w:color w:val="auto"/>
        <w:sz w:val="24"/>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39A52931"/>
    <w:multiLevelType w:val="hybridMultilevel"/>
    <w:tmpl w:val="C35A02C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47DF07C5"/>
    <w:multiLevelType w:val="multilevel"/>
    <w:tmpl w:val="AE7A3188"/>
    <w:numStyleLink w:val="Level1"/>
  </w:abstractNum>
  <w:abstractNum w:abstractNumId="19" w15:restartNumberingAfterBreak="0">
    <w:nsid w:val="49CA7FD1"/>
    <w:multiLevelType w:val="multilevel"/>
    <w:tmpl w:val="FF7CEB80"/>
    <w:lvl w:ilvl="0">
      <w:start w:val="1"/>
      <w:numFmt w:val="decimal"/>
      <w:pStyle w:val="Heading2"/>
      <w:lvlText w:val="%1."/>
      <w:lvlJc w:val="left"/>
      <w:pPr>
        <w:ind w:left="567" w:hanging="567"/>
      </w:pPr>
      <w:rPr>
        <w:rFonts w:ascii="Arial" w:hAnsi="Arial" w:hint="default"/>
        <w:b/>
        <w:i w:val="0"/>
        <w:sz w:val="28"/>
      </w:rPr>
    </w:lvl>
    <w:lvl w:ilvl="1">
      <w:start w:val="1"/>
      <w:numFmt w:val="decimal"/>
      <w:pStyle w:val="Heading6"/>
      <w:lvlText w:val="%1.%2"/>
      <w:lvlJc w:val="left"/>
      <w:pPr>
        <w:ind w:left="567" w:hanging="567"/>
      </w:pPr>
      <w:rPr>
        <w:rFonts w:ascii="Arial" w:hAnsi="Arial" w:hint="default"/>
        <w:b w:val="0"/>
        <w:i w:val="0"/>
        <w:sz w:val="24"/>
      </w:rPr>
    </w:lvl>
    <w:lvl w:ilvl="2">
      <w:start w:val="1"/>
      <w:numFmt w:val="lowerLetter"/>
      <w:pStyle w:val="Heading7"/>
      <w:lvlText w:val="(%3)"/>
      <w:lvlJc w:val="left"/>
      <w:pPr>
        <w:ind w:left="1134" w:hanging="567"/>
      </w:pPr>
      <w:rPr>
        <w:rFonts w:ascii="Arial" w:hAnsi="Arial" w:hint="default"/>
        <w:b w:val="0"/>
        <w:i w:val="0"/>
        <w:sz w:val="24"/>
      </w:rPr>
    </w:lvl>
    <w:lvl w:ilvl="3">
      <w:start w:val="1"/>
      <w:numFmt w:val="lowerRoman"/>
      <w:pStyle w:val="Heading8"/>
      <w:lvlText w:val="(%4)"/>
      <w:lvlJc w:val="left"/>
      <w:pPr>
        <w:ind w:left="1701" w:hanging="425"/>
      </w:pPr>
      <w:rPr>
        <w:rFonts w:ascii="Arial" w:hAnsi="Arial" w:hint="default"/>
        <w:b w:val="0"/>
        <w:i w:val="0"/>
        <w:sz w:val="24"/>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525C5B52"/>
    <w:multiLevelType w:val="multilevel"/>
    <w:tmpl w:val="3F1A2E0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55415A6C"/>
    <w:multiLevelType w:val="hybridMultilevel"/>
    <w:tmpl w:val="1184795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593C182D"/>
    <w:multiLevelType w:val="hybridMultilevel"/>
    <w:tmpl w:val="9086D51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63701871"/>
    <w:multiLevelType w:val="hybridMultilevel"/>
    <w:tmpl w:val="07709ACC"/>
    <w:lvl w:ilvl="0" w:tplc="E22EC020">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7006691A"/>
    <w:multiLevelType w:val="hybridMultilevel"/>
    <w:tmpl w:val="7562AE12"/>
    <w:lvl w:ilvl="0" w:tplc="58948CE0">
      <w:start w:val="1"/>
      <w:numFmt w:val="lowerRoman"/>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757D11B9"/>
    <w:multiLevelType w:val="multilevel"/>
    <w:tmpl w:val="0C0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7743078A"/>
    <w:multiLevelType w:val="hybridMultilevel"/>
    <w:tmpl w:val="7DFCA9D6"/>
    <w:lvl w:ilvl="0" w:tplc="184EBF4A">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77706807"/>
    <w:multiLevelType w:val="multilevel"/>
    <w:tmpl w:val="F56E22D0"/>
    <w:lvl w:ilvl="0">
      <w:start w:val="1"/>
      <w:numFmt w:val="decimal"/>
      <w:lvlText w:val="%1."/>
      <w:lvlJc w:val="left"/>
      <w:pPr>
        <w:ind w:left="567" w:hanging="567"/>
      </w:pPr>
      <w:rPr>
        <w:rFonts w:ascii="Arial" w:hAnsi="Arial" w:hint="default"/>
        <w:b w:val="0"/>
        <w:i w:val="0"/>
        <w:color w:val="auto"/>
        <w:sz w:val="24"/>
      </w:rPr>
    </w:lvl>
    <w:lvl w:ilvl="1">
      <w:start w:val="1"/>
      <w:numFmt w:val="lowerLetter"/>
      <w:lvlText w:val="(%2)"/>
      <w:lvlJc w:val="left"/>
      <w:pPr>
        <w:ind w:left="1134" w:hanging="567"/>
      </w:pPr>
      <w:rPr>
        <w:rFonts w:ascii="Arial" w:hAnsi="Arial" w:hint="default"/>
        <w:b w:val="0"/>
        <w:i w:val="0"/>
        <w:sz w:val="24"/>
      </w:rPr>
    </w:lvl>
    <w:lvl w:ilvl="2">
      <w:start w:val="1"/>
      <w:numFmt w:val="lowerRoman"/>
      <w:lvlText w:val="(%3)"/>
      <w:lvlJc w:val="left"/>
      <w:pPr>
        <w:ind w:left="1701" w:hanging="425"/>
      </w:pPr>
      <w:rPr>
        <w:rFonts w:ascii="Arial" w:hAnsi="Arial" w:hint="default"/>
        <w:b w:val="0"/>
        <w:i w:val="0"/>
        <w:sz w:val="24"/>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8" w15:restartNumberingAfterBreak="0">
    <w:nsid w:val="7B7E5576"/>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26"/>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6"/>
  </w:num>
  <w:num w:numId="13">
    <w:abstractNumId w:val="18"/>
  </w:num>
  <w:num w:numId="14">
    <w:abstractNumId w:val="11"/>
  </w:num>
  <w:num w:numId="15">
    <w:abstractNumId w:val="27"/>
  </w:num>
  <w:num w:numId="16">
    <w:abstractNumId w:val="12"/>
  </w:num>
  <w:num w:numId="17">
    <w:abstractNumId w:val="15"/>
  </w:num>
  <w:num w:numId="18">
    <w:abstractNumId w:val="17"/>
  </w:num>
  <w:num w:numId="19">
    <w:abstractNumId w:val="13"/>
  </w:num>
  <w:num w:numId="20">
    <w:abstractNumId w:val="10"/>
  </w:num>
  <w:num w:numId="21">
    <w:abstractNumId w:val="21"/>
  </w:num>
  <w:num w:numId="22">
    <w:abstractNumId w:val="14"/>
  </w:num>
  <w:num w:numId="23">
    <w:abstractNumId w:val="20"/>
  </w:num>
  <w:num w:numId="24">
    <w:abstractNumId w:val="22"/>
  </w:num>
  <w:num w:numId="25">
    <w:abstractNumId w:val="25"/>
  </w:num>
  <w:num w:numId="26">
    <w:abstractNumId w:val="28"/>
  </w:num>
  <w:num w:numId="27">
    <w:abstractNumId w:val="19"/>
  </w:num>
  <w:num w:numId="28">
    <w:abstractNumId w:val="24"/>
  </w:num>
  <w:num w:numId="29">
    <w:abstractNumId w:val="19"/>
  </w:num>
  <w:num w:numId="30">
    <w:abstractNumId w:val="23"/>
  </w:num>
  <w:num w:numId="3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8"/>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70A9"/>
    <w:rsid w:val="00003F92"/>
    <w:rsid w:val="00084479"/>
    <w:rsid w:val="000D0C49"/>
    <w:rsid w:val="00121B29"/>
    <w:rsid w:val="001D04A4"/>
    <w:rsid w:val="001E4814"/>
    <w:rsid w:val="00231762"/>
    <w:rsid w:val="002770A9"/>
    <w:rsid w:val="0033761D"/>
    <w:rsid w:val="00383E6B"/>
    <w:rsid w:val="004B2631"/>
    <w:rsid w:val="004B422F"/>
    <w:rsid w:val="00591389"/>
    <w:rsid w:val="005A4C80"/>
    <w:rsid w:val="005C125C"/>
    <w:rsid w:val="006A652A"/>
    <w:rsid w:val="006C494F"/>
    <w:rsid w:val="00743380"/>
    <w:rsid w:val="00823EB4"/>
    <w:rsid w:val="00845B6B"/>
    <w:rsid w:val="0088042D"/>
    <w:rsid w:val="00904C01"/>
    <w:rsid w:val="009261FA"/>
    <w:rsid w:val="0097766C"/>
    <w:rsid w:val="009E4DFA"/>
    <w:rsid w:val="00A40107"/>
    <w:rsid w:val="00A72252"/>
    <w:rsid w:val="00B718CC"/>
    <w:rsid w:val="00B774A7"/>
    <w:rsid w:val="00B83B32"/>
    <w:rsid w:val="00C2764D"/>
    <w:rsid w:val="00CE67C5"/>
    <w:rsid w:val="00D30E3D"/>
    <w:rsid w:val="00DC4837"/>
    <w:rsid w:val="00DC61CF"/>
    <w:rsid w:val="00E918EE"/>
    <w:rsid w:val="00F33852"/>
    <w:rsid w:val="00F464DC"/>
    <w:rsid w:val="00FA394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21656E"/>
  <w15:chartTrackingRefBased/>
  <w15:docId w15:val="{9E39751A-7AFA-469F-8720-3B7378B65A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2764D"/>
    <w:pPr>
      <w:spacing w:before="120" w:after="120" w:line="360" w:lineRule="auto"/>
    </w:pPr>
    <w:rPr>
      <w:rFonts w:ascii="Arial" w:hAnsi="Arial"/>
      <w:sz w:val="24"/>
    </w:rPr>
  </w:style>
  <w:style w:type="paragraph" w:styleId="Heading1">
    <w:name w:val="heading 1"/>
    <w:basedOn w:val="Normal"/>
    <w:next w:val="Normal"/>
    <w:link w:val="Heading1Char"/>
    <w:uiPriority w:val="9"/>
    <w:qFormat/>
    <w:rsid w:val="002770A9"/>
    <w:pPr>
      <w:keepNext/>
      <w:keepLines/>
      <w:jc w:val="center"/>
      <w:outlineLvl w:val="0"/>
    </w:pPr>
    <w:rPr>
      <w:rFonts w:eastAsiaTheme="majorEastAsia" w:cstheme="majorBidi"/>
      <w:b/>
      <w:caps/>
      <w:sz w:val="40"/>
      <w:szCs w:val="32"/>
    </w:rPr>
  </w:style>
  <w:style w:type="paragraph" w:styleId="Heading2">
    <w:name w:val="heading 2"/>
    <w:basedOn w:val="Heading3"/>
    <w:next w:val="Normal"/>
    <w:link w:val="Heading2Char"/>
    <w:autoRedefine/>
    <w:uiPriority w:val="9"/>
    <w:unhideWhenUsed/>
    <w:qFormat/>
    <w:rsid w:val="005A4C80"/>
    <w:pPr>
      <w:numPr>
        <w:numId w:val="29"/>
      </w:numPr>
      <w:outlineLvl w:val="1"/>
    </w:pPr>
    <w:rPr>
      <w:i w:val="0"/>
      <w:caps/>
      <w:sz w:val="28"/>
    </w:rPr>
  </w:style>
  <w:style w:type="paragraph" w:styleId="Heading3">
    <w:name w:val="heading 3"/>
    <w:basedOn w:val="Heading4"/>
    <w:next w:val="Heading6"/>
    <w:link w:val="Heading3Char"/>
    <w:uiPriority w:val="9"/>
    <w:unhideWhenUsed/>
    <w:qFormat/>
    <w:rsid w:val="006C494F"/>
    <w:pPr>
      <w:outlineLvl w:val="2"/>
    </w:pPr>
    <w:rPr>
      <w:b/>
    </w:rPr>
  </w:style>
  <w:style w:type="paragraph" w:styleId="Heading4">
    <w:name w:val="heading 4"/>
    <w:basedOn w:val="Heading5"/>
    <w:next w:val="Normal"/>
    <w:link w:val="Heading4Char"/>
    <w:uiPriority w:val="9"/>
    <w:unhideWhenUsed/>
    <w:qFormat/>
    <w:rsid w:val="006C494F"/>
    <w:pPr>
      <w:outlineLvl w:val="3"/>
    </w:pPr>
  </w:style>
  <w:style w:type="paragraph" w:styleId="Heading5">
    <w:name w:val="heading 5"/>
    <w:basedOn w:val="Normal"/>
    <w:next w:val="Normal"/>
    <w:link w:val="Heading5Char"/>
    <w:uiPriority w:val="9"/>
    <w:unhideWhenUsed/>
    <w:qFormat/>
    <w:rsid w:val="00121B29"/>
    <w:pPr>
      <w:keepNext/>
      <w:keepLines/>
      <w:outlineLvl w:val="4"/>
    </w:pPr>
    <w:rPr>
      <w:rFonts w:eastAsiaTheme="majorEastAsia" w:cstheme="majorBidi"/>
      <w:i/>
    </w:rPr>
  </w:style>
  <w:style w:type="paragraph" w:styleId="Heading6">
    <w:name w:val="heading 6"/>
    <w:basedOn w:val="Normal"/>
    <w:next w:val="Normal"/>
    <w:link w:val="Heading6Char"/>
    <w:uiPriority w:val="9"/>
    <w:unhideWhenUsed/>
    <w:qFormat/>
    <w:rsid w:val="001E4814"/>
    <w:pPr>
      <w:keepLines/>
      <w:numPr>
        <w:ilvl w:val="1"/>
        <w:numId w:val="29"/>
      </w:numPr>
      <w:outlineLvl w:val="5"/>
    </w:pPr>
    <w:rPr>
      <w:rFonts w:eastAsiaTheme="majorEastAsia" w:cstheme="majorBidi"/>
    </w:rPr>
  </w:style>
  <w:style w:type="paragraph" w:styleId="Heading7">
    <w:name w:val="heading 7"/>
    <w:basedOn w:val="Normal"/>
    <w:next w:val="Normal"/>
    <w:link w:val="Heading7Char"/>
    <w:uiPriority w:val="9"/>
    <w:unhideWhenUsed/>
    <w:qFormat/>
    <w:rsid w:val="00E918EE"/>
    <w:pPr>
      <w:keepNext/>
      <w:keepLines/>
      <w:numPr>
        <w:ilvl w:val="2"/>
        <w:numId w:val="29"/>
      </w:numPr>
      <w:outlineLvl w:val="6"/>
    </w:pPr>
    <w:rPr>
      <w:rFonts w:eastAsiaTheme="majorEastAsia" w:cstheme="majorBidi"/>
      <w:iCs/>
    </w:rPr>
  </w:style>
  <w:style w:type="paragraph" w:styleId="Heading8">
    <w:name w:val="heading 8"/>
    <w:basedOn w:val="Normal"/>
    <w:next w:val="Normal"/>
    <w:link w:val="Heading8Char"/>
    <w:uiPriority w:val="9"/>
    <w:unhideWhenUsed/>
    <w:qFormat/>
    <w:rsid w:val="00E918EE"/>
    <w:pPr>
      <w:keepNext/>
      <w:keepLines/>
      <w:numPr>
        <w:ilvl w:val="3"/>
        <w:numId w:val="29"/>
      </w:numPr>
      <w:outlineLvl w:val="7"/>
    </w:pPr>
    <w:rPr>
      <w:rFonts w:eastAsiaTheme="majorEastAsia" w:cstheme="majorBidi"/>
      <w:color w:val="272727" w:themeColor="text1" w:themeTint="D8"/>
      <w:szCs w:val="21"/>
    </w:rPr>
  </w:style>
  <w:style w:type="paragraph" w:styleId="Heading9">
    <w:name w:val="heading 9"/>
    <w:basedOn w:val="Normal"/>
    <w:next w:val="Normal"/>
    <w:link w:val="Heading9Char"/>
    <w:uiPriority w:val="9"/>
    <w:semiHidden/>
    <w:unhideWhenUsed/>
    <w:qFormat/>
    <w:rsid w:val="006A652A"/>
    <w:pPr>
      <w:keepNext/>
      <w:keepLines/>
      <w:spacing w:before="0" w:after="0"/>
      <w:jc w:val="right"/>
      <w:outlineLvl w:val="8"/>
    </w:pPr>
    <w:rPr>
      <w:rFonts w:eastAsiaTheme="majorEastAsia" w:cstheme="majorBidi"/>
      <w:iCs/>
      <w:color w:val="272727" w:themeColor="text1" w:themeTint="D8"/>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770A9"/>
    <w:rPr>
      <w:rFonts w:ascii="Arial" w:eastAsiaTheme="majorEastAsia" w:hAnsi="Arial" w:cstheme="majorBidi"/>
      <w:b/>
      <w:caps/>
      <w:sz w:val="40"/>
      <w:szCs w:val="32"/>
    </w:rPr>
  </w:style>
  <w:style w:type="character" w:customStyle="1" w:styleId="Heading2Char">
    <w:name w:val="Heading 2 Char"/>
    <w:basedOn w:val="DefaultParagraphFont"/>
    <w:link w:val="Heading2"/>
    <w:uiPriority w:val="9"/>
    <w:rsid w:val="005A4C80"/>
    <w:rPr>
      <w:rFonts w:ascii="Arial" w:eastAsiaTheme="majorEastAsia" w:hAnsi="Arial" w:cstheme="majorBidi"/>
      <w:b/>
      <w:caps/>
      <w:sz w:val="28"/>
    </w:rPr>
  </w:style>
  <w:style w:type="character" w:customStyle="1" w:styleId="Heading4Char">
    <w:name w:val="Heading 4 Char"/>
    <w:basedOn w:val="DefaultParagraphFont"/>
    <w:link w:val="Heading4"/>
    <w:uiPriority w:val="9"/>
    <w:rsid w:val="006C494F"/>
    <w:rPr>
      <w:rFonts w:ascii="Arial" w:eastAsiaTheme="majorEastAsia" w:hAnsi="Arial" w:cstheme="majorBidi"/>
      <w:i/>
      <w:sz w:val="24"/>
    </w:rPr>
  </w:style>
  <w:style w:type="character" w:customStyle="1" w:styleId="Heading3Char">
    <w:name w:val="Heading 3 Char"/>
    <w:basedOn w:val="DefaultParagraphFont"/>
    <w:link w:val="Heading3"/>
    <w:uiPriority w:val="9"/>
    <w:rsid w:val="006C494F"/>
    <w:rPr>
      <w:rFonts w:ascii="Arial" w:eastAsiaTheme="majorEastAsia" w:hAnsi="Arial" w:cstheme="majorBidi"/>
      <w:b/>
      <w:i/>
      <w:sz w:val="24"/>
    </w:rPr>
  </w:style>
  <w:style w:type="character" w:customStyle="1" w:styleId="Heading5Char">
    <w:name w:val="Heading 5 Char"/>
    <w:basedOn w:val="DefaultParagraphFont"/>
    <w:link w:val="Heading5"/>
    <w:uiPriority w:val="9"/>
    <w:rsid w:val="00121B29"/>
    <w:rPr>
      <w:rFonts w:ascii="Arial" w:eastAsiaTheme="majorEastAsia" w:hAnsi="Arial" w:cstheme="majorBidi"/>
      <w:i/>
      <w:sz w:val="24"/>
    </w:rPr>
  </w:style>
  <w:style w:type="numbering" w:customStyle="1" w:styleId="Level1">
    <w:name w:val="Level 1"/>
    <w:uiPriority w:val="99"/>
    <w:rsid w:val="00121B29"/>
    <w:pPr>
      <w:numPr>
        <w:numId w:val="12"/>
      </w:numPr>
    </w:pPr>
  </w:style>
  <w:style w:type="paragraph" w:styleId="ListParagraph">
    <w:name w:val="List Paragraph"/>
    <w:basedOn w:val="Normal"/>
    <w:uiPriority w:val="34"/>
    <w:qFormat/>
    <w:rsid w:val="00121B29"/>
    <w:pPr>
      <w:ind w:left="720"/>
      <w:contextualSpacing/>
    </w:pPr>
  </w:style>
  <w:style w:type="character" w:customStyle="1" w:styleId="Heading6Char">
    <w:name w:val="Heading 6 Char"/>
    <w:basedOn w:val="DefaultParagraphFont"/>
    <w:link w:val="Heading6"/>
    <w:uiPriority w:val="9"/>
    <w:rsid w:val="001E4814"/>
    <w:rPr>
      <w:rFonts w:ascii="Arial" w:eastAsiaTheme="majorEastAsia" w:hAnsi="Arial" w:cstheme="majorBidi"/>
      <w:sz w:val="24"/>
    </w:rPr>
  </w:style>
  <w:style w:type="character" w:customStyle="1" w:styleId="Heading7Char">
    <w:name w:val="Heading 7 Char"/>
    <w:basedOn w:val="DefaultParagraphFont"/>
    <w:link w:val="Heading7"/>
    <w:uiPriority w:val="9"/>
    <w:rsid w:val="00FA3944"/>
    <w:rPr>
      <w:rFonts w:ascii="Arial" w:eastAsiaTheme="majorEastAsia" w:hAnsi="Arial" w:cstheme="majorBidi"/>
      <w:iCs/>
      <w:sz w:val="24"/>
    </w:rPr>
  </w:style>
  <w:style w:type="character" w:customStyle="1" w:styleId="Heading8Char">
    <w:name w:val="Heading 8 Char"/>
    <w:basedOn w:val="DefaultParagraphFont"/>
    <w:link w:val="Heading8"/>
    <w:uiPriority w:val="9"/>
    <w:rsid w:val="00E918EE"/>
    <w:rPr>
      <w:rFonts w:ascii="Arial" w:eastAsiaTheme="majorEastAsia" w:hAnsi="Arial" w:cstheme="majorBidi"/>
      <w:color w:val="272727" w:themeColor="text1" w:themeTint="D8"/>
      <w:sz w:val="24"/>
      <w:szCs w:val="21"/>
    </w:rPr>
  </w:style>
  <w:style w:type="character" w:customStyle="1" w:styleId="Heading9Char">
    <w:name w:val="Heading 9 Char"/>
    <w:basedOn w:val="DefaultParagraphFont"/>
    <w:link w:val="Heading9"/>
    <w:uiPriority w:val="9"/>
    <w:semiHidden/>
    <w:rsid w:val="006A652A"/>
    <w:rPr>
      <w:rFonts w:ascii="Arial" w:eastAsiaTheme="majorEastAsia" w:hAnsi="Arial" w:cstheme="majorBidi"/>
      <w:iCs/>
      <w:color w:val="272727" w:themeColor="text1" w:themeTint="D8"/>
      <w:sz w:val="24"/>
      <w:szCs w:val="21"/>
    </w:rPr>
  </w:style>
  <w:style w:type="paragraph" w:styleId="Header">
    <w:name w:val="header"/>
    <w:basedOn w:val="Normal"/>
    <w:link w:val="HeaderChar"/>
    <w:uiPriority w:val="99"/>
    <w:unhideWhenUsed/>
    <w:rsid w:val="00904C01"/>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904C01"/>
    <w:rPr>
      <w:rFonts w:ascii="Arial" w:hAnsi="Arial"/>
      <w:sz w:val="24"/>
    </w:rPr>
  </w:style>
  <w:style w:type="paragraph" w:styleId="Footer">
    <w:name w:val="footer"/>
    <w:basedOn w:val="Normal"/>
    <w:link w:val="FooterChar"/>
    <w:uiPriority w:val="99"/>
    <w:unhideWhenUsed/>
    <w:rsid w:val="00904C01"/>
    <w:pPr>
      <w:tabs>
        <w:tab w:val="center" w:pos="4513"/>
        <w:tab w:val="right" w:pos="9026"/>
      </w:tabs>
      <w:spacing w:before="0" w:after="0" w:line="240" w:lineRule="auto"/>
    </w:pPr>
  </w:style>
  <w:style w:type="character" w:customStyle="1" w:styleId="FooterChar">
    <w:name w:val="Footer Char"/>
    <w:basedOn w:val="DefaultParagraphFont"/>
    <w:link w:val="Footer"/>
    <w:uiPriority w:val="99"/>
    <w:rsid w:val="00904C01"/>
    <w:rPr>
      <w:rFonts w:ascii="Arial" w:hAnsi="Arial"/>
      <w:sz w:val="24"/>
    </w:rPr>
  </w:style>
  <w:style w:type="character" w:styleId="Hyperlink">
    <w:name w:val="Hyperlink"/>
    <w:basedOn w:val="DefaultParagraphFont"/>
    <w:uiPriority w:val="99"/>
    <w:unhideWhenUsed/>
    <w:rsid w:val="006A652A"/>
    <w:rPr>
      <w:color w:val="0563C1" w:themeColor="hyperlink"/>
      <w:u w:val="single"/>
    </w:rPr>
  </w:style>
  <w:style w:type="paragraph" w:customStyle="1" w:styleId="11style">
    <w:name w:val="1.1 style"/>
    <w:basedOn w:val="Heading6"/>
    <w:autoRedefine/>
    <w:qFormat/>
    <w:rsid w:val="005C125C"/>
    <w:pPr>
      <w:keepLines w:val="0"/>
    </w:pPr>
  </w:style>
  <w:style w:type="paragraph" w:customStyle="1" w:styleId="astyle">
    <w:name w:val="(a) style"/>
    <w:basedOn w:val="Heading7"/>
    <w:autoRedefine/>
    <w:qFormat/>
    <w:rsid w:val="005C125C"/>
    <w:pPr>
      <w:keepNext w:val="0"/>
      <w:keepLines w:val="0"/>
    </w:pPr>
  </w:style>
  <w:style w:type="paragraph" w:customStyle="1" w:styleId="istyle">
    <w:name w:val="(i) style"/>
    <w:basedOn w:val="Heading8"/>
    <w:autoRedefine/>
    <w:qFormat/>
    <w:rsid w:val="00B774A7"/>
    <w:pPr>
      <w:keepNext w:val="0"/>
      <w:keepLines w:val="0"/>
    </w:pPr>
  </w:style>
  <w:style w:type="paragraph" w:styleId="FootnoteText">
    <w:name w:val="footnote text"/>
    <w:basedOn w:val="Normal"/>
    <w:link w:val="FootnoteTextChar"/>
    <w:uiPriority w:val="99"/>
    <w:semiHidden/>
    <w:unhideWhenUsed/>
    <w:rsid w:val="00A72252"/>
    <w:pPr>
      <w:spacing w:before="0" w:after="0" w:line="240" w:lineRule="auto"/>
    </w:pPr>
    <w:rPr>
      <w:sz w:val="20"/>
      <w:szCs w:val="20"/>
    </w:rPr>
  </w:style>
  <w:style w:type="character" w:customStyle="1" w:styleId="FootnoteTextChar">
    <w:name w:val="Footnote Text Char"/>
    <w:basedOn w:val="DefaultParagraphFont"/>
    <w:link w:val="FootnoteText"/>
    <w:uiPriority w:val="99"/>
    <w:semiHidden/>
    <w:rsid w:val="00A72252"/>
    <w:rPr>
      <w:rFonts w:ascii="Arial" w:hAnsi="Arial"/>
      <w:sz w:val="20"/>
      <w:szCs w:val="20"/>
    </w:rPr>
  </w:style>
  <w:style w:type="character" w:styleId="FootnoteReference">
    <w:name w:val="footnote reference"/>
    <w:basedOn w:val="DefaultParagraphFont"/>
    <w:uiPriority w:val="99"/>
    <w:semiHidden/>
    <w:unhideWhenUsed/>
    <w:rsid w:val="00A72252"/>
    <w:rPr>
      <w:vertAlign w:val="superscript"/>
    </w:rPr>
  </w:style>
  <w:style w:type="character" w:styleId="CommentReference">
    <w:name w:val="annotation reference"/>
    <w:basedOn w:val="DefaultParagraphFont"/>
    <w:uiPriority w:val="99"/>
    <w:semiHidden/>
    <w:unhideWhenUsed/>
    <w:rsid w:val="00383E6B"/>
    <w:rPr>
      <w:sz w:val="16"/>
      <w:szCs w:val="16"/>
    </w:rPr>
  </w:style>
  <w:style w:type="paragraph" w:styleId="CommentText">
    <w:name w:val="annotation text"/>
    <w:basedOn w:val="Normal"/>
    <w:link w:val="CommentTextChar"/>
    <w:uiPriority w:val="99"/>
    <w:semiHidden/>
    <w:unhideWhenUsed/>
    <w:rsid w:val="00383E6B"/>
    <w:pPr>
      <w:spacing w:line="240" w:lineRule="auto"/>
    </w:pPr>
    <w:rPr>
      <w:sz w:val="20"/>
      <w:szCs w:val="20"/>
    </w:rPr>
  </w:style>
  <w:style w:type="character" w:customStyle="1" w:styleId="CommentTextChar">
    <w:name w:val="Comment Text Char"/>
    <w:basedOn w:val="DefaultParagraphFont"/>
    <w:link w:val="CommentText"/>
    <w:uiPriority w:val="99"/>
    <w:semiHidden/>
    <w:rsid w:val="00383E6B"/>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383E6B"/>
    <w:rPr>
      <w:b/>
      <w:bCs/>
    </w:rPr>
  </w:style>
  <w:style w:type="character" w:customStyle="1" w:styleId="CommentSubjectChar">
    <w:name w:val="Comment Subject Char"/>
    <w:basedOn w:val="CommentTextChar"/>
    <w:link w:val="CommentSubject"/>
    <w:uiPriority w:val="99"/>
    <w:semiHidden/>
    <w:rsid w:val="00383E6B"/>
    <w:rPr>
      <w:rFonts w:ascii="Arial" w:hAnsi="Arial"/>
      <w:b/>
      <w:bCs/>
      <w:sz w:val="20"/>
      <w:szCs w:val="20"/>
    </w:rPr>
  </w:style>
  <w:style w:type="paragraph" w:styleId="BalloonText">
    <w:name w:val="Balloon Text"/>
    <w:basedOn w:val="Normal"/>
    <w:link w:val="BalloonTextChar"/>
    <w:uiPriority w:val="99"/>
    <w:semiHidden/>
    <w:unhideWhenUsed/>
    <w:rsid w:val="00383E6B"/>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83E6B"/>
    <w:rPr>
      <w:rFonts w:ascii="Segoe UI" w:hAnsi="Segoe UI" w:cs="Segoe UI"/>
      <w:sz w:val="18"/>
      <w:szCs w:val="18"/>
    </w:rPr>
  </w:style>
  <w:style w:type="paragraph" w:styleId="TOCHeading">
    <w:name w:val="TOC Heading"/>
    <w:basedOn w:val="Heading1"/>
    <w:next w:val="Normal"/>
    <w:uiPriority w:val="39"/>
    <w:unhideWhenUsed/>
    <w:qFormat/>
    <w:rsid w:val="00003F92"/>
    <w:pPr>
      <w:spacing w:before="240" w:after="0" w:line="259" w:lineRule="auto"/>
      <w:jc w:val="left"/>
      <w:outlineLvl w:val="9"/>
    </w:pPr>
    <w:rPr>
      <w:rFonts w:asciiTheme="majorHAnsi" w:hAnsiTheme="majorHAnsi"/>
      <w:b w:val="0"/>
      <w:caps w:val="0"/>
      <w:color w:val="2E74B5" w:themeColor="accent1" w:themeShade="BF"/>
      <w:sz w:val="32"/>
      <w:lang w:val="en-US"/>
    </w:rPr>
  </w:style>
  <w:style w:type="paragraph" w:styleId="TOC1">
    <w:name w:val="toc 1"/>
    <w:basedOn w:val="Normal"/>
    <w:next w:val="Normal"/>
    <w:autoRedefine/>
    <w:uiPriority w:val="39"/>
    <w:unhideWhenUsed/>
    <w:rsid w:val="00003F92"/>
    <w:pPr>
      <w:spacing w:after="100"/>
    </w:pPr>
  </w:style>
  <w:style w:type="paragraph" w:styleId="TOC2">
    <w:name w:val="toc 2"/>
    <w:basedOn w:val="Normal"/>
    <w:next w:val="Normal"/>
    <w:autoRedefine/>
    <w:uiPriority w:val="39"/>
    <w:unhideWhenUsed/>
    <w:rsid w:val="00003F92"/>
    <w:pPr>
      <w:tabs>
        <w:tab w:val="left" w:pos="851"/>
        <w:tab w:val="right" w:leader="dot" w:pos="9016"/>
      </w:tabs>
      <w:spacing w:after="100"/>
      <w:ind w:left="240"/>
    </w:pPr>
  </w:style>
  <w:style w:type="paragraph" w:styleId="TOC3">
    <w:name w:val="toc 3"/>
    <w:basedOn w:val="Normal"/>
    <w:next w:val="Normal"/>
    <w:autoRedefine/>
    <w:uiPriority w:val="39"/>
    <w:unhideWhenUsed/>
    <w:rsid w:val="00003F92"/>
    <w:pPr>
      <w:tabs>
        <w:tab w:val="left" w:pos="851"/>
        <w:tab w:val="right" w:leader="dot" w:pos="9016"/>
      </w:tabs>
      <w:spacing w:after="100"/>
      <w:ind w:left="85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fcfcoa.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2F29613-9305-452A-AD69-00EAEA116B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TotalTime>
  <Pages>6</Pages>
  <Words>1363</Words>
  <Characters>7281</Characters>
  <Application>Microsoft Office Word</Application>
  <DocSecurity>0</DocSecurity>
  <Lines>428</Lines>
  <Paragraphs>270</Paragraphs>
  <ScaleCrop>false</ScaleCrop>
  <HeadingPairs>
    <vt:vector size="2" baseType="variant">
      <vt:variant>
        <vt:lpstr>Title</vt:lpstr>
      </vt:variant>
      <vt:variant>
        <vt:i4>1</vt:i4>
      </vt:variant>
    </vt:vector>
  </HeadingPairs>
  <TitlesOfParts>
    <vt:vector size="1" baseType="lpstr">
      <vt:lpstr/>
    </vt:vector>
  </TitlesOfParts>
  <Company>Federal Court of Australia</Company>
  <LinksUpToDate>false</LinksUpToDate>
  <CharactersWithSpaces>8374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Federal Circuit and Family Court of Australia</dc:creator>
  <cp:keywords/>
  <dc:description/>
  <cp:lastModifiedBy>Erica Di Muzio</cp:lastModifiedBy>
  <cp:revision>8</cp:revision>
  <dcterms:created xsi:type="dcterms:W3CDTF">2021-08-25T12:34:00Z</dcterms:created>
  <dcterms:modified xsi:type="dcterms:W3CDTF">2021-08-27T03:15:00Z</dcterms:modified>
</cp:coreProperties>
</file>